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ind w:firstLine="0"/>
      </w:pPr>
      <w:r>
        <w:rPr>
          <w:rFonts w:ascii="Times New Roman" w:hAnsi="Times New Roman" w:cs="Times New Roman" w:eastAsia="黑体"/>
          <w:b w:val="0"/>
          <w:color w:val="0066FF"/>
          <w:sz w:val="32"/>
        </w:rPr>
        <w:t>【政策风向】</w:t>
      </w:r>
    </w:p>
    <w:p>
      <w:pPr>
        <w:pStyle w:val="ListParagraph"/>
        <w:spacing w:line="360" w:lineRule="auto"/>
        <w:ind w:left="0" w:firstLine="0"/>
      </w:pPr>
      <w:r>
        <w:rPr>
          <w:rFonts w:ascii="Times New Roman" w:hAnsi="Times New Roman" w:cs="Times New Roman" w:eastAsia="楷体"/>
          <w:b w:val="0"/>
          <w:sz w:val="28"/>
        </w:rPr>
        <w:t>· 万事达卡获批纽约BitLicense以建设受监管稳定币结算基础设施</w:t>
      </w:r>
    </w:p>
    <w:p>
      <w:pPr>
        <w:pStyle w:val="ListParagraph"/>
        <w:spacing w:line="360" w:lineRule="auto"/>
        <w:ind w:left="0" w:firstLine="0"/>
      </w:pPr>
      <w:r>
        <w:rPr>
          <w:rFonts w:ascii="Times New Roman" w:hAnsi="Times New Roman" w:cs="Times New Roman" w:eastAsia="楷体"/>
          <w:b w:val="0"/>
          <w:sz w:val="28"/>
        </w:rPr>
        <w:t>· 香港数字资产政策与实践之间存在显著差距</w:t>
      </w:r>
    </w:p>
    <w:p>
      <w:pPr>
        <w:pStyle w:val="ListParagraph"/>
        <w:spacing w:line="360" w:lineRule="auto"/>
        <w:ind w:left="0" w:firstLine="0"/>
      </w:pPr>
      <w:r>
        <w:rPr>
          <w:rFonts w:ascii="Times New Roman" w:hAnsi="Times New Roman" w:cs="Times New Roman" w:eastAsia="楷体"/>
          <w:b w:val="0"/>
          <w:sz w:val="28"/>
        </w:rPr>
        <w:t>· 欧盟MiCA法规全面解读加密资产监管规则手册</w:t>
      </w:r>
    </w:p>
    <w:p>
      <w:pPr>
        <w:ind w:firstLine="0"/>
      </w:pPr>
      <w:r>
        <w:rPr>
          <w:rFonts w:ascii="Times New Roman" w:hAnsi="Times New Roman" w:cs="Times New Roman" w:eastAsia="黑体"/>
          <w:b w:val="0"/>
          <w:color w:val="0066FF"/>
          <w:sz w:val="32"/>
        </w:rPr>
        <w:t>【行业前沿】</w:t>
      </w:r>
    </w:p>
    <w:p>
      <w:pPr>
        <w:pStyle w:val="ListParagraph"/>
        <w:spacing w:line="360" w:lineRule="auto"/>
        <w:ind w:left="0" w:firstLine="0"/>
      </w:pPr>
      <w:r>
        <w:rPr>
          <w:rFonts w:ascii="Times New Roman" w:hAnsi="Times New Roman" w:cs="Times New Roman" w:eastAsia="楷体"/>
          <w:b w:val="0"/>
          <w:sz w:val="28"/>
        </w:rPr>
        <w:t>· DTCC与Stellar合作推进机构级代币化资产</w:t>
      </w:r>
    </w:p>
    <w:p>
      <w:pPr>
        <w:pStyle w:val="ListParagraph"/>
        <w:spacing w:line="360" w:lineRule="auto"/>
        <w:ind w:left="0" w:firstLine="0"/>
      </w:pPr>
      <w:r>
        <w:rPr>
          <w:rFonts w:ascii="Times New Roman" w:hAnsi="Times New Roman" w:cs="Times New Roman" w:eastAsia="楷体"/>
          <w:b w:val="0"/>
          <w:sz w:val="28"/>
        </w:rPr>
        <w:t>· AztecLabs收购ZKPassport以强化以太坊隐私身份方案</w:t>
      </w:r>
    </w:p>
    <w:p>
      <w:pPr>
        <w:ind w:firstLine="0"/>
      </w:pPr>
      <w:r>
        <w:rPr>
          <w:rFonts w:ascii="Times New Roman" w:hAnsi="Times New Roman" w:cs="Times New Roman" w:eastAsia="黑体"/>
          <w:b w:val="0"/>
          <w:color w:val="0066FF"/>
          <w:sz w:val="32"/>
        </w:rPr>
        <w:t>【市场动态】</w:t>
      </w:r>
    </w:p>
    <w:p>
      <w:pPr>
        <w:pStyle w:val="ListParagraph"/>
        <w:spacing w:line="360" w:lineRule="auto"/>
        <w:ind w:left="0" w:firstLine="0"/>
      </w:pPr>
      <w:r>
        <w:rPr>
          <w:rFonts w:ascii="Times New Roman" w:hAnsi="Times New Roman" w:cs="Times New Roman" w:eastAsia="楷体"/>
          <w:b w:val="0"/>
          <w:sz w:val="28"/>
        </w:rPr>
        <w:t>· 比特币跌破73000美元贝莱德ETF遭遇历史第二大资金流出</w:t>
      </w:r>
    </w:p>
    <w:p>
      <w:pPr>
        <w:pStyle w:val="ListParagraph"/>
        <w:spacing w:line="360" w:lineRule="auto"/>
        <w:ind w:left="0" w:firstLine="0"/>
      </w:pPr>
      <w:r>
        <w:rPr>
          <w:rFonts w:ascii="Times New Roman" w:hAnsi="Times New Roman" w:cs="Times New Roman" w:eastAsia="楷体"/>
          <w:b w:val="0"/>
          <w:sz w:val="28"/>
        </w:rPr>
        <w:t>· 美国打击伊朗引发比特币跌破73000美元1亿美元杠杆头寸被清算</w:t>
      </w:r>
    </w:p>
    <w:p>
      <w:pPr>
        <w:ind w:firstLine="0"/>
      </w:pPr>
      <w:r>
        <w:rPr>
          <w:rFonts w:ascii="Times New Roman" w:hAnsi="Times New Roman" w:cs="Times New Roman" w:eastAsia="黑体"/>
          <w:b w:val="0"/>
          <w:color w:val="0066FF"/>
          <w:sz w:val="32"/>
        </w:rPr>
        <w:t>【意见领袖】</w:t>
      </w:r>
    </w:p>
    <w:p>
      <w:pPr>
        <w:pStyle w:val="ListParagraph"/>
        <w:spacing w:line="360" w:lineRule="auto"/>
        <w:ind w:left="0" w:firstLine="0"/>
      </w:pPr>
      <w:r>
        <w:rPr>
          <w:rFonts w:ascii="Times New Roman" w:hAnsi="Times New Roman" w:cs="Times New Roman" w:eastAsia="楷体"/>
          <w:b w:val="0"/>
          <w:sz w:val="28"/>
        </w:rPr>
        <w:t>· 加密CEO表示比特币四年周期规律仍然有效</w:t>
      </w:r>
    </w:p>
    <w:p>
      <w:pPr>
        <w:pStyle w:val="ListParagraph"/>
        <w:spacing w:line="360" w:lineRule="auto"/>
        <w:ind w:left="0" w:firstLine="0"/>
      </w:pPr>
      <w:r>
        <w:rPr>
          <w:rFonts w:ascii="Times New Roman" w:hAnsi="Times New Roman" w:cs="Times New Roman" w:eastAsia="楷体"/>
          <w:b w:val="0"/>
          <w:sz w:val="28"/>
        </w:rPr>
        <w:t>· CathieWood认为机构投资者正在比特币下跌时买入</w:t>
      </w:r>
    </w:p>
    <w:p>
      <w:pPr>
        <w:ind w:firstLine="0"/>
      </w:pPr>
      <w:r>
        <w:rPr>
          <w:rFonts w:ascii="Times New Roman" w:hAnsi="Times New Roman" w:cs="Times New Roman" w:eastAsia="黑体"/>
          <w:b w:val="0"/>
          <w:color w:val="0066FF"/>
          <w:sz w:val="32"/>
        </w:rPr>
        <w:t>【专题研究】</w:t>
      </w:r>
    </w:p>
    <w:p>
      <w:pPr>
        <w:pStyle w:val="ListParagraph"/>
        <w:spacing w:line="360" w:lineRule="auto"/>
        <w:ind w:left="0" w:firstLine="0"/>
      </w:pPr>
      <w:r>
        <w:rPr>
          <w:rFonts w:ascii="Times New Roman" w:hAnsi="Times New Roman" w:cs="Times New Roman" w:eastAsia="楷体"/>
          <w:b w:val="0"/>
          <w:sz w:val="28"/>
        </w:rPr>
        <w:t>· 伯恩斯坦报告代币化现实世界资产市场已突破510亿美元</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jc w:val="center"/>
      </w:pPr>
      <w:r>
        <w:rPr>
          <w:rFonts w:ascii="Times New Roman" w:hAnsi="Times New Roman" w:cs="Times New Roman" w:eastAsia="黑体"/>
          <w:b w:val="0"/>
          <w:sz w:val="30"/>
        </w:rPr>
        <w:t>万事达卡获批纽约BitLicense以建设受监管稳定币结算基础设施</w:t>
      </w:r>
    </w:p>
    <w:p>
      <w:pPr>
        <w:ind w:firstLine="0" w:left="0"/>
      </w:pPr>
      <w:r>
        <w:rPr>
          <w:rFonts w:ascii="Times New Roman" w:hAnsi="Times New Roman" w:cs="Times New Roman" w:eastAsia="仿宋"/>
          <w:b w:val="0"/>
          <w:sz w:val="28"/>
        </w:rPr>
        <w:t>· 万事达卡获得纽约州金融服务部颁发的BitLicense</w:t>
      </w:r>
    </w:p>
    <w:p>
      <w:pPr>
        <w:ind w:firstLine="0" w:left="0"/>
      </w:pPr>
      <w:r>
        <w:rPr>
          <w:rFonts w:ascii="Times New Roman" w:hAnsi="Times New Roman" w:cs="Times New Roman" w:eastAsia="仿宋"/>
          <w:b w:val="0"/>
          <w:sz w:val="28"/>
        </w:rPr>
        <w:t>· 该牌照允许万事达卡构建受监管的稳定币结算基础设施</w:t>
      </w:r>
    </w:p>
    <w:p>
      <w:pPr>
        <w:pStyle w:val="正文内容"/>
        <w:ind w:firstLine="562"/>
      </w:pPr>
      <w:r>
        <w:rPr>
          <w:rFonts w:ascii="Times New Roman" w:hAnsi="Times New Roman" w:cs="Times New Roman" w:eastAsia="仿宋"/>
          <w:b w:val="0"/>
          <w:sz w:val="28"/>
        </w:rPr>
        <w:t>支付巨头万事达卡获得纽约州BitLicense，标志着其在受监管数字资产领域迈出关键一步。</w:t>
      </w:r>
    </w:p>
    <w:p>
      <w:pPr>
        <w:pStyle w:val="正文内容"/>
        <w:ind w:firstLine="562"/>
      </w:pPr>
      <w:r>
        <w:rPr>
          <w:rFonts w:ascii="Times New Roman" w:hAnsi="Times New Roman" w:cs="Times New Roman" w:eastAsia="仿宋"/>
          <w:b w:val="0"/>
          <w:sz w:val="28"/>
        </w:rPr>
        <w:t>万事达卡（Mastercard）宣布已获得纽约州金融服务部（NYDFS）颁发的BitLicense。该牌照是纽约州针对虚拟货币业务活动的专门许可证。</w:t>
      </w:r>
    </w:p>
    <w:p>
      <w:pPr>
        <w:pStyle w:val="正文内容"/>
        <w:ind w:firstLine="562"/>
      </w:pPr>
      <w:r>
        <w:rPr>
          <w:rFonts w:ascii="Times New Roman" w:hAnsi="Times New Roman" w:cs="Times New Roman" w:eastAsia="仿宋"/>
          <w:b w:val="0"/>
          <w:sz w:val="28"/>
        </w:rPr>
        <w:t>万事达卡计划利用这一牌照构建受监管的稳定币结算基础设施，进一步推动其在数字支付领域的布局。</w:t>
      </w:r>
    </w:p>
    <w:p>
      <w:pPr>
        <w:pStyle w:val="正文内容"/>
        <w:ind w:firstLine="562"/>
      </w:pPr>
      <w:r>
        <w:rPr>
          <w:rFonts w:ascii="Times New Roman" w:hAnsi="Times New Roman" w:cs="Times New Roman" w:eastAsia="仿宋"/>
          <w:b w:val="0"/>
          <w:sz w:val="28"/>
        </w:rPr>
        <w:t>此举表明传统金融机构正在加速进入合规加密资产领域，稳定币结算基础设施有望提升跨境支付效率。</w:t>
      </w:r>
    </w:p>
    <w:p>
      <w:pPr>
        <w:pStyle w:val="信息来源"/>
        <w:spacing w:before="50" w:after="100"/>
        <w:jc w:val="right"/>
      </w:pPr>
      <w:r>
        <w:rPr>
          <w:rFonts w:ascii="Times New Roman" w:hAnsi="Times New Roman" w:cs="Times New Roman" w:eastAsia="仿宋"/>
          <w:b w:val="0"/>
          <w:sz w:val="21"/>
        </w:rPr>
        <w:t>（信息来源：FinanceFeeds）</w:t>
      </w:r>
    </w:p>
    <w:p>
      <w:pPr>
        <w:pStyle w:val="正文内容"/>
        <w:ind w:firstLine="562"/>
      </w:pPr>
      <w:r>
        <w:rPr>
          <w:rFonts w:ascii="Times New Roman" w:hAnsi="Times New Roman" w:cs="Times New Roman" w:eastAsia="仿宋"/>
          <w:b w:val="0"/>
          <w:sz w:val="28"/>
        </w:rPr>
        <w:t>原文标题：Mastercard Secures New York BitLicense to Build Regulated Stablecoin Settlement Infrastructure</w:t>
      </w:r>
    </w:p>
    <w:p>
      <w:pPr>
        <w:pStyle w:val="正文内容"/>
        <w:ind w:firstLine="562"/>
      </w:pPr>
      <w:r>
        <w:rPr>
          <w:rFonts w:ascii="Times New Roman" w:hAnsi="Times New Roman" w:cs="Times New Roman" w:eastAsia="仿宋"/>
          <w:b w:val="0"/>
          <w:sz w:val="28"/>
        </w:rPr>
        <w:t>原文链接：https://news.google.com/rss/articles/CBMivAFBVV95cUxQenZlYWNMUUNjVGEtQ1pEY09QUGlZdHVJYUx4NkMzc09hSWwyYlNQa2xOOU5ucUVDRkk5VTBkbmJPVnJtUGFZRXhzclQ1dUhndkozMVg0bTlMd2pPaFgtUjY4UV8xbkZvTnMzOXlpTVdfTjd2MUJwSnJLckFfcjZReWNneDZwcERYb0gyT1RCQk9FcnhPVHViRkRrcFE0QlItczJvLVZVT3FrZFZ1RlFDV3pMZzJrVFphcTlmUw?oc=5</w:t>
      </w:r>
    </w:p>
    <w:p/>
    <w:p>
      <w:pPr>
        <w:pStyle w:val="文章一级标题"/>
        <w:jc w:val="center"/>
      </w:pPr>
      <w:r>
        <w:rPr>
          <w:rFonts w:ascii="Times New Roman" w:hAnsi="Times New Roman" w:cs="Times New Roman" w:eastAsia="黑体"/>
          <w:b w:val="0"/>
          <w:sz w:val="30"/>
        </w:rPr>
        <w:t>香港数字资产政策与实践之间存在显著差距</w:t>
      </w:r>
    </w:p>
    <w:p>
      <w:pPr>
        <w:ind w:firstLine="0" w:left="0"/>
      </w:pPr>
      <w:r>
        <w:rPr>
          <w:rFonts w:ascii="Times New Roman" w:hAnsi="Times New Roman" w:cs="Times New Roman" w:eastAsia="仿宋"/>
          <w:b w:val="0"/>
          <w:sz w:val="28"/>
        </w:rPr>
        <w:t>· 香港在数字资产政策制定上较为积极，但实际执行层面存在滞后</w:t>
      </w:r>
    </w:p>
    <w:p>
      <w:pPr>
        <w:ind w:firstLine="0" w:left="0"/>
      </w:pPr>
      <w:r>
        <w:rPr>
          <w:rFonts w:ascii="Times New Roman" w:hAnsi="Times New Roman" w:cs="Times New Roman" w:eastAsia="仿宋"/>
          <w:b w:val="0"/>
          <w:sz w:val="28"/>
        </w:rPr>
        <w:t>· 分析指出监管框架与市场实践之间的脱节问题</w:t>
      </w:r>
    </w:p>
    <w:p>
      <w:pPr>
        <w:pStyle w:val="正文内容"/>
        <w:ind w:firstLine="562"/>
      </w:pPr>
      <w:r>
        <w:rPr>
          <w:rFonts w:ascii="Times New Roman" w:hAnsi="Times New Roman" w:cs="Times New Roman" w:eastAsia="仿宋"/>
          <w:b w:val="0"/>
          <w:sz w:val="28"/>
        </w:rPr>
        <w:t>南华早报文章指出，香港的数字资产政策虽领先，但在实际操作中仍面临挑战。</w:t>
      </w:r>
    </w:p>
    <w:p>
      <w:pPr>
        <w:pStyle w:val="正文内容"/>
        <w:ind w:firstLine="562"/>
      </w:pPr>
      <w:r>
        <w:rPr>
          <w:rFonts w:ascii="Times New Roman" w:hAnsi="Times New Roman" w:cs="Times New Roman" w:eastAsia="仿宋"/>
          <w:b w:val="0"/>
          <w:sz w:val="28"/>
        </w:rPr>
        <w:t>《南华早报》（South China Morning Post）发表分析文章，指出香港在数字资产政策框架上取得进展，但政策与实践之间仍存在明显差距。</w:t>
      </w:r>
    </w:p>
    <w:p>
      <w:pPr>
        <w:pStyle w:val="正文内容"/>
        <w:ind w:firstLine="562"/>
      </w:pPr>
      <w:r>
        <w:rPr>
          <w:rFonts w:ascii="Times New Roman" w:hAnsi="Times New Roman" w:cs="Times New Roman" w:eastAsia="仿宋"/>
          <w:b w:val="0"/>
          <w:sz w:val="28"/>
        </w:rPr>
        <w:t>文章认为，尽管香港证券及期货事务监察委员会（SFC）和香港金融管理局（HKMA）已推出多项监管指引，但行业参与者在实际合规中仍面临不确定性。</w:t>
      </w:r>
    </w:p>
    <w:p>
      <w:pPr>
        <w:pStyle w:val="正文内容"/>
        <w:ind w:firstLine="562"/>
      </w:pPr>
      <w:r>
        <w:rPr>
          <w:rFonts w:ascii="Times New Roman" w:hAnsi="Times New Roman" w:cs="Times New Roman" w:eastAsia="仿宋"/>
          <w:b w:val="0"/>
          <w:sz w:val="28"/>
        </w:rPr>
        <w:t>这种差距可能影响香港作为全球数字资产枢纽的竞争力，需要监管机构进一步细化规则并加强执行。</w:t>
      </w:r>
    </w:p>
    <w:p>
      <w:pPr>
        <w:pStyle w:val="信息来源"/>
        <w:spacing w:before="50" w:after="100"/>
        <w:jc w:val="right"/>
      </w:pPr>
      <w:r>
        <w:rPr>
          <w:rFonts w:ascii="Times New Roman" w:hAnsi="Times New Roman" w:cs="Times New Roman" w:eastAsia="仿宋"/>
          <w:b w:val="0"/>
          <w:sz w:val="21"/>
        </w:rPr>
        <w:t>（信息来源：South China Morning Post）</w:t>
      </w:r>
    </w:p>
    <w:p>
      <w:pPr>
        <w:pStyle w:val="正文内容"/>
        <w:ind w:firstLine="562"/>
      </w:pPr>
      <w:r>
        <w:rPr>
          <w:rFonts w:ascii="Times New Roman" w:hAnsi="Times New Roman" w:cs="Times New Roman" w:eastAsia="仿宋"/>
          <w:b w:val="0"/>
          <w:sz w:val="28"/>
        </w:rPr>
        <w:t>原文标题：Mind the gap between Hong Kong digital asset policy and practice</w:t>
      </w:r>
    </w:p>
    <w:p>
      <w:pPr>
        <w:pStyle w:val="正文内容"/>
        <w:ind w:firstLine="562"/>
      </w:pPr>
      <w:r>
        <w:rPr>
          <w:rFonts w:ascii="Times New Roman" w:hAnsi="Times New Roman" w:cs="Times New Roman" w:eastAsia="仿宋"/>
          <w:b w:val="0"/>
          <w:sz w:val="28"/>
        </w:rPr>
        <w:t>原文链接：https://news.google.com/rss/articles/CBMi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w:t>
      </w:r>
    </w:p>
    <w:p/>
    <w:p>
      <w:pPr>
        <w:pStyle w:val="文章一级标题"/>
        <w:jc w:val="center"/>
      </w:pPr>
      <w:r>
        <w:rPr>
          <w:rFonts w:ascii="Times New Roman" w:hAnsi="Times New Roman" w:cs="Times New Roman" w:eastAsia="黑体"/>
          <w:b w:val="0"/>
          <w:sz w:val="30"/>
        </w:rPr>
        <w:t>欧盟MiCA法规全面解读加密资产监管规则手册</w:t>
      </w:r>
    </w:p>
    <w:p>
      <w:pPr>
        <w:ind w:firstLine="0" w:left="0"/>
      </w:pPr>
      <w:r>
        <w:rPr>
          <w:rFonts w:ascii="Times New Roman" w:hAnsi="Times New Roman" w:cs="Times New Roman" w:eastAsia="仿宋"/>
          <w:b w:val="0"/>
          <w:sz w:val="28"/>
        </w:rPr>
        <w:t>· MiCA是欧盟针对加密资产的统一监管框架</w:t>
      </w:r>
    </w:p>
    <w:p>
      <w:pPr>
        <w:ind w:firstLine="0" w:left="0"/>
      </w:pPr>
      <w:r>
        <w:rPr>
          <w:rFonts w:ascii="Times New Roman" w:hAnsi="Times New Roman" w:cs="Times New Roman" w:eastAsia="仿宋"/>
          <w:b w:val="0"/>
          <w:sz w:val="28"/>
        </w:rPr>
        <w:t>· 该法规涵盖稳定币、资产参考代币和加密资产服务提供商</w:t>
      </w:r>
    </w:p>
    <w:p>
      <w:pPr>
        <w:pStyle w:val="正文内容"/>
        <w:ind w:firstLine="562"/>
      </w:pPr>
      <w:r>
        <w:rPr>
          <w:rFonts w:ascii="Times New Roman" w:hAnsi="Times New Roman" w:cs="Times New Roman" w:eastAsia="仿宋"/>
          <w:b w:val="0"/>
          <w:sz w:val="28"/>
        </w:rPr>
        <w:t>欧盟《加密资产市场法规》即将全面生效，本文解读其主要内容和影响。</w:t>
      </w:r>
    </w:p>
    <w:p>
      <w:pPr>
        <w:pStyle w:val="正文内容"/>
        <w:ind w:firstLine="562"/>
      </w:pPr>
      <w:r>
        <w:rPr>
          <w:rFonts w:ascii="Times New Roman" w:hAnsi="Times New Roman" w:cs="Times New Roman" w:eastAsia="仿宋"/>
          <w:b w:val="0"/>
          <w:sz w:val="28"/>
        </w:rPr>
        <w:t>CoinLaw发布详细指南，解释欧盟《加密资产市场法规》（Markets in Crypto-Assets Regulation，MiCA）的核心条款。MiCA是欧盟首个针对加密资产的全面监管框架。</w:t>
      </w:r>
    </w:p>
    <w:p>
      <w:pPr>
        <w:pStyle w:val="正文内容"/>
        <w:ind w:firstLine="562"/>
      </w:pPr>
      <w:r>
        <w:rPr>
          <w:rFonts w:ascii="Times New Roman" w:hAnsi="Times New Roman" w:cs="Times New Roman" w:eastAsia="仿宋"/>
          <w:b w:val="0"/>
          <w:sz w:val="28"/>
        </w:rPr>
        <w:t>法规将加密资产分为三类：电子货币代币（EMT）、资产参考代币（ART）和其他加密资产，并对发行方和服务提供商提出牌照、资本和披露要求。</w:t>
      </w:r>
    </w:p>
    <w:p>
      <w:pPr>
        <w:pStyle w:val="正文内容"/>
        <w:ind w:firstLine="562"/>
      </w:pPr>
      <w:r>
        <w:rPr>
          <w:rFonts w:ascii="Times New Roman" w:hAnsi="Times New Roman" w:cs="Times New Roman" w:eastAsia="仿宋"/>
          <w:b w:val="0"/>
          <w:sz w:val="28"/>
        </w:rPr>
        <w:t>MiCA将于2026年逐步实施，届时将为欧盟27个成员国提供统一的监管标准，影响全球加密市场格局。</w:t>
      </w:r>
    </w:p>
    <w:p>
      <w:pPr>
        <w:pStyle w:val="信息来源"/>
        <w:spacing w:before="50" w:after="100"/>
        <w:jc w:val="right"/>
      </w:pPr>
      <w:r>
        <w:rPr>
          <w:rFonts w:ascii="Times New Roman" w:hAnsi="Times New Roman" w:cs="Times New Roman" w:eastAsia="仿宋"/>
          <w:b w:val="0"/>
          <w:sz w:val="21"/>
        </w:rPr>
        <w:t>（信息来源：CoinLaw）</w:t>
      </w:r>
    </w:p>
    <w:p>
      <w:pPr>
        <w:pStyle w:val="正文内容"/>
        <w:ind w:firstLine="562"/>
      </w:pPr>
      <w:r>
        <w:rPr>
          <w:rFonts w:ascii="Times New Roman" w:hAnsi="Times New Roman" w:cs="Times New Roman" w:eastAsia="仿宋"/>
          <w:b w:val="0"/>
          <w:sz w:val="28"/>
        </w:rPr>
        <w:t>原文标题：What Is MiCA Regulation? The EU Crypto Rulebook Explained</w:t>
      </w:r>
    </w:p>
    <w:p>
      <w:pPr>
        <w:pStyle w:val="正文内容"/>
        <w:ind w:firstLine="562"/>
      </w:pPr>
      <w:r>
        <w:rPr>
          <w:rFonts w:ascii="Times New Roman" w:hAnsi="Times New Roman" w:cs="Times New Roman" w:eastAsia="仿宋"/>
          <w:b w:val="0"/>
          <w:sz w:val="28"/>
        </w:rPr>
        <w:t>原文链接：https://news.google.com/rss/articles/CBMiVkFVX3lxTFBTNzExVjlhTXRvdEExam16YVpOelZ4Vk9UQ2tESmFaZEdfczZmOUhSTUNYVGlVa29pRnp0cU14NDY4RGpMQURxRUI5ZTRMZmlNN000ZVpR?oc=5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jc w:val="center"/>
      </w:pPr>
      <w:r>
        <w:rPr>
          <w:rFonts w:ascii="Times New Roman" w:hAnsi="Times New Roman" w:cs="Times New Roman" w:eastAsia="黑体"/>
          <w:b w:val="0"/>
          <w:sz w:val="30"/>
        </w:rPr>
        <w:t>DTCC与Stellar合作推进机构级代币化资产</w:t>
      </w:r>
    </w:p>
    <w:p>
      <w:pPr>
        <w:ind w:firstLine="0" w:left="0"/>
      </w:pPr>
      <w:r>
        <w:rPr>
          <w:rFonts w:ascii="Times New Roman" w:hAnsi="Times New Roman" w:cs="Times New Roman" w:eastAsia="仿宋"/>
          <w:b w:val="0"/>
          <w:sz w:val="28"/>
        </w:rPr>
        <w:t>· 美国存管信托与清算公司（DTCC）选择Stellar网络进行代币化试验</w:t>
      </w:r>
    </w:p>
    <w:p>
      <w:pPr>
        <w:ind w:firstLine="0" w:left="0"/>
      </w:pPr>
      <w:r>
        <w:rPr>
          <w:rFonts w:ascii="Times New Roman" w:hAnsi="Times New Roman" w:cs="Times New Roman" w:eastAsia="仿宋"/>
          <w:b w:val="0"/>
          <w:sz w:val="28"/>
        </w:rPr>
        <w:t>· 该合作旨在提升机构对区块链技术的采用</w:t>
      </w:r>
    </w:p>
    <w:p>
      <w:pPr>
        <w:pStyle w:val="正文内容"/>
        <w:ind w:firstLine="562"/>
      </w:pPr>
      <w:r>
        <w:rPr>
          <w:rFonts w:ascii="Times New Roman" w:hAnsi="Times New Roman" w:cs="Times New Roman" w:eastAsia="仿宋"/>
          <w:b w:val="0"/>
          <w:sz w:val="28"/>
        </w:rPr>
        <w:t>DTCC宣布与Stellar网络合作，探索代币化证券在公共区块链上的发行和结算。</w:t>
      </w:r>
    </w:p>
    <w:p>
      <w:pPr>
        <w:pStyle w:val="正文内容"/>
        <w:ind w:firstLine="562"/>
      </w:pPr>
      <w:r>
        <w:rPr>
          <w:rFonts w:ascii="Times New Roman" w:hAnsi="Times New Roman" w:cs="Times New Roman" w:eastAsia="仿宋"/>
          <w:b w:val="0"/>
          <w:sz w:val="28"/>
        </w:rPr>
        <w:t>美国存管信托与清算公司（Depository Trust &amp; Clearing Corporation，DTCC）宣布与Stellar网络达成合作，共同推进机构级代币化资产项目。DTCC是美国金融基础设施核心机构。</w:t>
      </w:r>
    </w:p>
    <w:p>
      <w:pPr>
        <w:pStyle w:val="正文内容"/>
        <w:ind w:firstLine="562"/>
      </w:pPr>
      <w:r>
        <w:rPr>
          <w:rFonts w:ascii="Times New Roman" w:hAnsi="Times New Roman" w:cs="Times New Roman" w:eastAsia="仿宋"/>
          <w:b w:val="0"/>
          <w:sz w:val="28"/>
        </w:rPr>
        <w:t>该合作将利用Stellar区块链实现代币化证券的发行、交易和结算，目标在2027年前投入运行。</w:t>
      </w:r>
    </w:p>
    <w:p>
      <w:pPr>
        <w:pStyle w:val="正文内容"/>
        <w:ind w:firstLine="562"/>
      </w:pPr>
      <w:r>
        <w:rPr>
          <w:rFonts w:ascii="Times New Roman" w:hAnsi="Times New Roman" w:cs="Times New Roman" w:eastAsia="仿宋"/>
          <w:b w:val="0"/>
          <w:sz w:val="28"/>
        </w:rPr>
        <w:t>此举标志着传统金融市场基础设施向区块链迁移的重要一步，有望提升效率并降低运营成本。</w:t>
      </w:r>
    </w:p>
    <w:p>
      <w:pPr>
        <w:pStyle w:val="信息来源"/>
        <w:spacing w:before="50" w:after="100"/>
        <w:jc w:val="right"/>
      </w:pPr>
      <w:r>
        <w:rPr>
          <w:rFonts w:ascii="Times New Roman" w:hAnsi="Times New Roman" w:cs="Times New Roman" w:eastAsia="仿宋"/>
          <w:b w:val="0"/>
          <w:sz w:val="21"/>
        </w:rPr>
        <w:t>（信息来源：TronWeekly）</w:t>
      </w:r>
    </w:p>
    <w:p>
      <w:pPr>
        <w:pStyle w:val="正文内容"/>
        <w:ind w:firstLine="562"/>
      </w:pPr>
      <w:r>
        <w:rPr>
          <w:rFonts w:ascii="Times New Roman" w:hAnsi="Times New Roman" w:cs="Times New Roman" w:eastAsia="仿宋"/>
          <w:b w:val="0"/>
          <w:sz w:val="28"/>
        </w:rPr>
        <w:t>原文标题：DTCC Tokenization Targets Institutional Blockchain Adoption With Stellar Network</w:t>
      </w:r>
    </w:p>
    <w:p>
      <w:pPr>
        <w:pStyle w:val="正文内容"/>
        <w:ind w:firstLine="562"/>
      </w:pPr>
      <w:r>
        <w:rPr>
          <w:rFonts w:ascii="Times New Roman" w:hAnsi="Times New Roman" w:cs="Times New Roman" w:eastAsia="仿宋"/>
          <w:b w:val="0"/>
          <w:sz w:val="28"/>
        </w:rPr>
        <w:t>原文链接：https://news.google.com/rss/articles/CBMidkFVX3lxTFBuSnY5OWtCaHcyTWZES21Pb29LUFJhVGJHek1KZHUwV29rMGhpWWp6RFlxanVLSWZIUVVCSjdRdmYxdmk2ZC1RT1V2Wmk5dlN1bVZSMlo4NmxMV0tLYUVQTng2MDJiS0lqUGFtRExJU1EzWnBoTnc?oc=5</w:t>
      </w:r>
    </w:p>
    <w:p/>
    <w:p>
      <w:pPr>
        <w:pStyle w:val="文章一级标题"/>
        <w:jc w:val="center"/>
      </w:pPr>
      <w:r>
        <w:rPr>
          <w:rFonts w:ascii="Times New Roman" w:hAnsi="Times New Roman" w:cs="Times New Roman" w:eastAsia="黑体"/>
          <w:b w:val="0"/>
          <w:sz w:val="30"/>
        </w:rPr>
        <w:t>AztecLabs收购ZKPassport以强化以太坊隐私身份方案</w:t>
      </w:r>
    </w:p>
    <w:p>
      <w:pPr>
        <w:ind w:firstLine="0" w:left="0"/>
      </w:pPr>
      <w:r>
        <w:rPr>
          <w:rFonts w:ascii="Times New Roman" w:hAnsi="Times New Roman" w:cs="Times New Roman" w:eastAsia="仿宋"/>
          <w:b w:val="0"/>
          <w:sz w:val="28"/>
        </w:rPr>
        <w:t>· Aztec Labs收购隐私身份解决方案ZKPassport</w:t>
      </w:r>
    </w:p>
    <w:p>
      <w:pPr>
        <w:ind w:firstLine="0" w:left="0"/>
      </w:pPr>
      <w:r>
        <w:rPr>
          <w:rFonts w:ascii="Times New Roman" w:hAnsi="Times New Roman" w:cs="Times New Roman" w:eastAsia="仿宋"/>
          <w:b w:val="0"/>
          <w:sz w:val="28"/>
        </w:rPr>
        <w:t>· 该收购将推动以太坊生态的隐私保护技术</w:t>
      </w:r>
    </w:p>
    <w:p>
      <w:pPr>
        <w:pStyle w:val="正文内容"/>
        <w:ind w:firstLine="562"/>
      </w:pPr>
      <w:r>
        <w:rPr>
          <w:rFonts w:ascii="Times New Roman" w:hAnsi="Times New Roman" w:cs="Times New Roman" w:eastAsia="仿宋"/>
          <w:b w:val="0"/>
          <w:sz w:val="28"/>
        </w:rPr>
        <w:t>以太坊隐私层项目Aztec Labs收购ZKPassport，旨在通过零知识证明技术加强用户身份隐私。</w:t>
      </w:r>
    </w:p>
    <w:p>
      <w:pPr>
        <w:pStyle w:val="正文内容"/>
        <w:ind w:firstLine="562"/>
      </w:pPr>
      <w:r>
        <w:rPr>
          <w:rFonts w:ascii="Times New Roman" w:hAnsi="Times New Roman" w:cs="Times New Roman" w:eastAsia="仿宋"/>
          <w:b w:val="0"/>
          <w:sz w:val="28"/>
        </w:rPr>
        <w:t>Aztec Labs宣布收购ZKPassport，后者是一个基于零知识证明（Zero-Knowledge Proof，ZKP）的隐私身份验证协议。</w:t>
      </w:r>
    </w:p>
    <w:p>
      <w:pPr>
        <w:pStyle w:val="正文内容"/>
        <w:ind w:firstLine="562"/>
      </w:pPr>
      <w:r>
        <w:rPr>
          <w:rFonts w:ascii="Times New Roman" w:hAnsi="Times New Roman" w:cs="Times New Roman" w:eastAsia="仿宋"/>
          <w:b w:val="0"/>
          <w:sz w:val="28"/>
        </w:rPr>
        <w:t>收购后，Aztec计划将ZKPassport的技术整合到其以太坊隐私二层网络中，使用户能够在保护隐私的前提下完成身份验证。</w:t>
      </w:r>
    </w:p>
    <w:p>
      <w:pPr>
        <w:pStyle w:val="正文内容"/>
        <w:ind w:firstLine="562"/>
      </w:pPr>
      <w:r>
        <w:rPr>
          <w:rFonts w:ascii="Times New Roman" w:hAnsi="Times New Roman" w:cs="Times New Roman" w:eastAsia="仿宋"/>
          <w:b w:val="0"/>
          <w:sz w:val="28"/>
        </w:rPr>
        <w:t>此举进一步丰富了以太坊隐私生态系统，为去中心化金融（DeFi）和合规应用提供更强大的隐私保护工具。</w:t>
      </w:r>
    </w:p>
    <w:p>
      <w:pPr>
        <w:pStyle w:val="信息来源"/>
        <w:spacing w:before="50" w:after="100"/>
        <w:jc w:val="right"/>
      </w:pPr>
      <w:r>
        <w:rPr>
          <w:rFonts w:ascii="Times New Roman" w:hAnsi="Times New Roman" w:cs="Times New Roman" w:eastAsia="仿宋"/>
          <w:b w:val="0"/>
          <w:sz w:val="21"/>
        </w:rPr>
        <w:t>（信息来源：MEXC）</w:t>
      </w:r>
    </w:p>
    <w:p>
      <w:pPr>
        <w:pStyle w:val="正文内容"/>
        <w:ind w:firstLine="562"/>
      </w:pPr>
      <w:r>
        <w:rPr>
          <w:rFonts w:ascii="Times New Roman" w:hAnsi="Times New Roman" w:cs="Times New Roman" w:eastAsia="仿宋"/>
          <w:b w:val="0"/>
          <w:sz w:val="28"/>
        </w:rPr>
        <w:t>原文标题：Aztec Labs Acquires ZKPassport to Strengthen Privacy-First Identity on Ethereum</w:t>
      </w:r>
    </w:p>
    <w:p>
      <w:pPr>
        <w:pStyle w:val="正文内容"/>
        <w:ind w:firstLine="562"/>
      </w:pPr>
      <w:r>
        <w:rPr>
          <w:rFonts w:ascii="Times New Roman" w:hAnsi="Times New Roman" w:cs="Times New Roman" w:eastAsia="仿宋"/>
          <w:b w:val="0"/>
          <w:sz w:val="28"/>
        </w:rPr>
        <w:t>原文链接：https://news.google.com/rss/articles/CBMiSEFVX3lxTE1fd0I3Mm1YdTZlTDNReHg0M0Z5OVo5NG4xVFpZNGp4RHNPVmlPejJ5TXJJVklwQ2ZnbEoxTDdKQm5lSUU2SUNzQQ?oc=5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jc w:val="center"/>
      </w:pPr>
      <w:r>
        <w:rPr>
          <w:rFonts w:ascii="Times New Roman" w:hAnsi="Times New Roman" w:cs="Times New Roman" w:eastAsia="黑体"/>
          <w:b w:val="0"/>
          <w:sz w:val="30"/>
        </w:rPr>
        <w:t>比特币跌破73000美元贝莱德ETF遭遇历史第二大资金流出</w:t>
      </w:r>
    </w:p>
    <w:p>
      <w:pPr>
        <w:ind w:firstLine="0" w:left="0"/>
      </w:pPr>
      <w:r>
        <w:rPr>
          <w:rFonts w:ascii="Times New Roman" w:hAnsi="Times New Roman" w:cs="Times New Roman" w:eastAsia="仿宋"/>
          <w:b w:val="0"/>
          <w:sz w:val="28"/>
        </w:rPr>
        <w:t>· 比特币价格跌破73，000美元</w:t>
      </w:r>
    </w:p>
    <w:p>
      <w:pPr>
        <w:ind w:firstLine="0" w:left="0"/>
      </w:pPr>
      <w:r>
        <w:rPr>
          <w:rFonts w:ascii="Times New Roman" w:hAnsi="Times New Roman" w:cs="Times New Roman" w:eastAsia="仿宋"/>
          <w:b w:val="0"/>
          <w:sz w:val="28"/>
        </w:rPr>
        <w:t>· 贝莱德现货比特币ETF录得自推出以来第二大单日净流出</w:t>
      </w:r>
    </w:p>
    <w:p>
      <w:pPr>
        <w:pStyle w:val="正文内容"/>
        <w:ind w:firstLine="562"/>
      </w:pPr>
      <w:r>
        <w:rPr>
          <w:rFonts w:ascii="Times New Roman" w:hAnsi="Times New Roman" w:cs="Times New Roman" w:eastAsia="仿宋"/>
          <w:b w:val="0"/>
          <w:sz w:val="28"/>
        </w:rPr>
        <w:t>比特币价格承压下行，贝莱德旗下IBIT ETF遭遇创纪录的资金外流。</w:t>
      </w:r>
    </w:p>
    <w:p>
      <w:pPr>
        <w:pStyle w:val="正文内容"/>
        <w:ind w:firstLine="562"/>
      </w:pPr>
      <w:r>
        <w:rPr>
          <w:rFonts w:ascii="Times New Roman" w:hAnsi="Times New Roman" w:cs="Times New Roman" w:eastAsia="仿宋"/>
          <w:b w:val="0"/>
          <w:sz w:val="28"/>
        </w:rPr>
        <w:t>据The Block报道，比特币价格在5月28日跌至73，000美元以下，创数周新低。</w:t>
      </w:r>
    </w:p>
    <w:p>
      <w:pPr>
        <w:pStyle w:val="正文内容"/>
        <w:ind w:firstLine="562"/>
      </w:pPr>
      <w:r>
        <w:rPr>
          <w:rFonts w:ascii="Times New Roman" w:hAnsi="Times New Roman" w:cs="Times New Roman" w:eastAsia="仿宋"/>
          <w:b w:val="0"/>
          <w:sz w:val="28"/>
        </w:rPr>
        <w:t>贝莱德（BlackRock）的现货比特币交易所交易基金（ETF）IBIT当日净流出5.28亿美元，为自2024年1月推出以来的第二大单日流出额。</w:t>
      </w:r>
    </w:p>
    <w:p>
      <w:pPr>
        <w:pStyle w:val="正文内容"/>
        <w:ind w:firstLine="562"/>
      </w:pPr>
      <w:r>
        <w:rPr>
          <w:rFonts w:ascii="Times New Roman" w:hAnsi="Times New Roman" w:cs="Times New Roman" w:eastAsia="仿宋"/>
          <w:b w:val="0"/>
          <w:sz w:val="28"/>
        </w:rPr>
        <w:t>市场分析师认为，中东地缘政治紧张局势和风险资产普遍回落是导致资金外流的主要原因。</w:t>
      </w:r>
    </w:p>
    <w:p>
      <w:pPr>
        <w:pStyle w:val="信息来源"/>
        <w:spacing w:before="50" w:after="100"/>
        <w:jc w:val="right"/>
      </w:pPr>
      <w:r>
        <w:rPr>
          <w:rFonts w:ascii="Times New Roman" w:hAnsi="Times New Roman" w:cs="Times New Roman" w:eastAsia="仿宋"/>
          <w:b w:val="0"/>
          <w:sz w:val="21"/>
        </w:rPr>
        <w:t>（信息来源：The Block）</w:t>
      </w:r>
    </w:p>
    <w:p>
      <w:pPr>
        <w:pStyle w:val="正文内容"/>
        <w:ind w:firstLine="562"/>
      </w:pPr>
      <w:r>
        <w:rPr>
          <w:rFonts w:ascii="Times New Roman" w:hAnsi="Times New Roman" w:cs="Times New Roman" w:eastAsia="仿宋"/>
          <w:b w:val="0"/>
          <w:sz w:val="28"/>
        </w:rPr>
        <w:t>原文标题：Bitcoin falls below $73,000 as BlackRock's BTC ETF sees second-largest outflows since debut</w:t>
      </w:r>
    </w:p>
    <w:p>
      <w:pPr>
        <w:pStyle w:val="正文内容"/>
        <w:ind w:firstLine="562"/>
      </w:pPr>
      <w:r>
        <w:rPr>
          <w:rFonts w:ascii="Times New Roman" w:hAnsi="Times New Roman" w:cs="Times New Roman" w:eastAsia="仿宋"/>
          <w:b w:val="0"/>
          <w:sz w:val="28"/>
        </w:rPr>
        <w:t>原文链接：https://news.google.com/rss/articles/CBMic0FVX3lxTE5zWEVTeXJya2xGdWg0elVQNkJVMWlIRnh1QlFSWWkzRXlQQjdLYjQ0X0ZXUTZENFF5a29ZVVZEcE81c2dIajhZVGZLZ0NnXzF0UHJLQ2FJbEhRa3BqV19fc2R6aHNlVjM2a2hmUG5xTzlGODA?oc=5</w:t>
      </w:r>
    </w:p>
    <w:p/>
    <w:p>
      <w:pPr>
        <w:pStyle w:val="文章一级标题"/>
        <w:jc w:val="center"/>
      </w:pPr>
      <w:r>
        <w:rPr>
          <w:rFonts w:ascii="Times New Roman" w:hAnsi="Times New Roman" w:cs="Times New Roman" w:eastAsia="黑体"/>
          <w:b w:val="0"/>
          <w:sz w:val="30"/>
        </w:rPr>
        <w:t>美国打击伊朗引发比特币跌破73000美元1亿美元杠杆头寸被清算</w:t>
      </w:r>
    </w:p>
    <w:p>
      <w:pPr>
        <w:ind w:firstLine="0" w:left="0"/>
      </w:pPr>
      <w:r>
        <w:rPr>
          <w:rFonts w:ascii="Times New Roman" w:hAnsi="Times New Roman" w:cs="Times New Roman" w:eastAsia="仿宋"/>
          <w:b w:val="0"/>
          <w:sz w:val="28"/>
        </w:rPr>
        <w:t>· 美国对伊朗发动空袭导致市场恐慌</w:t>
      </w:r>
    </w:p>
    <w:p>
      <w:pPr>
        <w:ind w:firstLine="0" w:left="0"/>
      </w:pPr>
      <w:r>
        <w:rPr>
          <w:rFonts w:ascii="Times New Roman" w:hAnsi="Times New Roman" w:cs="Times New Roman" w:eastAsia="仿宋"/>
          <w:b w:val="0"/>
          <w:sz w:val="28"/>
        </w:rPr>
        <w:t>· 加密货币市场1亿美元多头头寸被强制平仓</w:t>
      </w:r>
    </w:p>
    <w:p>
      <w:pPr>
        <w:pStyle w:val="正文内容"/>
        <w:ind w:firstLine="562"/>
      </w:pPr>
      <w:r>
        <w:rPr>
          <w:rFonts w:ascii="Times New Roman" w:hAnsi="Times New Roman" w:cs="Times New Roman" w:eastAsia="仿宋"/>
          <w:b w:val="0"/>
          <w:sz w:val="28"/>
        </w:rPr>
        <w:t>美国军事打击伊朗的消息引发加密货币市场剧烈波动，比特币跌破73，000美元，24小时内清算金额超过1亿美元。</w:t>
      </w:r>
    </w:p>
    <w:p>
      <w:pPr>
        <w:pStyle w:val="正文内容"/>
        <w:ind w:firstLine="562"/>
      </w:pPr>
      <w:r>
        <w:rPr>
          <w:rFonts w:ascii="Times New Roman" w:hAnsi="Times New Roman" w:cs="Times New Roman" w:eastAsia="仿宋"/>
          <w:b w:val="0"/>
          <w:sz w:val="28"/>
        </w:rPr>
        <w:t>CoinDesk报道称，美国对伊朗目标发动空袭后，比特币价格迅速下跌，一度跌破73，000美元。</w:t>
      </w:r>
    </w:p>
    <w:p>
      <w:pPr>
        <w:pStyle w:val="正文内容"/>
        <w:ind w:firstLine="562"/>
      </w:pPr>
      <w:r>
        <w:rPr>
          <w:rFonts w:ascii="Times New Roman" w:hAnsi="Times New Roman" w:cs="Times New Roman" w:eastAsia="仿宋"/>
          <w:b w:val="0"/>
          <w:sz w:val="28"/>
        </w:rPr>
        <w:t>据Coinglass数据，此次下跌导致加密货币市场24小时内超过1亿美元的多头杠杆头寸被清算，主要集中在比特币和以太坊。</w:t>
      </w:r>
    </w:p>
    <w:p>
      <w:pPr>
        <w:pStyle w:val="正文内容"/>
        <w:ind w:firstLine="562"/>
      </w:pPr>
      <w:r>
        <w:rPr>
          <w:rFonts w:ascii="Times New Roman" w:hAnsi="Times New Roman" w:cs="Times New Roman" w:eastAsia="仿宋"/>
          <w:b w:val="0"/>
          <w:sz w:val="28"/>
        </w:rPr>
        <w:t>石油等传统大宗商品价格上涨，而比特币等风险资产承压，凸显地缘政治事件对加密市场的短期冲击。</w:t>
      </w:r>
    </w:p>
    <w:p>
      <w:pPr>
        <w:pStyle w:val="信息来源"/>
        <w:spacing w:before="50" w:after="100"/>
        <w:jc w:val="right"/>
      </w:pPr>
      <w:r>
        <w:rPr>
          <w:rFonts w:ascii="Times New Roman" w:hAnsi="Times New Roman" w:cs="Times New Roman" w:eastAsia="仿宋"/>
          <w:b w:val="0"/>
          <w:sz w:val="21"/>
        </w:rPr>
        <w:t>（信息来源：CoinDesk）</w:t>
      </w:r>
    </w:p>
    <w:p>
      <w:pPr>
        <w:pStyle w:val="正文内容"/>
        <w:ind w:firstLine="562"/>
      </w:pPr>
      <w:r>
        <w:rPr>
          <w:rFonts w:ascii="Times New Roman" w:hAnsi="Times New Roman" w:cs="Times New Roman" w:eastAsia="仿宋"/>
          <w:b w:val="0"/>
          <w:sz w:val="28"/>
        </w:rPr>
        <w:t>原文标题：Bitcoin drops below $73,000 as U.S. strikes on Iran spark $1 billion liquidations</w:t>
      </w:r>
    </w:p>
    <w:p>
      <w:pPr>
        <w:pStyle w:val="正文内容"/>
        <w:ind w:firstLine="562"/>
      </w:pPr>
      <w:r>
        <w:rPr>
          <w:rFonts w:ascii="Times New Roman" w:hAnsi="Times New Roman" w:cs="Times New Roman" w:eastAsia="仿宋"/>
          <w:b w:val="0"/>
          <w:sz w:val="28"/>
        </w:rPr>
        <w:t>原文链接：https://news.google.com/rss/articles/CBMixgFBVV95cUxNLW16OUdFVzlLQ0tVQ3VfVUtuUG1DY0VqRlpBbTNaYU5GSm83STdRVDB1SEpyVWJCX2NwOTh1ejZLVzJqcmI0cVpIaThfQWhiNElOTWN6WmlibkpUbC1OM1JvcEVoaFFyNnlQa2JqS2tjdHRwM1lZLXpUTHk2dk9XamkteWRqSjdzV2d5TWFnN0hyRWo4UkFvRnN5SHBUU19fUmVlTUt0YUdtVllQWWtvWEtVaXRXVFZDVmdpbXNwWE81b2pYb0E?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jc w:val="center"/>
      </w:pPr>
      <w:r>
        <w:rPr>
          <w:rFonts w:ascii="Times New Roman" w:hAnsi="Times New Roman" w:cs="Times New Roman" w:eastAsia="黑体"/>
          <w:b w:val="0"/>
          <w:sz w:val="30"/>
        </w:rPr>
        <w:t>加密CEO表示比特币四年周期规律仍然有效</w:t>
      </w:r>
    </w:p>
    <w:p>
      <w:pPr>
        <w:ind w:firstLine="0" w:left="0"/>
      </w:pPr>
      <w:r>
        <w:rPr>
          <w:rFonts w:ascii="Times New Roman" w:hAnsi="Times New Roman" w:cs="Times New Roman" w:eastAsia="仿宋"/>
          <w:b w:val="0"/>
          <w:sz w:val="28"/>
        </w:rPr>
        <w:t>· 某加密CEO认为比特币的四年周期规律仍在发挥作用</w:t>
      </w:r>
    </w:p>
    <w:p>
      <w:pPr>
        <w:ind w:firstLine="0" w:left="0"/>
      </w:pPr>
      <w:r>
        <w:rPr>
          <w:rFonts w:ascii="Times New Roman" w:hAnsi="Times New Roman" w:cs="Times New Roman" w:eastAsia="仿宋"/>
          <w:b w:val="0"/>
          <w:sz w:val="28"/>
        </w:rPr>
        <w:t>· 该观点基于历史减半事件后的价格表现</w:t>
      </w:r>
    </w:p>
    <w:p>
      <w:pPr>
        <w:pStyle w:val="正文内容"/>
        <w:ind w:firstLine="562"/>
      </w:pPr>
      <w:r>
        <w:rPr>
          <w:rFonts w:ascii="Times New Roman" w:hAnsi="Times New Roman" w:cs="Times New Roman" w:eastAsia="仿宋"/>
          <w:b w:val="0"/>
          <w:sz w:val="28"/>
        </w:rPr>
        <w:t>一位加密货币CEO在采访中表示，比特币的四年周期规律并未失效，当前回调属于正常调整。</w:t>
      </w:r>
    </w:p>
    <w:p>
      <w:pPr>
        <w:pStyle w:val="正文内容"/>
        <w:ind w:firstLine="562"/>
      </w:pPr>
      <w:r>
        <w:rPr>
          <w:rFonts w:ascii="Times New Roman" w:hAnsi="Times New Roman" w:cs="Times New Roman" w:eastAsia="仿宋"/>
          <w:b w:val="0"/>
          <w:sz w:val="28"/>
        </w:rPr>
        <w:t>Bitget发布的一篇报道中，一位匿名的加密货币CEO指出，比特币的四年周期规律（与区块奖励减半相关）仍在主导市场走势。</w:t>
      </w:r>
    </w:p>
    <w:p>
      <w:pPr>
        <w:pStyle w:val="正文内容"/>
        <w:ind w:firstLine="562"/>
      </w:pPr>
      <w:r>
        <w:rPr>
          <w:rFonts w:ascii="Times New Roman" w:hAnsi="Times New Roman" w:cs="Times New Roman" w:eastAsia="仿宋"/>
          <w:b w:val="0"/>
          <w:sz w:val="28"/>
        </w:rPr>
        <w:t>该CEO认为，尽管比特币价格近期出现波动，但历史模式表明减半后通常伴随长期上涨，当前阶段仅是周期中的调整。</w:t>
      </w:r>
    </w:p>
    <w:p>
      <w:pPr>
        <w:pStyle w:val="正文内容"/>
        <w:ind w:firstLine="562"/>
      </w:pPr>
      <w:r>
        <w:rPr>
          <w:rFonts w:ascii="Times New Roman" w:hAnsi="Times New Roman" w:cs="Times New Roman" w:eastAsia="仿宋"/>
          <w:b w:val="0"/>
          <w:sz w:val="28"/>
        </w:rPr>
        <w:t>这一观点为部分投资者提供了信心，但市场也存在分歧，一些分析师警告周期规律可能因机构参与而改变。</w:t>
      </w:r>
    </w:p>
    <w:p>
      <w:pPr>
        <w:pStyle w:val="信息来源"/>
        <w:spacing w:before="50" w:after="100"/>
        <w:jc w:val="right"/>
      </w:pPr>
      <w:r>
        <w:rPr>
          <w:rFonts w:ascii="Times New Roman" w:hAnsi="Times New Roman" w:cs="Times New Roman" w:eastAsia="仿宋"/>
          <w:b w:val="0"/>
          <w:sz w:val="21"/>
        </w:rPr>
        <w:t>（信息来源：Bitget）</w:t>
      </w:r>
    </w:p>
    <w:p>
      <w:pPr>
        <w:pStyle w:val="正文内容"/>
        <w:ind w:firstLine="562"/>
      </w:pPr>
      <w:r>
        <w:rPr>
          <w:rFonts w:ascii="Times New Roman" w:hAnsi="Times New Roman" w:cs="Times New Roman" w:eastAsia="仿宋"/>
          <w:b w:val="0"/>
          <w:sz w:val="28"/>
        </w:rPr>
        <w:t>原文标题：Bitcoin's 4-Year Rhythm Is Still Playing Out, Says Crypto CEO</w:t>
      </w:r>
    </w:p>
    <w:p>
      <w:pPr>
        <w:pStyle w:val="正文内容"/>
        <w:ind w:firstLine="562"/>
      </w:pPr>
      <w:r>
        <w:rPr>
          <w:rFonts w:ascii="Times New Roman" w:hAnsi="Times New Roman" w:cs="Times New Roman" w:eastAsia="仿宋"/>
          <w:b w:val="0"/>
          <w:sz w:val="28"/>
        </w:rPr>
        <w:t>原文链接：https://news.google.com/rss/articles/CBMiY0FVX3lxTE5kXzVfLVQyaWhVRVNlM0RtdjZReU9RMFZWYWxxMFQ5VTJ0OEVXaUlxTlVzVFB1ZGp3eEdka1huWEVVNzI2QkN3MU5XRU5lSWEteGppSFpqV1FQU25iaEJINEZna9IBY0FVX3lxTE5kXzVfLVQyaWhVRVNlM0RtdjZReU9RMFZWYWxxMFQ5VTJ0OEVXaUlxTlVzVFB1ZGp3eEdka1huWEVVNzI2QkN3MU5XRU5lSWEteGppSFpqV1FQU25iaEJINEZnaw?oc=5</w:t>
      </w:r>
    </w:p>
    <w:p/>
    <w:p>
      <w:pPr>
        <w:pStyle w:val="文章一级标题"/>
        <w:jc w:val="center"/>
      </w:pPr>
      <w:r>
        <w:rPr>
          <w:rFonts w:ascii="Times New Roman" w:hAnsi="Times New Roman" w:cs="Times New Roman" w:eastAsia="黑体"/>
          <w:b w:val="0"/>
          <w:sz w:val="30"/>
        </w:rPr>
        <w:t>CathieWood认为机构投资者正在比特币下跌时买入</w:t>
      </w:r>
    </w:p>
    <w:p>
      <w:pPr>
        <w:ind w:firstLine="0" w:left="0"/>
      </w:pPr>
      <w:r>
        <w:rPr>
          <w:rFonts w:ascii="Times New Roman" w:hAnsi="Times New Roman" w:cs="Times New Roman" w:eastAsia="仿宋"/>
          <w:b w:val="0"/>
          <w:sz w:val="28"/>
        </w:rPr>
        <w:t>· Ark Invest首席执行官Cathie Wood表示机构正在逢低买入比特币</w:t>
      </w:r>
    </w:p>
    <w:p>
      <w:pPr>
        <w:ind w:firstLine="0" w:left="0"/>
      </w:pPr>
      <w:r>
        <w:rPr>
          <w:rFonts w:ascii="Times New Roman" w:hAnsi="Times New Roman" w:cs="Times New Roman" w:eastAsia="仿宋"/>
          <w:b w:val="0"/>
          <w:sz w:val="28"/>
        </w:rPr>
        <w:t>· 她认为长期机构采用趋势未变</w:t>
      </w:r>
    </w:p>
    <w:p>
      <w:pPr>
        <w:pStyle w:val="正文内容"/>
        <w:ind w:firstLine="562"/>
      </w:pPr>
      <w:r>
        <w:rPr>
          <w:rFonts w:ascii="Times New Roman" w:hAnsi="Times New Roman" w:cs="Times New Roman" w:eastAsia="仿宋"/>
          <w:b w:val="0"/>
          <w:sz w:val="28"/>
        </w:rPr>
        <w:t>Cathie Wood在接受CryptoRank采访时表示，机构投资者正在利用比特币价格回落增加配置。</w:t>
      </w:r>
    </w:p>
    <w:p>
      <w:pPr>
        <w:pStyle w:val="正文内容"/>
        <w:ind w:firstLine="562"/>
      </w:pPr>
      <w:r>
        <w:rPr>
          <w:rFonts w:ascii="Times New Roman" w:hAnsi="Times New Roman" w:cs="Times New Roman" w:eastAsia="仿宋"/>
          <w:b w:val="0"/>
          <w:sz w:val="28"/>
        </w:rPr>
        <w:t>Ark Invest首席执行官Cathie Wood（伍德）在CryptoRank的采访中指出，尽管比特币价格近期走弱，但机构投资者并未离场，反而在逢低买入。</w:t>
      </w:r>
    </w:p>
    <w:p>
      <w:pPr>
        <w:pStyle w:val="正文内容"/>
        <w:ind w:firstLine="562"/>
      </w:pPr>
      <w:r>
        <w:rPr>
          <w:rFonts w:ascii="Times New Roman" w:hAnsi="Times New Roman" w:cs="Times New Roman" w:eastAsia="仿宋"/>
          <w:b w:val="0"/>
          <w:sz w:val="28"/>
        </w:rPr>
        <w:t>Wood认为，比特币的基本面依然强劲，机构采用趋势将持续，长期价格前景乐观。</w:t>
      </w:r>
    </w:p>
    <w:p>
      <w:pPr>
        <w:pStyle w:val="正文内容"/>
        <w:ind w:firstLine="562"/>
      </w:pPr>
      <w:r>
        <w:rPr>
          <w:rFonts w:ascii="Times New Roman" w:hAnsi="Times New Roman" w:cs="Times New Roman" w:eastAsia="仿宋"/>
          <w:b w:val="0"/>
          <w:sz w:val="28"/>
        </w:rPr>
        <w:t>她补充说，当前市场调整更多受到宏观经济因素影响，而非加密货币本身的问题。</w:t>
      </w:r>
    </w:p>
    <w:p>
      <w:pPr>
        <w:pStyle w:val="信息来源"/>
        <w:spacing w:before="50" w:after="100"/>
        <w:jc w:val="right"/>
      </w:pPr>
      <w:r>
        <w:rPr>
          <w:rFonts w:ascii="Times New Roman" w:hAnsi="Times New Roman" w:cs="Times New Roman" w:eastAsia="仿宋"/>
          <w:b w:val="0"/>
          <w:sz w:val="21"/>
        </w:rPr>
        <w:t>（信息来源：CryptoRank）</w:t>
      </w:r>
    </w:p>
    <w:p>
      <w:pPr>
        <w:pStyle w:val="正文内容"/>
        <w:ind w:firstLine="562"/>
      </w:pPr>
      <w:r>
        <w:rPr>
          <w:rFonts w:ascii="Times New Roman" w:hAnsi="Times New Roman" w:cs="Times New Roman" w:eastAsia="仿宋"/>
          <w:b w:val="0"/>
          <w:sz w:val="28"/>
        </w:rPr>
        <w:t>原文标题：Cathie Wood Says Institutions Are Buying the Dip as Bitcoin Weakens</w:t>
      </w:r>
    </w:p>
    <w:p>
      <w:pPr>
        <w:pStyle w:val="正文内容"/>
        <w:ind w:firstLine="562"/>
      </w:pPr>
      <w:r>
        <w:rPr>
          <w:rFonts w:ascii="Times New Roman" w:hAnsi="Times New Roman" w:cs="Times New Roman" w:eastAsia="仿宋"/>
          <w:b w:val="0"/>
          <w:sz w:val="28"/>
        </w:rPr>
        <w:t>原文链接：https://news.google.com/rss/articles/CBMiqAFBVV95cUxOcUtZdThXOGQ0T2dFWFZSbXhVWWxxWE85blJMTms3NHJ4WXhwTlNOdnRtSmJNcjFRLUJuNlk2QzJ1TTZvTFlfR1FCV0JEamFaU014N0t4Z3NFRUpQU3BhUXN1Y2xUaTBHUGdJZkVfV0syeXRCOEc2VFRXSzg0V1ZIWTgzOEZHMW8yQlFudjVWOXlxRmppNHBiajVxdFVWUWVzdTVvSkpaSG8?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jc w:val="center"/>
      </w:pPr>
      <w:r>
        <w:rPr>
          <w:rFonts w:ascii="Times New Roman" w:hAnsi="Times New Roman" w:cs="Times New Roman" w:eastAsia="黑体"/>
          <w:b w:val="0"/>
          <w:sz w:val="30"/>
        </w:rPr>
        <w:t>伯恩斯坦报告代币化现实世界资产市场已突破510亿美元</w:t>
      </w:r>
    </w:p>
    <w:p>
      <w:pPr>
        <w:ind w:firstLine="0" w:left="0"/>
      </w:pPr>
      <w:r>
        <w:rPr>
          <w:rFonts w:ascii="Times New Roman" w:hAnsi="Times New Roman" w:cs="Times New Roman" w:eastAsia="仿宋"/>
          <w:b w:val="0"/>
          <w:sz w:val="28"/>
        </w:rPr>
        <w:t>· 代币化现实世界资产市场规模超过510亿美元</w:t>
      </w:r>
    </w:p>
    <w:p>
      <w:pPr>
        <w:ind w:firstLine="0" w:left="0"/>
      </w:pPr>
      <w:r>
        <w:rPr>
          <w:rFonts w:ascii="Times New Roman" w:hAnsi="Times New Roman" w:cs="Times New Roman" w:eastAsia="仿宋"/>
          <w:b w:val="0"/>
          <w:sz w:val="28"/>
        </w:rPr>
        <w:t>· 伯恩斯坦报告指出该领域年增长率超过50%</w:t>
      </w:r>
    </w:p>
    <w:p>
      <w:pPr>
        <w:pStyle w:val="正文内容"/>
        <w:ind w:firstLine="562"/>
      </w:pPr>
      <w:r>
        <w:rPr>
          <w:rFonts w:ascii="Times New Roman" w:hAnsi="Times New Roman" w:cs="Times New Roman" w:eastAsia="仿宋"/>
          <w:b w:val="0"/>
          <w:sz w:val="28"/>
        </w:rPr>
        <w:t>据伯恩斯坦研究公司报告，代币化现实世界资产市场已突破510亿美元，成为加密领域增长最快的细分市场之一。</w:t>
      </w:r>
    </w:p>
    <w:p>
      <w:pPr>
        <w:pStyle w:val="正文内容"/>
        <w:ind w:firstLine="562"/>
      </w:pPr>
      <w:r>
        <w:rPr>
          <w:rFonts w:ascii="Times New Roman" w:hAnsi="Times New Roman" w:cs="Times New Roman" w:eastAsia="仿宋"/>
          <w:b w:val="0"/>
          <w:sz w:val="28"/>
        </w:rPr>
        <w:t>伯恩斯坦（Bernstein）研究公司发布最新报告，显示代币化现实世界资产（Real-World Assets，RWA）的市场规模已超过510亿美元。</w:t>
      </w:r>
    </w:p>
    <w:p>
      <w:pPr>
        <w:pStyle w:val="正文内容"/>
        <w:ind w:firstLine="562"/>
      </w:pPr>
      <w:r>
        <w:rPr>
          <w:rFonts w:ascii="Times New Roman" w:hAnsi="Times New Roman" w:cs="Times New Roman" w:eastAsia="仿宋"/>
          <w:b w:val="0"/>
          <w:sz w:val="28"/>
        </w:rPr>
        <w:t>报告指出，代币化资产涵盖国债、私募信贷、房地产和大宗商品，其中代币化美国国债贡献了主要增长。</w:t>
      </w:r>
    </w:p>
    <w:p>
      <w:pPr>
        <w:pStyle w:val="正文内容"/>
        <w:ind w:firstLine="562"/>
      </w:pPr>
      <w:r>
        <w:rPr>
          <w:rFonts w:ascii="Times New Roman" w:hAnsi="Times New Roman" w:cs="Times New Roman" w:eastAsia="仿宋"/>
          <w:b w:val="0"/>
          <w:sz w:val="28"/>
        </w:rPr>
        <w:t>伯恩斯坦预计，到2028年，代币化RWA市场规模可能达到数万亿美元，推动力来自机构对区块链效率的需求。</w:t>
      </w:r>
    </w:p>
    <w:p>
      <w:pPr>
        <w:pStyle w:val="正文内容"/>
        <w:ind w:firstLine="562"/>
      </w:pPr>
      <w:r>
        <w:rPr>
          <w:rFonts w:ascii="Times New Roman" w:hAnsi="Times New Roman" w:cs="Times New Roman" w:eastAsia="仿宋"/>
          <w:b w:val="0"/>
          <w:sz w:val="28"/>
        </w:rPr>
        <w:t>报告同时警告，监管不确定性和托管风险仍是制约市场规模进一步扩大的关键因素。</w:t>
      </w:r>
    </w:p>
    <w:p>
      <w:pPr>
        <w:pStyle w:val="正文内容"/>
        <w:ind w:firstLine="562"/>
      </w:pPr>
      <w:r>
        <w:rPr>
          <w:rFonts w:ascii="Times New Roman" w:hAnsi="Times New Roman" w:cs="Times New Roman" w:eastAsia="仿宋"/>
          <w:b w:val="0"/>
          <w:sz w:val="28"/>
        </w:rPr>
        <w:t>这一趋势表明，区块链技术正在从纯粹的加密货币向传统金融资产代币化方向演进，有望重塑资本市场基础设施。</w:t>
      </w:r>
    </w:p>
    <w:p>
      <w:pPr>
        <w:pStyle w:val="信息来源"/>
        <w:spacing w:before="50" w:after="100"/>
        <w:jc w:val="right"/>
      </w:pPr>
      <w:r>
        <w:rPr>
          <w:rFonts w:ascii="Times New Roman" w:hAnsi="Times New Roman" w:cs="Times New Roman" w:eastAsia="仿宋"/>
          <w:b w:val="0"/>
          <w:sz w:val="21"/>
        </w:rPr>
        <w:t>（信息来源：Cryptonews.net）</w:t>
      </w:r>
    </w:p>
    <w:p>
      <w:pPr>
        <w:pStyle w:val="正文内容"/>
        <w:ind w:firstLine="562"/>
      </w:pPr>
      <w:r>
        <w:rPr>
          <w:rFonts w:ascii="Times New Roman" w:hAnsi="Times New Roman" w:cs="Times New Roman" w:eastAsia="仿宋"/>
          <w:b w:val="0"/>
          <w:sz w:val="28"/>
        </w:rPr>
        <w:t>原文标题：Tokenized Real-World Asset Market Surpasses $51 Billion, Bernstein Reports</w:t>
      </w:r>
    </w:p>
    <w:p>
      <w:pPr>
        <w:pStyle w:val="正文内容"/>
        <w:ind w:firstLine="562"/>
      </w:pPr>
      <w:r>
        <w:rPr>
          <w:rFonts w:ascii="Times New Roman" w:hAnsi="Times New Roman" w:cs="Times New Roman" w:eastAsia="仿宋"/>
          <w:b w:val="0"/>
          <w:sz w:val="28"/>
        </w:rPr>
        <w:t>原文链接：https://news.google.com/rss/articles/CBMiXEFVX3lxTFBUd0FTblVqNnREaDNiM2tFQ1NoSHRnV2h2VjU0MlctOUZlT3FiZVdQWmdpUjVqWWFoQlBqdzZVLUxVWlNPcDJqLUk5YmJ1X09LNktWU3BkSURydHJt?oc=5</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ind w:firstLine="20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ind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jc w:val="center"/>
    </w:pPr>
    <w:rPr>
      <w:rFonts w:ascii="Times New Roman" w:hAnsi="Times New Roman" w:cs="Times New Roman" w:eastAsia="黑体"/>
      <w:sz w:val="30"/>
    </w:rPr>
  </w:style>
  <w:style w:type="paragraph" w:customStyle="1" w:styleId="正文内容">
    <w:name w:val="正文内容"/>
    <w:basedOn w:val="Normal"/>
    <w:pPr>
      <w:ind w:firstLine="562"/>
    </w:pPr>
    <w:rPr>
      <w:rFonts w:ascii="Times New Roman" w:hAnsi="Times New Roman" w:cs="Times New Roman" w:eastAsia="仿宋"/>
      <w:sz w:val="28"/>
    </w:rPr>
  </w:style>
  <w:style w:type="paragraph" w:customStyle="1" w:styleId="信息来源">
    <w:name w:val="信息来源"/>
    <w:basedOn w:val="Normal"/>
    <w:pPr>
      <w:spacing w:before="50" w:after="100"/>
      <w:jc w:val="right"/>
    </w:pPr>
    <w:rPr>
      <w:rFonts w:ascii="Times New Roman" w:hAnsi="Times New Roman" w:cs="Times New Roman" w:eastAsia="仿宋"/>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15:53 至 2026-05-28 15:53（北京时间，最近3天）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