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2024年第一季度销售总结</w:t>
      </w:r>
    </w:p>
    <w:p>
      <w:r>
        <w:rPr>
          <w:b/>
        </w:rPr>
        <w:t xml:space="preserve">本季度 </w:t>
      </w:r>
      <w:r>
        <w:rPr>
          <w:i/>
        </w:rPr>
        <w:t>销售额</w:t>
      </w:r>
      <w:r>
        <w:t xml:space="preserve"> 同比增长15%。</w:t>
      </w:r>
    </w:p>
    <w:p>
      <w:pPr>
        <w:jc w:val="right"/>
      </w:pPr>
      <w:r>
        <w:t>华东区销售额最高，其次是华南区。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区域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销售额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增长率</w:t>
            </w:r>
          </w:p>
        </w:tc>
      </w:tr>
      <w:tr>
        <w:tc>
          <w:tcPr>
            <w:tcW w:type="dxa" w:w="2880"/>
          </w:tcPr>
          <w:p>
            <w:r>
              <w:t>华东</w:t>
            </w:r>
          </w:p>
        </w:tc>
        <w:tc>
          <w:tcPr>
            <w:tcW w:type="dxa" w:w="2880"/>
          </w:tcPr>
          <w:p>
            <w:r>
              <w:t>¥500万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华南</w:t>
            </w:r>
          </w:p>
        </w:tc>
        <w:tc>
          <w:tcPr>
            <w:tcW w:type="dxa" w:w="2880"/>
          </w:tcPr>
          <w:p>
            <w:r>
              <w:t>¥420万</w:t>
            </w:r>
          </w:p>
        </w:tc>
        <w:tc>
          <w:tcPr>
            <w:tcW w:type="dxa" w:w="2880"/>
          </w:tcPr>
          <w:p>
            <w:r>
              <w:t>12%</w:t>
            </w:r>
          </w:p>
        </w:tc>
      </w:tr>
    </w:tbl>
    <w:p>
      <w:r>
        <w:t>年度销售额目标已调整为 ¥3000万。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