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5" w:name="_GoBack"/>
      <w:bookmarkEnd w:id="45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10C8405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_Toc15829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项目研究背景</w:t>
      </w:r>
      <w:r>
        <w:tab/>
      </w:r>
      <w:r>
        <w:fldChar w:fldCharType="begin"/>
      </w:r>
      <w:r>
        <w:instrText xml:space="preserve"> PAGEREF _Toc15829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343D3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_Toc12639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疾病领域投资逻辑</w:t>
      </w:r>
      <w:r>
        <w:tab/>
      </w:r>
      <w:r>
        <w:fldChar w:fldCharType="begin"/>
      </w:r>
      <w:r>
        <w:instrText xml:space="preserve"> PAGEREF _Toc12639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D22725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_Toc22252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药物市场研究范围</w:t>
      </w:r>
      <w:r>
        <w:tab/>
      </w:r>
      <w:r>
        <w:fldChar w:fldCharType="begin"/>
      </w:r>
      <w:r>
        <w:instrText xml:space="preserve"> PAGEREF _Toc22252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91CB1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_Toc7543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报告核心结论摘要</w:t>
      </w:r>
      <w:r>
        <w:tab/>
      </w:r>
      <w:r>
        <w:fldChar w:fldCharType="begin"/>
      </w:r>
      <w:r>
        <w:instrText xml:space="preserve"> PAGEREF _Toc7543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ADC1B3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_Toc15665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_Toc15665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329243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_Toc31008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疾病负担与临床价值</w:t>
      </w:r>
      <w:r>
        <w:tab/>
      </w:r>
      <w:r>
        <w:fldChar w:fldCharType="begin"/>
      </w:r>
      <w:r>
        <w:instrText xml:space="preserve"> PAGEREF _Toc31008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30DD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_Toc21611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2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患病人群规模</w:t>
      </w:r>
      <w:r>
        <w:tab/>
      </w:r>
      <w:r>
        <w:fldChar w:fldCharType="begin"/>
      </w:r>
      <w:r>
        <w:instrText xml:space="preserve"> PAGEREF _Toc21611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4B54B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_Toc13300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2</w:t>
      </w:r>
      <w:r>
        <w:t>.2 疾病治疗痛点</w:t>
      </w:r>
      <w:r>
        <w:tab/>
      </w:r>
      <w:r>
        <w:fldChar w:fldCharType="begin"/>
      </w:r>
      <w:r>
        <w:instrText xml:space="preserve"> PAGEREF _Toc13300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B188F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_Toc9488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2</w:t>
      </w:r>
      <w:r>
        <w:t>.3 药物干预价值</w:t>
      </w:r>
      <w:r>
        <w:tab/>
      </w:r>
      <w:r>
        <w:fldChar w:fldCharType="begin"/>
      </w:r>
      <w:r>
        <w:instrText xml:space="preserve"> PAGEREF _Toc9488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0E940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_Toc14022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_Toc14022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B10E8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_Toc22006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药物市场容量测算</w:t>
      </w:r>
      <w:r>
        <w:tab/>
      </w:r>
      <w:r>
        <w:fldChar w:fldCharType="begin"/>
      </w:r>
      <w:r>
        <w:instrText xml:space="preserve"> PAGEREF _Toc22006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0DE95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_Toc12575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患者基数测算</w:t>
      </w:r>
      <w:r>
        <w:tab/>
      </w:r>
      <w:r>
        <w:fldChar w:fldCharType="begin"/>
      </w:r>
      <w:r>
        <w:instrText xml:space="preserve"> PAGEREF _Toc12575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00BE64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_Toc5219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.2 治疗率测算</w:t>
      </w:r>
      <w:r>
        <w:tab/>
      </w:r>
      <w:r>
        <w:fldChar w:fldCharType="begin"/>
      </w:r>
      <w:r>
        <w:instrText xml:space="preserve"> PAGEREF _Toc5219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19DCB6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_Toc28555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.3 市场规模测算模型</w:t>
      </w:r>
      <w:r>
        <w:tab/>
      </w:r>
      <w:r>
        <w:fldChar w:fldCharType="begin"/>
      </w:r>
      <w:r>
        <w:instrText xml:space="preserve"> PAGEREF _Toc28555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48CFD3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_Toc26026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_Toc26026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3AFB2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_Toc26936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产品商业化潜力分析</w:t>
      </w:r>
      <w:r>
        <w:tab/>
      </w:r>
      <w:r>
        <w:fldChar w:fldCharType="begin"/>
      </w:r>
      <w:r>
        <w:instrText xml:space="preserve"> PAGEREF _Toc26936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31F164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_Toc30401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.1 药物疗效优势</w:t>
      </w:r>
      <w:r>
        <w:tab/>
      </w:r>
      <w:r>
        <w:fldChar w:fldCharType="begin"/>
      </w:r>
      <w:r>
        <w:instrText xml:space="preserve"> PAGEREF _Toc30401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20D660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_Toc26558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.2 安全性与依从性</w:t>
      </w:r>
      <w:r>
        <w:tab/>
      </w:r>
      <w:r>
        <w:fldChar w:fldCharType="begin"/>
      </w:r>
      <w:r>
        <w:instrText xml:space="preserve"> PAGEREF _Toc26558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BDF8CF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_Toc24944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.3 临床替代空间</w:t>
      </w:r>
      <w:r>
        <w:tab/>
      </w:r>
      <w:r>
        <w:fldChar w:fldCharType="begin"/>
      </w:r>
      <w:r>
        <w:instrText xml:space="preserve"> PAGEREF _Toc24944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00B2B9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_Toc525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4.4 本章小结</w:t>
      </w:r>
      <w:r>
        <w:tab/>
      </w:r>
      <w:r>
        <w:fldChar w:fldCharType="begin"/>
      </w:r>
      <w:r>
        <w:instrText xml:space="preserve"> PAGEREF _Toc525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54B7D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_Toc23561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竞品与替代方案分析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_Toc23561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80127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_Toc11213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.1 现有治疗药物</w:t>
      </w:r>
      <w:r>
        <w:tab/>
      </w:r>
      <w:r>
        <w:fldChar w:fldCharType="begin"/>
      </w:r>
      <w:r>
        <w:instrText xml:space="preserve"> PAGEREF _Toc11213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A5F395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_Toc12231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.2 同类竞品</w:t>
      </w:r>
      <w:r>
        <w:tab/>
      </w:r>
      <w:r>
        <w:fldChar w:fldCharType="begin"/>
      </w:r>
      <w:r>
        <w:instrText xml:space="preserve"> PAGEREF _Toc12231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6A096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_Toc25781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.3 非药物治疗替代方案</w:t>
      </w:r>
      <w:r>
        <w:tab/>
      </w:r>
      <w:r>
        <w:fldChar w:fldCharType="begin"/>
      </w:r>
      <w:r>
        <w:instrText xml:space="preserve"> PAGEREF _Toc25781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A0C88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_Toc29513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5.4 本章小结</w:t>
      </w:r>
      <w:r>
        <w:tab/>
      </w:r>
      <w:r>
        <w:fldChar w:fldCharType="begin"/>
      </w:r>
      <w:r>
        <w:instrText xml:space="preserve"> PAGEREF _Toc29513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E295A2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_Toc12196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价格体系与支付能力</w:t>
      </w:r>
      <w:r>
        <w:tab/>
      </w:r>
      <w:r>
        <w:fldChar w:fldCharType="begin"/>
      </w:r>
      <w:r>
        <w:instrText xml:space="preserve"> PAGEREF _Toc12196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7C608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_Toc12740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</w:t>
      </w:r>
      <w:r>
        <w:t>.1 药品价格区间</w:t>
      </w:r>
      <w:r>
        <w:tab/>
      </w:r>
      <w:r>
        <w:fldChar w:fldCharType="begin"/>
      </w:r>
      <w:r>
        <w:instrText xml:space="preserve"> PAGEREF _Toc12740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71AD96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_Toc30593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</w:t>
      </w:r>
      <w:r>
        <w:t>.2 医保支付情况</w:t>
      </w:r>
      <w:r>
        <w:tab/>
      </w:r>
      <w:r>
        <w:fldChar w:fldCharType="begin"/>
      </w:r>
      <w:r>
        <w:instrText xml:space="preserve"> PAGEREF _Toc30593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F03FCA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_Toc11486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</w:t>
      </w:r>
      <w:r>
        <w:t>.3 患者自费能力</w:t>
      </w:r>
      <w:r>
        <w:tab/>
      </w:r>
      <w:r>
        <w:fldChar w:fldCharType="begin"/>
      </w:r>
      <w:r>
        <w:instrText xml:space="preserve"> PAGEREF _Toc11486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276472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_Toc30773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_Toc30773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0F94F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_Toc5718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企业竞争与市场集中度</w:t>
      </w:r>
      <w:r>
        <w:tab/>
      </w:r>
      <w:r>
        <w:fldChar w:fldCharType="begin"/>
      </w:r>
      <w:r>
        <w:instrText xml:space="preserve"> PAGEREF _Toc5718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9BDB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_Toc13360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7</w:t>
      </w:r>
      <w:r>
        <w:t>.1 主要参与企业</w:t>
      </w:r>
      <w:r>
        <w:tab/>
      </w:r>
      <w:r>
        <w:fldChar w:fldCharType="begin"/>
      </w:r>
      <w:r>
        <w:instrText xml:space="preserve"> PAGEREF _Toc13360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BCD44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_Toc18397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7</w:t>
      </w:r>
      <w:r>
        <w:t>.2 品牌竞争格局</w:t>
      </w:r>
      <w:r>
        <w:tab/>
      </w:r>
      <w:r>
        <w:fldChar w:fldCharType="begin"/>
      </w:r>
      <w:r>
        <w:instrText xml:space="preserve"> PAGEREF _Toc18397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64042B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7</w:t>
      </w:r>
      <w:r>
        <w:t>.3 市场进入壁垒</w:t>
      </w:r>
      <w:r>
        <w:tab/>
      </w:r>
      <w:r>
        <w:fldChar w:fldCharType="begin"/>
      </w:r>
      <w:r>
        <w:instrText xml:space="preserve"> PAGEREF _Toc856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F757AA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_Toc29391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_Toc29391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3C2CBB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_Toc28258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第八章 研发管线与未来替代风险</w:t>
      </w:r>
      <w:r>
        <w:tab/>
      </w:r>
      <w:r>
        <w:fldChar w:fldCharType="begin"/>
      </w:r>
      <w:r>
        <w:instrText xml:space="preserve"> PAGEREF _Toc28258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98CDA1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_Toc20146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</w:t>
      </w:r>
      <w:r>
        <w:t>.1 国内在研项目</w:t>
      </w:r>
      <w:r>
        <w:tab/>
      </w:r>
      <w:r>
        <w:fldChar w:fldCharType="begin"/>
      </w:r>
      <w:r>
        <w:instrText xml:space="preserve"> PAGEREF _Toc20146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A8C70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_Toc25046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</w:t>
      </w:r>
      <w:r>
        <w:t>.2 国外创新药趋势</w:t>
      </w:r>
      <w:r>
        <w:tab/>
      </w:r>
      <w:r>
        <w:fldChar w:fldCharType="begin"/>
      </w:r>
      <w:r>
        <w:instrText xml:space="preserve"> PAGEREF _Toc25046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2DD8E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_Toc17568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</w:t>
      </w:r>
      <w:r>
        <w:t>.3 潜在替代产品</w:t>
      </w:r>
      <w:r>
        <w:tab/>
      </w:r>
      <w:r>
        <w:fldChar w:fldCharType="begin"/>
      </w:r>
      <w:r>
        <w:instrText xml:space="preserve"> PAGEREF _Toc17568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49098E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_Toc24144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8.4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_Toc24144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03726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_Toc18183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_Toc18183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22ADD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_Toc14272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_Toc14272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3F4BAD8">
      <w:pPr>
        <w:pStyle w:val="16"/>
        <w:bidi w:val="0"/>
        <w:rPr>
          <w:rFonts w:hint="eastAsia"/>
          <w:lang w:eastAsia="zh-CN"/>
        </w:rPr>
      </w:pPr>
      <w:bookmarkStart w:id="0" w:name="_Toc15829"/>
      <w:r>
        <w:t>第一章 项目研究背景</w:t>
      </w:r>
      <w:bookmarkEnd w:id="0"/>
    </w:p>
    <w:p w14:paraId="6A1ED895">
      <w:pPr>
        <w:pStyle w:val="17"/>
        <w:bidi w:val="0"/>
        <w:rPr>
          <w:rFonts w:hint="eastAsia"/>
          <w:lang w:eastAsia="zh-CN"/>
        </w:rPr>
      </w:pPr>
      <w:bookmarkStart w:id="1" w:name="_Toc12639"/>
      <w:r>
        <w:t>1.1 疾病领域投资逻辑</w:t>
      </w:r>
      <w:bookmarkEnd w:id="1"/>
    </w:p>
    <w:p w14:paraId="263E715C">
      <w:pPr>
        <w:pStyle w:val="17"/>
        <w:bidi w:val="0"/>
        <w:rPr>
          <w:rFonts w:hint="eastAsia"/>
          <w:lang w:eastAsia="zh-CN"/>
        </w:rPr>
      </w:pPr>
      <w:bookmarkStart w:id="2" w:name="_Toc22252"/>
      <w:r>
        <w:t>1.2 药物市场研究范围</w:t>
      </w:r>
      <w:bookmarkEnd w:id="2"/>
    </w:p>
    <w:p w14:paraId="0DEE96C3">
      <w:pPr>
        <w:pStyle w:val="17"/>
        <w:bidi w:val="0"/>
      </w:pPr>
      <w:bookmarkStart w:id="3" w:name="_Toc7543"/>
      <w:r>
        <w:t>1.3 报告核心结论摘要</w:t>
      </w:r>
      <w:bookmarkEnd w:id="3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4" w:name="_Toc15665"/>
      <w:r>
        <w:rPr>
          <w:rFonts w:hint="eastAsia"/>
          <w:lang w:val="en-US" w:eastAsia="zh-CN"/>
        </w:rPr>
        <w:t>1.4 本章小结</w:t>
      </w:r>
      <w:bookmarkEnd w:id="4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6CFDAF0">
      <w:pPr>
        <w:pStyle w:val="16"/>
        <w:bidi w:val="0"/>
        <w:rPr>
          <w:rFonts w:hint="eastAsia"/>
          <w:lang w:eastAsia="zh-CN"/>
        </w:rPr>
      </w:pPr>
      <w:bookmarkStart w:id="5" w:name="_Toc31008"/>
      <w:bookmarkStart w:id="6" w:name="_Toc4226"/>
      <w:r>
        <w:t>第二章 疾病负担与临床价值</w:t>
      </w:r>
      <w:bookmarkEnd w:id="5"/>
    </w:p>
    <w:p w14:paraId="06B6728F">
      <w:pPr>
        <w:pStyle w:val="17"/>
        <w:bidi w:val="0"/>
        <w:rPr>
          <w:rFonts w:hint="eastAsia"/>
          <w:lang w:eastAsia="zh-CN"/>
        </w:rPr>
      </w:pPr>
      <w:bookmarkStart w:id="7" w:name="_Toc21611"/>
      <w:r>
        <w:rPr>
          <w:rFonts w:hint="eastAsia"/>
          <w:lang w:eastAsia="zh-CN"/>
        </w:rPr>
        <w:t>2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患病人群规模</w:t>
      </w:r>
      <w:bookmarkEnd w:id="7"/>
    </w:p>
    <w:p w14:paraId="34667B91">
      <w:pPr>
        <w:pStyle w:val="17"/>
        <w:bidi w:val="0"/>
        <w:rPr>
          <w:rFonts w:hint="eastAsia"/>
          <w:lang w:eastAsia="zh-CN"/>
        </w:rPr>
      </w:pPr>
      <w:bookmarkStart w:id="8" w:name="_Toc13300"/>
      <w:r>
        <w:rPr>
          <w:rFonts w:hint="eastAsia"/>
          <w:lang w:eastAsia="zh-CN"/>
        </w:rPr>
        <w:t>2</w:t>
      </w:r>
      <w:r>
        <w:t>.2 疾病治疗痛点</w:t>
      </w:r>
      <w:bookmarkEnd w:id="8"/>
    </w:p>
    <w:p w14:paraId="53DF0183">
      <w:pPr>
        <w:pStyle w:val="17"/>
        <w:bidi w:val="0"/>
      </w:pPr>
      <w:bookmarkStart w:id="9" w:name="_Toc9488"/>
      <w:r>
        <w:rPr>
          <w:rFonts w:hint="eastAsia"/>
          <w:lang w:eastAsia="zh-CN"/>
        </w:rPr>
        <w:t>2</w:t>
      </w:r>
      <w:r>
        <w:t>.3 药物干预价值</w:t>
      </w:r>
      <w:bookmarkEnd w:id="9"/>
    </w:p>
    <w:p w14:paraId="1C2C8555">
      <w:pPr>
        <w:pStyle w:val="17"/>
        <w:bidi w:val="0"/>
        <w:rPr>
          <w:rFonts w:hint="eastAsia"/>
        </w:rPr>
      </w:pPr>
      <w:bookmarkStart w:id="10" w:name="_Toc14022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6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30A98DA0">
      <w:pPr>
        <w:pStyle w:val="16"/>
        <w:bidi w:val="0"/>
        <w:rPr>
          <w:rFonts w:hint="eastAsia"/>
          <w:lang w:eastAsia="zh-CN"/>
        </w:rPr>
      </w:pPr>
      <w:bookmarkStart w:id="11" w:name="_Toc22006"/>
      <w:r>
        <w:t>第三章 药物市场容量测算</w:t>
      </w:r>
      <w:bookmarkEnd w:id="11"/>
    </w:p>
    <w:p w14:paraId="275CBD78">
      <w:pPr>
        <w:pStyle w:val="17"/>
        <w:bidi w:val="0"/>
        <w:rPr>
          <w:rFonts w:hint="eastAsia"/>
          <w:lang w:eastAsia="zh-CN"/>
        </w:rPr>
      </w:pPr>
      <w:bookmarkStart w:id="12" w:name="_Toc12575"/>
      <w:r>
        <w:rPr>
          <w:rFonts w:hint="eastAsia"/>
          <w:lang w:eastAsia="zh-CN"/>
        </w:rPr>
        <w:t>3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患者基数测算</w:t>
      </w:r>
      <w:bookmarkEnd w:id="12"/>
    </w:p>
    <w:p w14:paraId="40E9CE42">
      <w:pPr>
        <w:pStyle w:val="17"/>
        <w:bidi w:val="0"/>
        <w:rPr>
          <w:rFonts w:hint="eastAsia"/>
          <w:lang w:eastAsia="zh-CN"/>
        </w:rPr>
      </w:pPr>
      <w:bookmarkStart w:id="13" w:name="_Toc5219"/>
      <w:r>
        <w:rPr>
          <w:rFonts w:hint="eastAsia"/>
          <w:lang w:eastAsia="zh-CN"/>
        </w:rPr>
        <w:t>3</w:t>
      </w:r>
      <w:r>
        <w:t>.2 治疗率测算</w:t>
      </w:r>
      <w:bookmarkEnd w:id="13"/>
    </w:p>
    <w:p w14:paraId="0EBAEBE0">
      <w:pPr>
        <w:pStyle w:val="17"/>
        <w:bidi w:val="0"/>
      </w:pPr>
      <w:bookmarkStart w:id="14" w:name="_Toc28555"/>
      <w:r>
        <w:rPr>
          <w:rFonts w:hint="eastAsia"/>
          <w:lang w:eastAsia="zh-CN"/>
        </w:rPr>
        <w:t>3</w:t>
      </w:r>
      <w:r>
        <w:t>.3 市场规模测算模型</w:t>
      </w:r>
      <w:bookmarkEnd w:id="14"/>
    </w:p>
    <w:p w14:paraId="7A5A9241">
      <w:pPr>
        <w:pStyle w:val="17"/>
        <w:bidi w:val="0"/>
        <w:rPr>
          <w:rFonts w:hint="eastAsia"/>
        </w:rPr>
      </w:pPr>
      <w:bookmarkStart w:id="15" w:name="_Toc26026"/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bookmarkEnd w:id="15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38E2852C">
      <w:pPr>
        <w:pStyle w:val="16"/>
        <w:bidi w:val="0"/>
        <w:rPr>
          <w:rFonts w:hint="eastAsia"/>
          <w:lang w:eastAsia="zh-CN"/>
        </w:rPr>
      </w:pPr>
      <w:bookmarkStart w:id="16" w:name="_Toc26936"/>
      <w:r>
        <w:t>第四章 产品商业化潜力分析</w:t>
      </w:r>
      <w:bookmarkEnd w:id="16"/>
    </w:p>
    <w:p w14:paraId="72F37742">
      <w:pPr>
        <w:pStyle w:val="17"/>
        <w:bidi w:val="0"/>
        <w:rPr>
          <w:rFonts w:hint="eastAsia"/>
          <w:lang w:eastAsia="zh-CN"/>
        </w:rPr>
      </w:pPr>
      <w:bookmarkStart w:id="17" w:name="_Toc30401"/>
      <w:r>
        <w:rPr>
          <w:rFonts w:hint="eastAsia"/>
          <w:lang w:val="en-US" w:eastAsia="zh-CN"/>
        </w:rPr>
        <w:t>4</w:t>
      </w:r>
      <w:r>
        <w:t>.1 药物疗效优势</w:t>
      </w:r>
      <w:bookmarkEnd w:id="17"/>
    </w:p>
    <w:p w14:paraId="75E59439">
      <w:pPr>
        <w:pStyle w:val="17"/>
        <w:bidi w:val="0"/>
        <w:rPr>
          <w:rFonts w:hint="eastAsia"/>
          <w:lang w:eastAsia="zh-CN"/>
        </w:rPr>
      </w:pPr>
      <w:bookmarkStart w:id="18" w:name="_Toc26558"/>
      <w:r>
        <w:rPr>
          <w:rFonts w:hint="eastAsia"/>
          <w:lang w:val="en-US" w:eastAsia="zh-CN"/>
        </w:rPr>
        <w:t>4</w:t>
      </w:r>
      <w:r>
        <w:t>.2 安全性与依从性</w:t>
      </w:r>
      <w:bookmarkEnd w:id="18"/>
    </w:p>
    <w:p w14:paraId="1F684686">
      <w:pPr>
        <w:pStyle w:val="17"/>
        <w:bidi w:val="0"/>
      </w:pPr>
      <w:bookmarkStart w:id="19" w:name="_Toc24944"/>
      <w:r>
        <w:rPr>
          <w:rFonts w:hint="eastAsia"/>
          <w:lang w:val="en-US" w:eastAsia="zh-CN"/>
        </w:rPr>
        <w:t>4</w:t>
      </w:r>
      <w:r>
        <w:t>.3 临床替代空间</w:t>
      </w:r>
      <w:bookmarkEnd w:id="19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0" w:name="_Toc525"/>
      <w:r>
        <w:rPr>
          <w:rFonts w:hint="eastAsia"/>
          <w:lang w:val="en-US" w:eastAsia="zh-CN"/>
        </w:rPr>
        <w:t>4.4 本章小结</w:t>
      </w:r>
      <w:bookmarkEnd w:id="20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7EF5A61">
      <w:pPr>
        <w:pStyle w:val="16"/>
        <w:bidi w:val="0"/>
        <w:rPr>
          <w:rFonts w:hint="eastAsia"/>
          <w:lang w:eastAsia="zh-CN"/>
        </w:rPr>
      </w:pPr>
      <w:bookmarkStart w:id="21" w:name="_Toc23561"/>
      <w:r>
        <w:t>第五章 竞品与替代方案分析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21"/>
    </w:p>
    <w:p w14:paraId="443B78C4">
      <w:pPr>
        <w:pStyle w:val="17"/>
        <w:bidi w:val="0"/>
        <w:rPr>
          <w:rFonts w:hint="eastAsia"/>
          <w:lang w:eastAsia="zh-CN"/>
        </w:rPr>
      </w:pPr>
      <w:bookmarkStart w:id="22" w:name="_Toc11213"/>
      <w:r>
        <w:rPr>
          <w:rFonts w:hint="eastAsia"/>
          <w:lang w:val="en-US" w:eastAsia="zh-CN"/>
        </w:rPr>
        <w:t>5</w:t>
      </w:r>
      <w:r>
        <w:t>.1 现有治疗药物</w:t>
      </w:r>
      <w:bookmarkEnd w:id="22"/>
    </w:p>
    <w:p w14:paraId="3D72D91B">
      <w:pPr>
        <w:pStyle w:val="17"/>
        <w:bidi w:val="0"/>
        <w:rPr>
          <w:rFonts w:hint="eastAsia"/>
          <w:lang w:eastAsia="zh-CN"/>
        </w:rPr>
      </w:pPr>
      <w:bookmarkStart w:id="23" w:name="_Toc12231"/>
      <w:r>
        <w:rPr>
          <w:rFonts w:hint="eastAsia"/>
          <w:lang w:val="en-US" w:eastAsia="zh-CN"/>
        </w:rPr>
        <w:t>5</w:t>
      </w:r>
      <w:r>
        <w:t>.2 同类竞品</w:t>
      </w:r>
      <w:bookmarkEnd w:id="23"/>
    </w:p>
    <w:p w14:paraId="201B239A">
      <w:pPr>
        <w:pStyle w:val="17"/>
        <w:bidi w:val="0"/>
      </w:pPr>
      <w:bookmarkStart w:id="24" w:name="_Toc25781"/>
      <w:r>
        <w:rPr>
          <w:rFonts w:hint="eastAsia"/>
          <w:lang w:val="en-US" w:eastAsia="zh-CN"/>
        </w:rPr>
        <w:t>5</w:t>
      </w:r>
      <w:r>
        <w:t>.3 非药物治疗替代方案</w:t>
      </w:r>
      <w:bookmarkEnd w:id="24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5" w:name="_Toc29513"/>
      <w:r>
        <w:rPr>
          <w:rFonts w:hint="eastAsia"/>
          <w:lang w:val="en-US" w:eastAsia="zh-CN"/>
        </w:rPr>
        <w:t>5.4 本章小结</w:t>
      </w:r>
      <w:bookmarkEnd w:id="25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CE484FC">
      <w:pPr>
        <w:pStyle w:val="16"/>
        <w:bidi w:val="0"/>
        <w:rPr>
          <w:rFonts w:hint="eastAsia"/>
          <w:lang w:eastAsia="zh-CN"/>
        </w:rPr>
      </w:pPr>
      <w:bookmarkStart w:id="26" w:name="_Toc12196"/>
      <w:bookmarkStart w:id="27" w:name="_Toc10013"/>
      <w:bookmarkStart w:id="28" w:name="_Toc31290"/>
      <w:r>
        <w:t>第六章 价格体系与支付能力</w:t>
      </w:r>
      <w:bookmarkEnd w:id="26"/>
    </w:p>
    <w:p w14:paraId="0E5495CD">
      <w:pPr>
        <w:pStyle w:val="17"/>
        <w:bidi w:val="0"/>
        <w:rPr>
          <w:rFonts w:hint="eastAsia"/>
          <w:lang w:eastAsia="zh-CN"/>
        </w:rPr>
      </w:pPr>
      <w:bookmarkStart w:id="29" w:name="_Toc12740"/>
      <w:r>
        <w:rPr>
          <w:rFonts w:hint="eastAsia"/>
          <w:lang w:val="en-US" w:eastAsia="zh-CN"/>
        </w:rPr>
        <w:t>6</w:t>
      </w:r>
      <w:r>
        <w:t>.1 药品价格区间</w:t>
      </w:r>
      <w:bookmarkEnd w:id="29"/>
    </w:p>
    <w:p w14:paraId="7D77B555">
      <w:pPr>
        <w:pStyle w:val="17"/>
        <w:bidi w:val="0"/>
        <w:rPr>
          <w:rFonts w:hint="eastAsia"/>
          <w:lang w:eastAsia="zh-CN"/>
        </w:rPr>
      </w:pPr>
      <w:bookmarkStart w:id="30" w:name="_Toc30593"/>
      <w:r>
        <w:rPr>
          <w:rFonts w:hint="eastAsia"/>
          <w:lang w:val="en-US" w:eastAsia="zh-CN"/>
        </w:rPr>
        <w:t>6</w:t>
      </w:r>
      <w:r>
        <w:t>.2 医保支付情况</w:t>
      </w:r>
      <w:bookmarkEnd w:id="30"/>
    </w:p>
    <w:p w14:paraId="57124D18">
      <w:pPr>
        <w:pStyle w:val="17"/>
        <w:bidi w:val="0"/>
      </w:pPr>
      <w:bookmarkStart w:id="31" w:name="_Toc11486"/>
      <w:r>
        <w:rPr>
          <w:rFonts w:hint="eastAsia"/>
          <w:lang w:val="en-US" w:eastAsia="zh-CN"/>
        </w:rPr>
        <w:t>6</w:t>
      </w:r>
      <w:r>
        <w:t>.3 患者自费能力</w:t>
      </w:r>
      <w:bookmarkEnd w:id="31"/>
    </w:p>
    <w:p w14:paraId="0092E0DA">
      <w:pPr>
        <w:pStyle w:val="17"/>
        <w:bidi w:val="0"/>
        <w:rPr>
          <w:rFonts w:hint="eastAsia"/>
        </w:rPr>
      </w:pPr>
      <w:bookmarkStart w:id="32" w:name="_Toc30773"/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bookmarkEnd w:id="27"/>
      <w:bookmarkEnd w:id="28"/>
      <w:bookmarkEnd w:id="32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39EAD30">
      <w:pPr>
        <w:pStyle w:val="16"/>
        <w:bidi w:val="0"/>
        <w:rPr>
          <w:rFonts w:hint="eastAsia"/>
          <w:lang w:eastAsia="zh-CN"/>
        </w:rPr>
      </w:pPr>
      <w:bookmarkStart w:id="33" w:name="_Toc5718"/>
      <w:r>
        <w:t>第七章 企业竞争与市场集中度</w:t>
      </w:r>
      <w:bookmarkEnd w:id="33"/>
    </w:p>
    <w:p w14:paraId="67515399">
      <w:pPr>
        <w:pStyle w:val="17"/>
        <w:bidi w:val="0"/>
        <w:rPr>
          <w:rFonts w:hint="eastAsia"/>
          <w:lang w:eastAsia="zh-CN"/>
        </w:rPr>
      </w:pPr>
      <w:bookmarkStart w:id="34" w:name="_Toc13360"/>
      <w:r>
        <w:rPr>
          <w:rFonts w:hint="eastAsia"/>
          <w:lang w:val="en-US" w:eastAsia="zh-CN"/>
        </w:rPr>
        <w:t>7</w:t>
      </w:r>
      <w:r>
        <w:t>.1 主要参与企业</w:t>
      </w:r>
      <w:bookmarkEnd w:id="34"/>
    </w:p>
    <w:p w14:paraId="4B62C946">
      <w:pPr>
        <w:pStyle w:val="17"/>
        <w:bidi w:val="0"/>
        <w:rPr>
          <w:rFonts w:hint="eastAsia"/>
          <w:lang w:eastAsia="zh-CN"/>
        </w:rPr>
      </w:pPr>
      <w:bookmarkStart w:id="35" w:name="_Toc18397"/>
      <w:r>
        <w:rPr>
          <w:rFonts w:hint="eastAsia"/>
          <w:lang w:val="en-US" w:eastAsia="zh-CN"/>
        </w:rPr>
        <w:t>7</w:t>
      </w:r>
      <w:r>
        <w:t>.2 品牌竞争格局</w:t>
      </w:r>
      <w:bookmarkEnd w:id="35"/>
    </w:p>
    <w:p w14:paraId="03C60B28">
      <w:pPr>
        <w:pStyle w:val="17"/>
        <w:bidi w:val="0"/>
      </w:pPr>
      <w:bookmarkStart w:id="36" w:name="_Toc856"/>
      <w:r>
        <w:rPr>
          <w:rFonts w:hint="eastAsia"/>
          <w:lang w:val="en-US" w:eastAsia="zh-CN"/>
        </w:rPr>
        <w:t>7</w:t>
      </w:r>
      <w:r>
        <w:t>.3 市场进入壁垒</w:t>
      </w:r>
      <w:bookmarkEnd w:id="36"/>
    </w:p>
    <w:p w14:paraId="246AA7F2">
      <w:pPr>
        <w:pStyle w:val="17"/>
        <w:bidi w:val="0"/>
        <w:rPr>
          <w:rFonts w:hint="eastAsia"/>
        </w:rPr>
      </w:pPr>
      <w:bookmarkStart w:id="37" w:name="_Toc29391"/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bookmarkEnd w:id="37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A7A824">
      <w:pPr>
        <w:pStyle w:val="16"/>
        <w:bidi w:val="0"/>
        <w:rPr>
          <w:rFonts w:hint="eastAsia"/>
          <w:lang w:eastAsia="zh-CN"/>
        </w:rPr>
      </w:pPr>
      <w:bookmarkStart w:id="38" w:name="_Toc28258"/>
      <w:r>
        <w:t>第八章 研发管线与未来替代风险</w:t>
      </w:r>
      <w:bookmarkEnd w:id="38"/>
    </w:p>
    <w:p w14:paraId="43E881E2">
      <w:pPr>
        <w:pStyle w:val="17"/>
        <w:bidi w:val="0"/>
        <w:rPr>
          <w:rFonts w:hint="eastAsia"/>
          <w:lang w:eastAsia="zh-CN"/>
        </w:rPr>
      </w:pPr>
      <w:bookmarkStart w:id="39" w:name="_Toc20146"/>
      <w:r>
        <w:rPr>
          <w:rFonts w:hint="eastAsia"/>
          <w:lang w:val="en-US" w:eastAsia="zh-CN"/>
        </w:rPr>
        <w:t>8</w:t>
      </w:r>
      <w:r>
        <w:t>.1 国内在研项目</w:t>
      </w:r>
      <w:bookmarkEnd w:id="39"/>
    </w:p>
    <w:p w14:paraId="2BEC7F53">
      <w:pPr>
        <w:pStyle w:val="17"/>
        <w:bidi w:val="0"/>
        <w:rPr>
          <w:rFonts w:hint="eastAsia"/>
          <w:lang w:eastAsia="zh-CN"/>
        </w:rPr>
      </w:pPr>
      <w:bookmarkStart w:id="40" w:name="_Toc25046"/>
      <w:r>
        <w:rPr>
          <w:rFonts w:hint="eastAsia"/>
          <w:lang w:val="en-US" w:eastAsia="zh-CN"/>
        </w:rPr>
        <w:t>8</w:t>
      </w:r>
      <w:r>
        <w:t>.2 国外创新药趋势</w:t>
      </w:r>
      <w:bookmarkEnd w:id="40"/>
    </w:p>
    <w:p w14:paraId="41603E91">
      <w:pPr>
        <w:pStyle w:val="17"/>
        <w:bidi w:val="0"/>
      </w:pPr>
      <w:bookmarkStart w:id="41" w:name="_Toc17568"/>
      <w:r>
        <w:rPr>
          <w:rFonts w:hint="eastAsia"/>
          <w:lang w:val="en-US" w:eastAsia="zh-CN"/>
        </w:rPr>
        <w:t>8</w:t>
      </w:r>
      <w:r>
        <w:t>.3 潜在替代产品</w:t>
      </w:r>
      <w:bookmarkEnd w:id="41"/>
    </w:p>
    <w:p w14:paraId="222D9285">
      <w:pPr>
        <w:pStyle w:val="17"/>
        <w:bidi w:val="0"/>
        <w:rPr>
          <w:rFonts w:hint="eastAsia"/>
        </w:rPr>
      </w:pPr>
      <w:bookmarkStart w:id="42" w:name="_Toc24144"/>
      <w:r>
        <w:rPr>
          <w:rFonts w:hint="eastAsia"/>
          <w:lang w:val="en-US" w:eastAsia="zh-CN"/>
        </w:rPr>
        <w:t xml:space="preserve">8.4 </w:t>
      </w:r>
      <w:r>
        <w:rPr>
          <w:rFonts w:hint="eastAsia"/>
        </w:rPr>
        <w:t>本章小结</w:t>
      </w:r>
      <w:bookmarkEnd w:id="42"/>
    </w:p>
    <w:p w14:paraId="4BD85AE5">
      <w:pPr>
        <w:pStyle w:val="17"/>
        <w:bidi w:val="0"/>
      </w:pPr>
    </w:p>
    <w:p w14:paraId="2269C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3" w:name="_Toc18183"/>
      <w:r>
        <w:rPr>
          <w:rFonts w:hint="eastAsia"/>
          <w:lang w:val="en-US" w:eastAsia="zh-CN"/>
        </w:rPr>
        <w:t>总结</w:t>
      </w:r>
      <w:bookmarkEnd w:id="43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4" w:name="_Toc14272"/>
      <w:r>
        <w:rPr>
          <w:rFonts w:hint="default"/>
          <w:lang w:val="en-US" w:eastAsia="zh-CN"/>
        </w:rPr>
        <w:t>参考文献</w:t>
      </w:r>
      <w:bookmarkEnd w:id="44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F1F2806-D1DD-427F-8092-B89C653B596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01FEC70A-7191-4615-9438-167B6DA4C5E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EB0627BC-F7D4-43DF-8DF6-0438F9CFC05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F13BFCB2-9FA2-4BC4-955C-7AB82874E13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2FE45618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2606F7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183B3A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