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FB859">
      <w:pPr>
        <w:jc w:val="both"/>
        <w:rPr>
          <w:rFonts w:hint="eastAsia" w:asciiTheme="minorEastAsia" w:hAnsiTheme="minorEastAsia" w:eastAsiaTheme="minorEastAsia" w:cstheme="minorEastAsia"/>
          <w:lang w:eastAsia="zh-CN"/>
        </w:rPr>
      </w:pPr>
    </w:p>
    <w:p w14:paraId="65F44A98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outlineLvl w:val="9"/>
        <w:rPr>
          <w:rFonts w:hint="eastAsia" w:asciiTheme="minorEastAsia" w:hAnsiTheme="minorEastAsia" w:eastAsiaTheme="minorEastAsia" w:cstheme="minorEastAsia"/>
        </w:rPr>
        <w:sectPr>
          <w:footerReference r:id="rId3" w:type="default"/>
          <w:pgSz w:w="11906" w:h="16838"/>
          <w:pgMar w:top="1417" w:right="1134" w:bottom="1417" w:left="1134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2393315</wp:posOffset>
                </wp:positionH>
                <wp:positionV relativeFrom="paragraph">
                  <wp:posOffset>6353810</wp:posOffset>
                </wp:positionV>
                <wp:extent cx="3877310" cy="969645"/>
                <wp:effectExtent l="0" t="0" r="0" b="0"/>
                <wp:wrapNone/>
                <wp:docPr id="38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7310" cy="969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50AB4F0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right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杭州硕泰科技有限公司</w:t>
                            </w:r>
                          </w:p>
                        </w:txbxContent>
                      </wps:txbx>
                      <wps:bodyPr wrap="square" rtlCol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188.45pt;margin-top:500.3pt;height:76.35pt;width:305.3pt;z-index:251664384;v-text-anchor:middle;mso-width-relative:page;mso-height-relative:page;" filled="f" stroked="f" coordsize="21600,21600" o:gfxdata="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IWtrNoAAAANAQAADwAAAAAAAAABACAAAAAiAAAAZHJz&#10;L2Rvd25yZXYueG1sUEsBAhQAFAAAAAgAh07iQAGirZzJAQAAeg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50AB4F0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right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  <w:t>杭州硕泰科技有限公司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4069715</wp:posOffset>
            </wp:positionH>
            <wp:positionV relativeFrom="paragraph">
              <wp:posOffset>-548640</wp:posOffset>
            </wp:positionV>
            <wp:extent cx="2529840" cy="1139190"/>
            <wp:effectExtent l="0" t="0" r="0" b="0"/>
            <wp:wrapNone/>
            <wp:docPr id="31" name="图片 19" descr="C:/Users/IFUNK/Desktop/活/数据报告/4qUmh2KX.png4qUmh2K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9" descr="C:/Users/IFUNK/Desktop/活/数据报告/4qUmh2KX.png4qUmh2KX"/>
                    <pic:cNvPicPr>
                      <a:picLocks noChangeAspect="1"/>
                    </pic:cNvPicPr>
                  </pic:nvPicPr>
                  <pic:blipFill>
                    <a:blip r:embed="rId8"/>
                    <a:srcRect t="19212" b="19212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1398905</wp:posOffset>
                </wp:positionH>
                <wp:positionV relativeFrom="paragraph">
                  <wp:posOffset>1264285</wp:posOffset>
                </wp:positionV>
                <wp:extent cx="2693035" cy="1752600"/>
                <wp:effectExtent l="0" t="0" r="0" b="0"/>
                <wp:wrapNone/>
                <wp:docPr id="28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3035" cy="1752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2212602">
                            <w:pPr>
                              <w:spacing w:line="240" w:lineRule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lumMod w14:val="95000"/>
                                          <w14:alpha w14:val="100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lumMod w14:val="95000"/>
                                          <w14:alpha w14:val="100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lumMod w14:val="95000"/>
                                          <w14:alpha w14:val="100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  <w:t>6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110.15pt;margin-top:99.55pt;height:138pt;width:212.05pt;z-index:251665408;mso-width-relative:page;mso-height-relative:page;" filled="f" stroked="f" coordsize="21600,21600" o:gfxdata="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bgIUBNgAAAALAQAADwAAAAAAAAABACAAAAAiAAAAZHJzL2Rvd25yZXYueG1sUEsB&#10;AhQAFAAAAAgAh07iQG2y+y28AQAAYA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2212602">
                      <w:pPr>
                        <w:spacing w:line="240" w:lineRule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lumMod w14:val="95000"/>
                                    <w14:alpha w14:val="100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lumMod w14:val="95000"/>
                                    <w14:alpha w14:val="100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  <w:t>202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lumMod w14:val="95000"/>
                                    <w14:alpha w14:val="100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2383790</wp:posOffset>
                </wp:positionH>
                <wp:positionV relativeFrom="paragraph">
                  <wp:posOffset>5944235</wp:posOffset>
                </wp:positionV>
                <wp:extent cx="3877310" cy="427355"/>
                <wp:effectExtent l="0" t="0" r="0" b="0"/>
                <wp:wrapNone/>
                <wp:docPr id="37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7310" cy="4273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4607E09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right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auto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撰写单位</w:t>
                            </w:r>
                          </w:p>
                        </w:txbxContent>
                      </wps:txbx>
                      <wps:bodyPr wrap="square" rtlCol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187.7pt;margin-top:468.05pt;height:33.65pt;width:305.3pt;z-index:251663360;v-text-anchor:middle;mso-width-relative:page;mso-height-relative:page;" filled="f" stroked="f" coordsize="21600,21600" o:gfxdata="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PUsZPdoAAAAMAQAADwAAAAAAAAABACAAAAAiAAAAZHJz&#10;L2Rvd25yZXYueG1sUEsBAhQAFAAAAAgAh07iQMsskvvJAQAAeg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4607E09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right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auto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  <w:t>撰写单位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1303655</wp:posOffset>
                </wp:positionH>
                <wp:positionV relativeFrom="paragraph">
                  <wp:posOffset>2569210</wp:posOffset>
                </wp:positionV>
                <wp:extent cx="5090795" cy="2192655"/>
                <wp:effectExtent l="0" t="0" r="0" b="0"/>
                <wp:wrapNone/>
                <wp:docPr id="66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0795" cy="21926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D5C351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right"/>
                              <w:textAlignment w:val="auto"/>
                              <w:rPr>
                                <w:rFonts w:hint="default" w:ascii="方正小标宋简体" w:hAnsi="方正小标宋简体" w:eastAsia="方正小标宋简体" w:cs="方正小标宋简体"/>
                                <w:b/>
                                <w:bCs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小标宋简体" w:hAnsi="方正小标宋简体" w:eastAsia="方正小标宋简体" w:cs="方正小标宋简体"/>
                                <w:b/>
                                <w:bCs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  <w:t>XXX</w:t>
                            </w:r>
                          </w:p>
                          <w:p w14:paraId="3CB06520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right"/>
                              <w:textAlignment w:val="auto"/>
                              <w:rPr>
                                <w:rFonts w:hint="eastAsia" w:ascii="方正小标宋简体" w:hAnsi="方正小标宋简体" w:eastAsia="方正小标宋简体" w:cs="方正小标宋简体"/>
                                <w:b w:val="0"/>
                                <w:bCs w:val="0"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小标宋简体" w:hAnsi="方正小标宋简体" w:eastAsia="方正小标宋简体" w:cs="方正小标宋简体"/>
                                <w:b w:val="0"/>
                                <w:bCs w:val="0"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  <w:t>市场分析报告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102.65pt;margin-top:202.3pt;height:172.65pt;width:400.85pt;z-index:251662336;mso-width-relative:page;mso-height-relative:page;" filled="f" stroked="f" coordsize="21600,21600" o:gfxdata="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4hX9WdkAAAAMAQAADwAAAAAAAAABACAAAAAiAAAAZHJzL2Rvd25yZXYueG1sUEsB&#10;AhQAFAAAAAgAh07iQABl4fG7AQAAYA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DD5C351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right"/>
                        <w:textAlignment w:val="auto"/>
                        <w:rPr>
                          <w:rFonts w:hint="default" w:ascii="方正小标宋简体" w:hAnsi="方正小标宋简体" w:eastAsia="方正小标宋简体" w:cs="方正小标宋简体"/>
                          <w:b/>
                          <w:bCs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</w:pPr>
                      <w:r>
                        <w:rPr>
                          <w:rFonts w:hint="eastAsia" w:ascii="方正小标宋简体" w:hAnsi="方正小标宋简体" w:eastAsia="方正小标宋简体" w:cs="方正小标宋简体"/>
                          <w:b/>
                          <w:bCs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  <w:t>XXX</w:t>
                      </w:r>
                    </w:p>
                    <w:p w14:paraId="3CB06520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right"/>
                        <w:textAlignment w:val="auto"/>
                        <w:rPr>
                          <w:rFonts w:hint="eastAsia" w:ascii="方正小标宋简体" w:hAnsi="方正小标宋简体" w:eastAsia="方正小标宋简体" w:cs="方正小标宋简体"/>
                          <w:b w:val="0"/>
                          <w:bCs w:val="0"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</w:pPr>
                      <w:r>
                        <w:rPr>
                          <w:rFonts w:hint="eastAsia" w:ascii="方正小标宋简体" w:hAnsi="方正小标宋简体" w:eastAsia="方正小标宋简体" w:cs="方正小标宋简体"/>
                          <w:b w:val="0"/>
                          <w:bCs w:val="0"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  <w:t>市场分析报告</w:t>
                      </w:r>
                    </w:p>
                  </w:txbxContent>
                </v:textbox>
              </v:shape>
            </w:pict>
          </mc:Fallback>
        </mc:AlternateContent>
      </w:r>
    </w:p>
    <w:p w14:paraId="10BADD5A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  <w:t>目录</w:t>
      </w:r>
    </w:p>
    <w:p w14:paraId="2C700F7B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instrText xml:space="preserve">TOC \o "1-3" \h \u </w:instrText>
      </w: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_Toc31572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第一章 疾病概述</w:t>
      </w:r>
      <w:r>
        <w:tab/>
      </w:r>
      <w:r>
        <w:fldChar w:fldCharType="begin"/>
      </w:r>
      <w:r>
        <w:instrText xml:space="preserve"> PAGEREF _Toc31572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49C8028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_Toc32098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</w:rPr>
        <w:t>1.1 疾病定义与分类（中西医角度）</w:t>
      </w:r>
      <w:r>
        <w:tab/>
      </w:r>
      <w:r>
        <w:fldChar w:fldCharType="begin"/>
      </w:r>
      <w:r>
        <w:instrText xml:space="preserve"> PAGEREF _Toc32098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BF3763E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_Toc24585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</w:rPr>
        <w:t>1.2 发病机制与病理生理</w:t>
      </w:r>
      <w:r>
        <w:tab/>
      </w:r>
      <w:r>
        <w:fldChar w:fldCharType="begin"/>
      </w:r>
      <w:r>
        <w:instrText xml:space="preserve"> PAGEREF _Toc24585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719F6F1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_Toc19151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1.3 本章小结</w:t>
      </w:r>
      <w:r>
        <w:tab/>
      </w:r>
      <w:r>
        <w:fldChar w:fldCharType="begin"/>
      </w:r>
      <w:r>
        <w:instrText xml:space="preserve"> PAGEREF _Toc19151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1B66C9D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_Toc10941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第二章 疾病关联与系统拓展</w:t>
      </w:r>
      <w:r>
        <w:tab/>
      </w:r>
      <w:r>
        <w:fldChar w:fldCharType="begin"/>
      </w:r>
      <w:r>
        <w:instrText xml:space="preserve"> PAGEREF _Toc10941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6436A29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_Toc24808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</w:rPr>
        <w:t>2.1 与相关系统的联系（呼吸、消化、免疫、神经、内分泌等）</w:t>
      </w:r>
      <w:r>
        <w:tab/>
      </w:r>
      <w:r>
        <w:fldChar w:fldCharType="begin"/>
      </w:r>
      <w:r>
        <w:instrText xml:space="preserve"> PAGEREF _Toc24808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8E33B7B">
      <w:pPr>
        <w:pStyle w:val="6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_Toc22643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2.1.1</w:t>
      </w:r>
      <w:r>
        <w:tab/>
      </w:r>
      <w:r>
        <w:fldChar w:fldCharType="begin"/>
      </w:r>
      <w:r>
        <w:instrText xml:space="preserve"> PAGEREF _Toc22643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A83DB37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_Toc4060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2.2 常见并发症与合并症</w:t>
      </w:r>
      <w:r>
        <w:tab/>
      </w:r>
      <w:r>
        <w:fldChar w:fldCharType="begin"/>
      </w:r>
      <w:r>
        <w:instrText xml:space="preserve"> PAGEREF _Toc4060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1DF3FC7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_Toc2808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2.3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_Toc2808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2419041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_Toc845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第三章 临床诊断与治疗现状</w:t>
      </w:r>
      <w:r>
        <w:tab/>
      </w:r>
      <w:r>
        <w:fldChar w:fldCharType="begin"/>
      </w:r>
      <w:r>
        <w:instrText xml:space="preserve"> PAGEREF _Toc845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EE48792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_Toc13379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.1 临床诊断标准与检查手段</w:t>
      </w:r>
      <w:r>
        <w:tab/>
      </w:r>
      <w:r>
        <w:fldChar w:fldCharType="begin"/>
      </w:r>
      <w:r>
        <w:instrText xml:space="preserve"> PAGEREF _Toc13379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097F4E8">
      <w:pPr>
        <w:pStyle w:val="6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_Toc3762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 3.1.1</w:t>
      </w:r>
      <w:r>
        <w:tab/>
      </w:r>
      <w:r>
        <w:fldChar w:fldCharType="begin"/>
      </w:r>
      <w:r>
        <w:instrText xml:space="preserve"> PAGEREF _Toc3762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C7D9924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_Toc17891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3.2 西医治疗体系（药物、手术、理疗）</w:t>
      </w:r>
      <w:r>
        <w:tab/>
      </w:r>
      <w:r>
        <w:fldChar w:fldCharType="begin"/>
      </w:r>
      <w:r>
        <w:instrText xml:space="preserve"> PAGEREF _Toc17891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37CEA0D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_Toc24967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3.3 中医辨证体系与常用方药</w:t>
      </w:r>
      <w:r>
        <w:tab/>
      </w:r>
      <w:r>
        <w:fldChar w:fldCharType="begin"/>
      </w:r>
      <w:r>
        <w:instrText xml:space="preserve"> PAGEREF _Toc24967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2DCAB49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_Toc19683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3.4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_Toc19683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AD2FA88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_Toc2598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第四章 药物治疗与市场格局</w:t>
      </w:r>
      <w:r>
        <w:tab/>
      </w:r>
      <w:r>
        <w:fldChar w:fldCharType="begin"/>
      </w:r>
      <w:r>
        <w:instrText xml:space="preserve"> PAGEREF _Toc2598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2CFADAE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_Toc26058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.1 </w:t>
      </w:r>
      <w:r>
        <w:rPr>
          <w:rFonts w:hint="eastAsia"/>
          <w:lang w:val="en-US" w:eastAsia="zh-CN"/>
        </w:rPr>
        <w:t>治疗药物分类与作用机制</w:t>
      </w:r>
      <w:r>
        <w:tab/>
      </w:r>
      <w:r>
        <w:fldChar w:fldCharType="begin"/>
      </w:r>
      <w:r>
        <w:instrText xml:space="preserve"> PAGEREF _Toc26058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F36A7CA">
      <w:pPr>
        <w:pStyle w:val="6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_Toc9282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4.1.1</w:t>
      </w:r>
      <w:r>
        <w:tab/>
      </w:r>
      <w:r>
        <w:fldChar w:fldCharType="begin"/>
      </w:r>
      <w:r>
        <w:instrText xml:space="preserve"> PAGEREF _Toc9282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864FE02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_Toc4515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4.2 代表性产品及主流企业（医院端/药店端/线上端）</w:t>
      </w:r>
      <w:r>
        <w:tab/>
      </w:r>
      <w:r>
        <w:fldChar w:fldCharType="begin"/>
      </w:r>
      <w:r>
        <w:instrText xml:space="preserve"> PAGEREF _Toc4515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3424C54">
      <w:pPr>
        <w:pStyle w:val="6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_Toc14421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4.2.1</w:t>
      </w:r>
      <w:r>
        <w:tab/>
      </w:r>
      <w:r>
        <w:fldChar w:fldCharType="begin"/>
      </w:r>
      <w:r>
        <w:instrText xml:space="preserve"> PAGEREF _Toc14421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AB7D40E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_Toc31789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4.3 </w:t>
      </w:r>
      <w:r>
        <w:rPr>
          <w:rFonts w:hint="eastAsia"/>
        </w:rPr>
        <w:t>市场规模与竞争结构（top品牌、CR5集中度）</w:t>
      </w:r>
      <w:r>
        <w:tab/>
      </w:r>
      <w:r>
        <w:fldChar w:fldCharType="begin"/>
      </w:r>
      <w:r>
        <w:instrText xml:space="preserve"> PAGEREF _Toc31789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0E5FC69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_Toc15244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4.4 本章小结</w:t>
      </w:r>
      <w:r>
        <w:tab/>
      </w:r>
      <w:r>
        <w:fldChar w:fldCharType="begin"/>
      </w:r>
      <w:r>
        <w:instrText xml:space="preserve"> PAGEREF _Toc15244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0BE2D1A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_Toc1188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第五章 </w:t>
      </w:r>
      <w:r>
        <w:rPr>
          <w:rFonts w:hint="default"/>
          <w:bCs/>
          <w:lang w:val="en-US" w:eastAsia="zh-CN"/>
        </w:rPr>
        <w:t>患者与临床需求</w:t>
      </w:r>
      <w:r>
        <w:tab/>
      </w:r>
      <w:r>
        <w:fldChar w:fldCharType="begin"/>
      </w:r>
      <w:r>
        <w:instrText xml:space="preserve"> PAGEREF _Toc1188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F1043C0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_Toc23535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5.1 患者群体结构与画像</w:t>
      </w:r>
      <w:r>
        <w:tab/>
      </w:r>
      <w:r>
        <w:fldChar w:fldCharType="begin"/>
      </w:r>
      <w:r>
        <w:instrText xml:space="preserve"> PAGEREF _Toc23535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575C00C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_Toc9668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5.2 医生用药偏好与诊疗习惯</w:t>
      </w:r>
      <w:r>
        <w:tab/>
      </w:r>
      <w:r>
        <w:fldChar w:fldCharType="begin"/>
      </w:r>
      <w:r>
        <w:instrText xml:space="preserve"> PAGEREF _Toc9668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F6881B5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_Toc25298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5.3 患者依从性与长期管理</w:t>
      </w:r>
      <w:r>
        <w:tab/>
      </w:r>
      <w:r>
        <w:fldChar w:fldCharType="begin"/>
      </w:r>
      <w:r>
        <w:instrText xml:space="preserve"> PAGEREF _Toc25298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3E207FC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_Toc32502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5.4 本章小结</w:t>
      </w:r>
      <w:r>
        <w:tab/>
      </w:r>
      <w:r>
        <w:fldChar w:fldCharType="begin"/>
      </w:r>
      <w:r>
        <w:instrText xml:space="preserve"> PAGEREF _Toc32502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FA70AB2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_Toc2006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第六章 </w:t>
      </w:r>
      <w:r>
        <w:rPr>
          <w:rFonts w:hint="eastAsia"/>
        </w:rPr>
        <w:t>政策环境与监管趋势</w:t>
      </w:r>
      <w:r>
        <w:tab/>
      </w:r>
      <w:r>
        <w:fldChar w:fldCharType="begin"/>
      </w:r>
      <w:r>
        <w:instrText xml:space="preserve"> PAGEREF _Toc2006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7618B86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_Toc4033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6.1 各销售渠道情况</w:t>
      </w:r>
      <w:r>
        <w:tab/>
      </w:r>
      <w:r>
        <w:fldChar w:fldCharType="begin"/>
      </w:r>
      <w:r>
        <w:instrText xml:space="preserve"> PAGEREF _Toc4033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B1B43C7">
      <w:pPr>
        <w:pStyle w:val="6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_Toc8459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default"/>
          <w:lang w:val="en-US" w:eastAsia="zh-CN"/>
        </w:rPr>
        <w:t>6.2.3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线上端市场推广策略</w:t>
      </w:r>
      <w:r>
        <w:tab/>
      </w:r>
      <w:r>
        <w:fldChar w:fldCharType="begin"/>
      </w:r>
      <w:r>
        <w:instrText xml:space="preserve"> PAGEREF _Toc8459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BCD2F9C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_Toc32765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6.3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_Toc32765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32602E5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_Toc16616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第七章 </w:t>
      </w:r>
      <w:r>
        <w:rPr>
          <w:rFonts w:hint="eastAsia"/>
        </w:rPr>
        <w:t>未来展望与战略建议</w:t>
      </w:r>
      <w:r>
        <w:tab/>
      </w:r>
      <w:r>
        <w:fldChar w:fldCharType="begin"/>
      </w:r>
      <w:r>
        <w:instrText xml:space="preserve"> PAGEREF _Toc16616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5448480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_Toc25173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</w:rPr>
        <w:t>7.1 未来市场预测</w:t>
      </w:r>
      <w:r>
        <w:tab/>
      </w:r>
      <w:r>
        <w:fldChar w:fldCharType="begin"/>
      </w:r>
      <w:r>
        <w:instrText xml:space="preserve"> PAGEREF _Toc25173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FEC4802">
      <w:pPr>
        <w:pStyle w:val="6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_Toc6451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7.2 战略建议</w:t>
      </w:r>
      <w:r>
        <w:tab/>
      </w:r>
      <w:r>
        <w:fldChar w:fldCharType="begin"/>
      </w:r>
      <w:r>
        <w:instrText xml:space="preserve"> PAGEREF _Toc6451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2BD8349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_Toc3097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7.3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_Toc3097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4F5A72D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_Toc29208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总结</w:t>
      </w:r>
      <w:r>
        <w:tab/>
      </w:r>
      <w:r>
        <w:fldChar w:fldCharType="begin"/>
      </w:r>
      <w:r>
        <w:instrText xml:space="preserve"> PAGEREF _Toc29208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4B005FE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_Toc13429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default"/>
          <w:lang w:val="en-US" w:eastAsia="zh-CN"/>
        </w:rPr>
        <w:t>参考文献</w:t>
      </w:r>
      <w:r>
        <w:tab/>
      </w:r>
      <w:r>
        <w:fldChar w:fldCharType="begin"/>
      </w:r>
      <w:r>
        <w:instrText xml:space="preserve"> PAGEREF _Toc13429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C85EC79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hint="eastAsia" w:asciiTheme="minorEastAsia" w:hAnsiTheme="minorEastAsia" w:eastAsiaTheme="minorEastAsia" w:cstheme="minorEastAsia"/>
          <w:bCs/>
          <w:kern w:val="0"/>
          <w:sz w:val="21"/>
          <w:szCs w:val="40"/>
          <w:lang w:val="en-US" w:eastAsia="zh-CN" w:bidi="ar"/>
        </w:rPr>
        <w:sectPr>
          <w:headerReference r:id="rId4" w:type="default"/>
          <w:footerReference r:id="rId5" w:type="default"/>
          <w:pgSz w:w="11906" w:h="16838"/>
          <w:pgMar w:top="1417" w:right="1134" w:bottom="1417" w:left="1134" w:header="851" w:footer="992" w:gutter="0"/>
          <w:pgNumType w:fmt="decimal" w:start="1"/>
          <w:cols w:space="425" w:num="1"/>
          <w:docGrid w:type="lines" w:linePitch="312" w:charSpace="0"/>
        </w:sectPr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1628119">
      <w:pPr>
        <w:pStyle w:val="16"/>
        <w:bidi w:val="0"/>
        <w:rPr>
          <w:rFonts w:hint="default"/>
          <w:lang w:val="en-US" w:eastAsia="zh-CN"/>
        </w:rPr>
      </w:pPr>
      <w:bookmarkStart w:id="0" w:name="_Toc2533"/>
      <w:bookmarkStart w:id="1" w:name="_Toc31572"/>
      <w:r>
        <w:rPr>
          <w:rFonts w:hint="eastAsia"/>
          <w:lang w:val="en-US" w:eastAsia="zh-CN"/>
        </w:rPr>
        <w:t xml:space="preserve">第一章 </w:t>
      </w:r>
      <w:bookmarkEnd w:id="0"/>
      <w:bookmarkEnd w:id="1"/>
      <w:r>
        <w:rPr>
          <w:rFonts w:hint="eastAsia"/>
          <w:lang w:val="en-US" w:eastAsia="zh-CN"/>
        </w:rPr>
        <w:t>疾病概述与治疗边界</w:t>
      </w:r>
    </w:p>
    <w:p w14:paraId="7D91E01E">
      <w:pPr>
        <w:pStyle w:val="17"/>
        <w:bidi w:val="0"/>
        <w:rPr>
          <w:rFonts w:hint="eastAsia"/>
        </w:rPr>
      </w:pPr>
      <w:bookmarkStart w:id="2" w:name="_Toc29363"/>
      <w:bookmarkStart w:id="3" w:name="_Toc32098"/>
      <w:r>
        <w:rPr>
          <w:rFonts w:hint="eastAsia"/>
        </w:rPr>
        <w:t xml:space="preserve">1.1 </w:t>
      </w:r>
      <w:bookmarkEnd w:id="2"/>
      <w:bookmarkEnd w:id="3"/>
      <w:r>
        <w:rPr>
          <w:rFonts w:hint="eastAsia"/>
        </w:rPr>
        <w:t>疾病定义与分类</w:t>
      </w:r>
    </w:p>
    <w:p w14:paraId="1AC542AE">
      <w:pPr>
        <w:pStyle w:val="20"/>
        <w:bidi w:val="0"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本次</w:t>
      </w:r>
    </w:p>
    <w:p w14:paraId="78E65578">
      <w:pPr>
        <w:pStyle w:val="17"/>
        <w:bidi w:val="0"/>
        <w:rPr>
          <w:rFonts w:hint="eastAsia"/>
        </w:rPr>
      </w:pPr>
      <w:bookmarkStart w:id="4" w:name="_Toc24585"/>
      <w:r>
        <w:rPr>
          <w:rFonts w:hint="eastAsia"/>
        </w:rPr>
        <w:t xml:space="preserve">1.2 </w:t>
      </w:r>
      <w:bookmarkEnd w:id="4"/>
      <w:r>
        <w:rPr>
          <w:rFonts w:hint="eastAsia"/>
        </w:rPr>
        <w:t>疾病诊断标准</w:t>
      </w:r>
    </w:p>
    <w:p w14:paraId="57279164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cstheme="minorEastAsia"/>
          <w:b w:val="0"/>
          <w:bCs w:val="0"/>
          <w:lang w:val="en-US" w:eastAsia="zh-CN"/>
        </w:rPr>
      </w:pPr>
      <w:r>
        <w:rPr>
          <w:rFonts w:hint="eastAsia" w:cstheme="minorEastAsia"/>
          <w:b w:val="0"/>
          <w:bCs w:val="0"/>
          <w:lang w:val="en-US" w:eastAsia="zh-CN"/>
        </w:rPr>
        <w:t>1.</w:t>
      </w:r>
    </w:p>
    <w:p w14:paraId="0DB15496">
      <w:pPr>
        <w:pStyle w:val="17"/>
        <w:bidi w:val="0"/>
        <w:rPr>
          <w:rFonts w:hint="eastAsia"/>
          <w:lang w:val="en-US" w:eastAsia="zh-CN"/>
        </w:rPr>
      </w:pPr>
      <w:bookmarkStart w:id="5" w:name="_Toc19151"/>
      <w:r>
        <w:rPr>
          <w:rFonts w:hint="eastAsia"/>
          <w:lang w:val="en-US" w:eastAsia="zh-CN"/>
        </w:rPr>
        <w:t xml:space="preserve">1.3 </w:t>
      </w:r>
      <w:bookmarkEnd w:id="5"/>
      <w:r>
        <w:rPr>
          <w:rFonts w:hint="eastAsia"/>
          <w:lang w:val="en-US" w:eastAsia="zh-CN"/>
        </w:rPr>
        <w:t>治疗目标与用药边界</w:t>
      </w:r>
    </w:p>
    <w:p w14:paraId="320DEA30">
      <w:pPr>
        <w:pStyle w:val="20"/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029E4FB9">
      <w:pPr>
        <w:pStyle w:val="17"/>
        <w:bidi w:val="0"/>
      </w:pPr>
      <w:r>
        <w:t>1.4 目标患者范围</w:t>
      </w:r>
    </w:p>
    <w:p w14:paraId="78653FDD">
      <w:pPr>
        <w:pStyle w:val="20"/>
        <w:bidi w:val="0"/>
        <w:rPr>
          <w:rFonts w:hint="default"/>
          <w:lang w:val="en-US" w:eastAsia="zh-CN"/>
        </w:rPr>
      </w:pPr>
    </w:p>
    <w:p w14:paraId="4A4A1A18">
      <w:pPr>
        <w:pStyle w:val="1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1.5 本章小结</w:t>
      </w:r>
    </w:p>
    <w:p w14:paraId="1D6F5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44593F0A">
      <w:pPr>
        <w:pStyle w:val="16"/>
        <w:bidi w:val="0"/>
        <w:rPr>
          <w:rFonts w:hint="default" w:eastAsia="黑体"/>
          <w:lang w:val="en-US" w:eastAsia="zh-CN"/>
        </w:rPr>
      </w:pPr>
      <w:bookmarkStart w:id="6" w:name="_Toc10941"/>
      <w:r>
        <w:rPr>
          <w:rFonts w:hint="eastAsia"/>
          <w:lang w:val="en-US" w:eastAsia="zh-CN"/>
        </w:rPr>
        <w:t xml:space="preserve">第二章 </w:t>
      </w:r>
      <w:bookmarkEnd w:id="6"/>
      <w:r>
        <w:t>疾病流行病学数据</w:t>
      </w:r>
    </w:p>
    <w:p w14:paraId="76805CE6">
      <w:pPr>
        <w:pStyle w:val="17"/>
        <w:bidi w:val="0"/>
      </w:pPr>
      <w:r>
        <w:t>2.1 患病率与发病率</w:t>
      </w:r>
    </w:p>
    <w:p w14:paraId="36D58B13">
      <w:pPr>
        <w:pStyle w:val="20"/>
        <w:bidi w:val="0"/>
      </w:pPr>
    </w:p>
    <w:p w14:paraId="5DF80707">
      <w:pPr>
        <w:pStyle w:val="17"/>
        <w:bidi w:val="0"/>
      </w:pPr>
      <w:r>
        <w:t>2.2 患者人数测算</w:t>
      </w:r>
    </w:p>
    <w:p w14:paraId="3FEF1445">
      <w:pPr>
        <w:pStyle w:val="20"/>
        <w:bidi w:val="0"/>
      </w:pPr>
    </w:p>
    <w:p w14:paraId="427C9C8B">
      <w:pPr>
        <w:pStyle w:val="17"/>
        <w:bidi w:val="0"/>
      </w:pPr>
      <w:r>
        <w:t>2.3 年龄、性别与地区分布</w:t>
      </w:r>
    </w:p>
    <w:p w14:paraId="1C5E3241">
      <w:pPr>
        <w:pStyle w:val="20"/>
        <w:bidi w:val="0"/>
      </w:pPr>
    </w:p>
    <w:p w14:paraId="3376D53E">
      <w:pPr>
        <w:pStyle w:val="17"/>
        <w:bidi w:val="0"/>
      </w:pPr>
      <w:r>
        <w:t>2.4 疾病负担与医疗支出</w:t>
      </w:r>
    </w:p>
    <w:p w14:paraId="58CCF920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3FF6C32D">
      <w:pPr>
        <w:pStyle w:val="1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2.5 本章小结</w:t>
      </w:r>
    </w:p>
    <w:p w14:paraId="69E1A474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744D5020">
      <w:pPr>
        <w:pStyle w:val="16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t>临床治疗路径分析</w:t>
      </w:r>
    </w:p>
    <w:p w14:paraId="667EB7B5">
      <w:pPr>
        <w:pStyle w:val="17"/>
        <w:bidi w:val="0"/>
      </w:pPr>
      <w:r>
        <w:t>3.1 当前治疗指南</w:t>
      </w:r>
    </w:p>
    <w:p w14:paraId="141F3034">
      <w:pPr>
        <w:pStyle w:val="20"/>
        <w:bidi w:val="0"/>
        <w:rPr>
          <w:rFonts w:hint="eastAsia"/>
          <w:lang w:eastAsia="zh-CN"/>
        </w:rPr>
      </w:pPr>
    </w:p>
    <w:p w14:paraId="3496559A">
      <w:pPr>
        <w:pStyle w:val="17"/>
        <w:bidi w:val="0"/>
      </w:pPr>
      <w:r>
        <w:t>3.2 一线治疗药物</w:t>
      </w:r>
    </w:p>
    <w:p w14:paraId="660B286E">
      <w:pPr>
        <w:pStyle w:val="20"/>
        <w:bidi w:val="0"/>
        <w:rPr>
          <w:rFonts w:hint="eastAsia"/>
          <w:lang w:eastAsia="zh-CN"/>
        </w:rPr>
      </w:pPr>
    </w:p>
    <w:p w14:paraId="388C60CA">
      <w:pPr>
        <w:pStyle w:val="17"/>
        <w:bidi w:val="0"/>
      </w:pPr>
      <w:r>
        <w:t>3.3 二线及联合用药</w:t>
      </w:r>
    </w:p>
    <w:p w14:paraId="12731F14">
      <w:pPr>
        <w:pStyle w:val="20"/>
        <w:bidi w:val="0"/>
        <w:rPr>
          <w:rFonts w:hint="eastAsia"/>
          <w:lang w:eastAsia="zh-CN"/>
        </w:rPr>
      </w:pPr>
    </w:p>
    <w:p w14:paraId="5BBE1FCE">
      <w:pPr>
        <w:pStyle w:val="17"/>
        <w:bidi w:val="0"/>
      </w:pPr>
      <w:r>
        <w:t>3.4 辅助治疗与长期管理</w:t>
      </w:r>
    </w:p>
    <w:p w14:paraId="39EF801E">
      <w:pPr>
        <w:pStyle w:val="20"/>
        <w:bidi w:val="0"/>
        <w:rPr>
          <w:rFonts w:hint="default"/>
          <w:lang w:val="en-US" w:eastAsia="zh-CN"/>
        </w:rPr>
      </w:pPr>
    </w:p>
    <w:p w14:paraId="7A5A9241">
      <w:pPr>
        <w:pStyle w:val="17"/>
        <w:bidi w:val="0"/>
        <w:rPr>
          <w:rFonts w:hint="eastAsia"/>
        </w:rPr>
      </w:pPr>
      <w:bookmarkStart w:id="7" w:name="_Toc19683"/>
      <w:r>
        <w:rPr>
          <w:rFonts w:hint="eastAsia"/>
          <w:lang w:val="en-US" w:eastAsia="zh-CN"/>
        </w:rPr>
        <w:t xml:space="preserve">3.5 </w:t>
      </w:r>
      <w:r>
        <w:rPr>
          <w:rFonts w:hint="eastAsia"/>
        </w:rPr>
        <w:t>本章小结</w:t>
      </w:r>
      <w:bookmarkEnd w:id="7"/>
    </w:p>
    <w:p w14:paraId="5362815A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1CCA360F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0EB85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48B6C3E7">
      <w:pPr>
        <w:pStyle w:val="16"/>
        <w:bidi w:val="0"/>
        <w:rPr>
          <w:rFonts w:hint="default" w:eastAsia="黑体"/>
          <w:lang w:val="en-US" w:eastAsia="zh-CN"/>
        </w:rPr>
      </w:pPr>
      <w:bookmarkStart w:id="8" w:name="_Toc2598"/>
      <w:r>
        <w:rPr>
          <w:rFonts w:hint="eastAsia"/>
          <w:lang w:val="en-US" w:eastAsia="zh-CN"/>
        </w:rPr>
        <w:t xml:space="preserve">第四章 </w:t>
      </w:r>
      <w:bookmarkEnd w:id="8"/>
      <w:r>
        <w:rPr>
          <w:rFonts w:hint="eastAsia"/>
          <w:lang w:val="en-US" w:eastAsia="zh-CN"/>
        </w:rPr>
        <w:t>治疗药物市场规模</w:t>
      </w:r>
    </w:p>
    <w:p w14:paraId="4005A05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 全球市场规模</w:t>
      </w:r>
    </w:p>
    <w:p w14:paraId="6E3911D6">
      <w:pPr>
        <w:pStyle w:val="20"/>
        <w:bidi w:val="0"/>
        <w:rPr>
          <w:rFonts w:hint="eastAsia"/>
          <w:lang w:val="en-US" w:eastAsia="zh-CN"/>
        </w:rPr>
      </w:pPr>
    </w:p>
    <w:p w14:paraId="2F1F32B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 中国市场规模</w:t>
      </w:r>
    </w:p>
    <w:p w14:paraId="09B5A36B">
      <w:pPr>
        <w:pStyle w:val="20"/>
        <w:bidi w:val="0"/>
        <w:rPr>
          <w:rFonts w:hint="eastAsia"/>
          <w:lang w:val="en-US" w:eastAsia="zh-CN"/>
        </w:rPr>
      </w:pPr>
    </w:p>
    <w:p w14:paraId="6D32446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 细分药物类别规模</w:t>
      </w:r>
    </w:p>
    <w:p w14:paraId="608D82AD">
      <w:pPr>
        <w:pStyle w:val="20"/>
        <w:bidi w:val="0"/>
        <w:rPr>
          <w:rFonts w:hint="default"/>
          <w:lang w:val="en-US" w:eastAsia="zh-CN"/>
        </w:rPr>
      </w:pPr>
    </w:p>
    <w:p w14:paraId="75D5F511">
      <w:pPr>
        <w:pStyle w:val="17"/>
        <w:bidi w:val="0"/>
        <w:rPr>
          <w:rFonts w:hint="eastAsia" w:eastAsia="黑体"/>
          <w:lang w:val="en-US" w:eastAsia="zh-CN"/>
        </w:rPr>
      </w:pPr>
      <w:bookmarkStart w:id="9" w:name="_Toc15244"/>
      <w:r>
        <w:rPr>
          <w:rFonts w:hint="eastAsia"/>
          <w:lang w:val="en-US" w:eastAsia="zh-CN"/>
        </w:rPr>
        <w:t>4.4 本章小结</w:t>
      </w:r>
      <w:bookmarkEnd w:id="9"/>
    </w:p>
    <w:p w14:paraId="4EAA42C5">
      <w:pPr>
        <w:pStyle w:val="20"/>
        <w:bidi w:val="0"/>
        <w:rPr>
          <w:rFonts w:hint="eastAsia"/>
          <w:lang w:val="en-US" w:eastAsia="zh-CN"/>
        </w:rPr>
      </w:pPr>
    </w:p>
    <w:p w14:paraId="480B3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2B7D93F7">
      <w:pPr>
        <w:pStyle w:val="16"/>
        <w:bidi w:val="0"/>
        <w:rPr>
          <w:rFonts w:hint="default" w:eastAsia="黑体"/>
          <w:lang w:val="en-US" w:eastAsia="zh-CN"/>
        </w:rPr>
      </w:pPr>
      <w:bookmarkStart w:id="10" w:name="_Toc1188"/>
      <w:r>
        <w:rPr>
          <w:rFonts w:hint="eastAsia"/>
          <w:lang w:val="en-US" w:eastAsia="zh-CN"/>
        </w:rPr>
        <w:t xml:space="preserve">第五章 </w:t>
      </w:r>
      <w:bookmarkEnd w:id="10"/>
      <w:r>
        <w:t>代表药物与竞品分析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使用excel数据）</w:t>
      </w:r>
    </w:p>
    <w:p w14:paraId="75F77A78">
      <w:pPr>
        <w:pStyle w:val="17"/>
        <w:bidi w:val="0"/>
      </w:pPr>
      <w:r>
        <w:t>5.1 已上市主要药物</w:t>
      </w:r>
    </w:p>
    <w:p w14:paraId="24947C67">
      <w:pPr>
        <w:pStyle w:val="17"/>
        <w:bidi w:val="0"/>
      </w:pPr>
      <w:r>
        <w:t>5.2 原研药与仿制药对比</w:t>
      </w:r>
    </w:p>
    <w:p w14:paraId="25D8D8D2">
      <w:pPr>
        <w:pStyle w:val="17"/>
        <w:bidi w:val="0"/>
      </w:pPr>
      <w:r>
        <w:t>5.3 国产药与进口药对比</w:t>
      </w:r>
    </w:p>
    <w:p w14:paraId="58AC10BA">
      <w:pPr>
        <w:pStyle w:val="17"/>
        <w:bidi w:val="0"/>
        <w:rPr>
          <w:rFonts w:hint="eastAsia"/>
          <w:lang w:val="en-US" w:eastAsia="zh-CN"/>
        </w:rPr>
      </w:pPr>
      <w:r>
        <w:t>5.4 重点竞品销售表现</w:t>
      </w:r>
    </w:p>
    <w:p w14:paraId="58F7F077">
      <w:pPr>
        <w:pStyle w:val="17"/>
        <w:bidi w:val="0"/>
        <w:rPr>
          <w:rFonts w:hint="eastAsia"/>
          <w:lang w:val="en-US" w:eastAsia="zh-CN"/>
        </w:rPr>
      </w:pPr>
      <w:bookmarkStart w:id="11" w:name="_Toc32502"/>
      <w:r>
        <w:rPr>
          <w:rFonts w:hint="eastAsia"/>
          <w:lang w:val="en-US" w:eastAsia="zh-CN"/>
        </w:rPr>
        <w:t>5.5 本章小结</w:t>
      </w:r>
      <w:bookmarkEnd w:id="11"/>
    </w:p>
    <w:p w14:paraId="60D3478A">
      <w:pPr>
        <w:pStyle w:val="20"/>
        <w:bidi w:val="0"/>
        <w:rPr>
          <w:rFonts w:hint="eastAsia"/>
          <w:lang w:val="en-US" w:eastAsia="zh-CN"/>
        </w:rPr>
      </w:pPr>
    </w:p>
    <w:p w14:paraId="24F49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65A682EA">
      <w:pPr>
        <w:pStyle w:val="16"/>
        <w:bidi w:val="0"/>
        <w:rPr>
          <w:rFonts w:hint="default" w:eastAsia="黑体"/>
          <w:lang w:val="en-US" w:eastAsia="zh-CN"/>
        </w:rPr>
      </w:pPr>
      <w:bookmarkStart w:id="12" w:name="_Toc2006"/>
      <w:r>
        <w:rPr>
          <w:rFonts w:hint="eastAsia"/>
          <w:lang w:val="en-US" w:eastAsia="zh-CN"/>
        </w:rPr>
        <w:t xml:space="preserve">第六章 </w:t>
      </w:r>
      <w:bookmarkEnd w:id="12"/>
      <w:r>
        <w:t>企业竞争格局</w:t>
      </w:r>
    </w:p>
    <w:p w14:paraId="219801F7">
      <w:pPr>
        <w:pStyle w:val="17"/>
        <w:bidi w:val="0"/>
      </w:pPr>
      <w:r>
        <w:t>6.1 主要生产企业</w:t>
      </w:r>
    </w:p>
    <w:p w14:paraId="2698E0F0">
      <w:pPr>
        <w:pStyle w:val="17"/>
        <w:bidi w:val="0"/>
      </w:pPr>
      <w:r>
        <w:t>6.2 企业市场份额</w:t>
      </w:r>
    </w:p>
    <w:p w14:paraId="5BE082AA">
      <w:pPr>
        <w:pStyle w:val="17"/>
        <w:bidi w:val="0"/>
      </w:pPr>
      <w:r>
        <w:t>6.3 企业产品线布局</w:t>
      </w:r>
    </w:p>
    <w:p w14:paraId="0ED92A48">
      <w:pPr>
        <w:pStyle w:val="17"/>
        <w:bidi w:val="0"/>
        <w:rPr>
          <w:rFonts w:hint="eastAsia"/>
          <w:lang w:eastAsia="zh-CN"/>
        </w:rPr>
      </w:pPr>
      <w:r>
        <w:t xml:space="preserve">6.4 </w:t>
      </w:r>
      <w:r>
        <w:rPr>
          <w:rFonts w:hint="eastAsia"/>
          <w:lang w:val="en-US" w:eastAsia="zh-CN"/>
        </w:rPr>
        <w:t>本章小结</w:t>
      </w:r>
    </w:p>
    <w:p w14:paraId="7F4E109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2EF9788E">
      <w:pPr>
        <w:pStyle w:val="16"/>
        <w:bidi w:val="0"/>
        <w:rPr>
          <w:rStyle w:val="26"/>
          <w:b/>
        </w:rPr>
      </w:pPr>
      <w:r>
        <w:rPr>
          <w:rStyle w:val="26"/>
          <w:b/>
        </w:rPr>
        <w:t>第七章 市场机会与风险判断</w:t>
      </w:r>
    </w:p>
    <w:p w14:paraId="683C3442">
      <w:pPr>
        <w:pStyle w:val="17"/>
        <w:bidi w:val="0"/>
      </w:pPr>
      <w:r>
        <w:t>7.1 未满足临床需求</w:t>
      </w:r>
    </w:p>
    <w:p w14:paraId="34986A46">
      <w:pPr>
        <w:pStyle w:val="17"/>
        <w:bidi w:val="0"/>
      </w:pPr>
      <w:r>
        <w:t>7.2 市场增长机会</w:t>
      </w:r>
    </w:p>
    <w:p w14:paraId="1410D80C">
      <w:pPr>
        <w:pStyle w:val="17"/>
        <w:bidi w:val="0"/>
      </w:pPr>
      <w:r>
        <w:t>7.3 政策与医保风险</w:t>
      </w:r>
    </w:p>
    <w:p w14:paraId="577CFF9A">
      <w:pPr>
        <w:pStyle w:val="17"/>
        <w:bidi w:val="0"/>
      </w:pPr>
      <w:r>
        <w:t>7.4 竞争风险与进入建议</w:t>
      </w:r>
    </w:p>
    <w:p w14:paraId="0050FDC6">
      <w:pPr>
        <w:pStyle w:val="1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7.5 本章小结</w:t>
      </w:r>
    </w:p>
    <w:p w14:paraId="72C5E53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3E42FCA">
      <w:pPr>
        <w:pStyle w:val="16"/>
        <w:bidi w:val="0"/>
        <w:rPr>
          <w:rFonts w:hint="eastAsia"/>
          <w:lang w:val="en-US" w:eastAsia="zh-CN"/>
        </w:rPr>
      </w:pPr>
      <w:bookmarkStart w:id="13" w:name="_Toc29208"/>
      <w:r>
        <w:rPr>
          <w:rFonts w:hint="eastAsia"/>
          <w:lang w:val="en-US" w:eastAsia="zh-CN"/>
        </w:rPr>
        <w:t>总结</w:t>
      </w:r>
      <w:bookmarkEnd w:id="13"/>
    </w:p>
    <w:p w14:paraId="1B952DB0">
      <w:pPr>
        <w:pStyle w:val="20"/>
        <w:bidi w:val="0"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  <w:bookmarkStart w:id="15" w:name="_GoBack"/>
      <w:bookmarkEnd w:id="15"/>
    </w:p>
    <w:p w14:paraId="02895469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br w:type="page"/>
      </w:r>
    </w:p>
    <w:p w14:paraId="0A103E5B">
      <w:pPr>
        <w:pStyle w:val="16"/>
        <w:bidi w:val="0"/>
        <w:rPr>
          <w:rFonts w:hint="default"/>
          <w:lang w:val="en-US" w:eastAsia="zh-CN"/>
        </w:rPr>
      </w:pPr>
      <w:bookmarkStart w:id="14" w:name="_Toc13429"/>
      <w:r>
        <w:rPr>
          <w:rFonts w:hint="default"/>
          <w:lang w:val="en-US" w:eastAsia="zh-CN"/>
        </w:rPr>
        <w:t>参考文献</w:t>
      </w:r>
      <w:bookmarkEnd w:id="14"/>
    </w:p>
    <w:p w14:paraId="4E4C714B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[</w:t>
      </w: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</w:rPr>
        <w:t>]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>李涛, 王强. 中成药在骨科疾病治疗中的作用及市场前景分析[J]. 中国药学杂志, 2024, 59(3): 78-84.</w:t>
      </w:r>
    </w:p>
    <w:sectPr>
      <w:footerReference r:id="rId6" w:type="default"/>
      <w:pgSz w:w="11906" w:h="16838"/>
      <w:pgMar w:top="1417" w:right="1134" w:bottom="1417" w:left="1134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CA3A572A-5D1C-4579-921D-5513CF0D91A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5209702B-0488-4746-B782-50F47B93FD83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A72EAF6E-BC16-466E-B7D8-811B9E53932F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897FDEDA-5754-4B52-9B99-8E10918624CF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8DBB18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F6AAD8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F6AAD8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4DF79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4DA323">
    <w:pPr>
      <w:pStyle w:val="7"/>
      <w:rPr>
        <w:rFonts w:hint="default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386C89">
                          <w:pPr>
                            <w:pStyle w:val="7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9bQWsyAgAAYwQAAA4AAABkcnMvZTJvRG9jLnhtbK1UzY7TMBC+I/EO&#10;lu80aRGrUj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/1tBa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386C89">
                    <w:pPr>
                      <w:pStyle w:val="7"/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7FE49A">
    <w:pPr>
      <w:pStyle w:val="8"/>
      <w:pBdr>
        <w:bottom w:val="single" w:color="auto" w:sz="4" w:space="1"/>
      </w:pBdr>
      <w:jc w:val="right"/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</w:pP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  <w:t>《</w:t>
    </w: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val="en-US" w:eastAsia="zh-CN"/>
      </w:rPr>
      <w:t>XXX市场分析报告</w:t>
    </w: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  <w:t>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C8CDBD"/>
    <w:multiLevelType w:val="singleLevel"/>
    <w:tmpl w:val="E1C8CDBD"/>
    <w:lvl w:ilvl="0" w:tentative="0">
      <w:start w:val="3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D0542"/>
    <w:rsid w:val="00502B08"/>
    <w:rsid w:val="00A959E6"/>
    <w:rsid w:val="011C626C"/>
    <w:rsid w:val="01280684"/>
    <w:rsid w:val="01336FBA"/>
    <w:rsid w:val="0253127D"/>
    <w:rsid w:val="028E430E"/>
    <w:rsid w:val="02AC34C4"/>
    <w:rsid w:val="04074A12"/>
    <w:rsid w:val="08285A4D"/>
    <w:rsid w:val="08CA2EA2"/>
    <w:rsid w:val="095D5C9E"/>
    <w:rsid w:val="0B077A60"/>
    <w:rsid w:val="0BB62F04"/>
    <w:rsid w:val="0EDF04F1"/>
    <w:rsid w:val="0F4470B9"/>
    <w:rsid w:val="10390BE8"/>
    <w:rsid w:val="10570604"/>
    <w:rsid w:val="108246B8"/>
    <w:rsid w:val="11732D8A"/>
    <w:rsid w:val="139E779B"/>
    <w:rsid w:val="13F7577D"/>
    <w:rsid w:val="144C06BE"/>
    <w:rsid w:val="1485453A"/>
    <w:rsid w:val="157F59DF"/>
    <w:rsid w:val="158C22C9"/>
    <w:rsid w:val="16755832"/>
    <w:rsid w:val="185E389A"/>
    <w:rsid w:val="1936090D"/>
    <w:rsid w:val="1A824F3A"/>
    <w:rsid w:val="1BE97638"/>
    <w:rsid w:val="1C293A0B"/>
    <w:rsid w:val="1C635FA2"/>
    <w:rsid w:val="1D426688"/>
    <w:rsid w:val="1D885815"/>
    <w:rsid w:val="1E844CEA"/>
    <w:rsid w:val="1EFA57B4"/>
    <w:rsid w:val="1FCF1EF4"/>
    <w:rsid w:val="204A02A8"/>
    <w:rsid w:val="209E1FED"/>
    <w:rsid w:val="22156F08"/>
    <w:rsid w:val="224C422B"/>
    <w:rsid w:val="22F467D6"/>
    <w:rsid w:val="230455D6"/>
    <w:rsid w:val="237733D9"/>
    <w:rsid w:val="24DB5662"/>
    <w:rsid w:val="275405E5"/>
    <w:rsid w:val="27573205"/>
    <w:rsid w:val="27DE30C0"/>
    <w:rsid w:val="28C013B8"/>
    <w:rsid w:val="2A6F54DA"/>
    <w:rsid w:val="2A6F6257"/>
    <w:rsid w:val="2B563FA5"/>
    <w:rsid w:val="2C9567D9"/>
    <w:rsid w:val="2D276A64"/>
    <w:rsid w:val="2DAB2A05"/>
    <w:rsid w:val="2EFB58CC"/>
    <w:rsid w:val="2FC20A24"/>
    <w:rsid w:val="321245AB"/>
    <w:rsid w:val="33244988"/>
    <w:rsid w:val="341C1954"/>
    <w:rsid w:val="3463118C"/>
    <w:rsid w:val="34D300EB"/>
    <w:rsid w:val="34DB7C0E"/>
    <w:rsid w:val="365612FD"/>
    <w:rsid w:val="36FF3745"/>
    <w:rsid w:val="37307B56"/>
    <w:rsid w:val="374809CF"/>
    <w:rsid w:val="37EB7B3F"/>
    <w:rsid w:val="38C05153"/>
    <w:rsid w:val="38D12F0A"/>
    <w:rsid w:val="39C00035"/>
    <w:rsid w:val="3AC31E1F"/>
    <w:rsid w:val="3BBC1AEB"/>
    <w:rsid w:val="40EF1AEC"/>
    <w:rsid w:val="41BF364E"/>
    <w:rsid w:val="41C51A2C"/>
    <w:rsid w:val="41CD6726"/>
    <w:rsid w:val="41FB71FC"/>
    <w:rsid w:val="426C5949"/>
    <w:rsid w:val="432718E8"/>
    <w:rsid w:val="43381EE9"/>
    <w:rsid w:val="44281C3A"/>
    <w:rsid w:val="45876362"/>
    <w:rsid w:val="45FE5055"/>
    <w:rsid w:val="478E44F5"/>
    <w:rsid w:val="49266648"/>
    <w:rsid w:val="4A3459A1"/>
    <w:rsid w:val="4BD83EFE"/>
    <w:rsid w:val="4D673998"/>
    <w:rsid w:val="4E6D01EE"/>
    <w:rsid w:val="51DA24F2"/>
    <w:rsid w:val="51F223CA"/>
    <w:rsid w:val="526B0CB3"/>
    <w:rsid w:val="52AA0ADC"/>
    <w:rsid w:val="52BE4A23"/>
    <w:rsid w:val="54C243A4"/>
    <w:rsid w:val="54D41AB2"/>
    <w:rsid w:val="550B5DF0"/>
    <w:rsid w:val="57946383"/>
    <w:rsid w:val="58660B01"/>
    <w:rsid w:val="5A7D7A30"/>
    <w:rsid w:val="5B3A334A"/>
    <w:rsid w:val="5CAC13C7"/>
    <w:rsid w:val="5CE60887"/>
    <w:rsid w:val="5F950245"/>
    <w:rsid w:val="5FBC7BFE"/>
    <w:rsid w:val="60160350"/>
    <w:rsid w:val="609350F5"/>
    <w:rsid w:val="60D27E15"/>
    <w:rsid w:val="60FF719C"/>
    <w:rsid w:val="627679D4"/>
    <w:rsid w:val="62E17BAF"/>
    <w:rsid w:val="644D4676"/>
    <w:rsid w:val="645E1B64"/>
    <w:rsid w:val="64E9136B"/>
    <w:rsid w:val="64F10B14"/>
    <w:rsid w:val="65C84F21"/>
    <w:rsid w:val="687C07E7"/>
    <w:rsid w:val="68907512"/>
    <w:rsid w:val="68AA08E0"/>
    <w:rsid w:val="69AA611C"/>
    <w:rsid w:val="6A4D7BBD"/>
    <w:rsid w:val="6A883473"/>
    <w:rsid w:val="6E294F38"/>
    <w:rsid w:val="6E3B27AA"/>
    <w:rsid w:val="6F4532EC"/>
    <w:rsid w:val="6F737718"/>
    <w:rsid w:val="6FA80114"/>
    <w:rsid w:val="711B2D58"/>
    <w:rsid w:val="732B52E4"/>
    <w:rsid w:val="73494789"/>
    <w:rsid w:val="75820B68"/>
    <w:rsid w:val="774D7DBB"/>
    <w:rsid w:val="78DF1018"/>
    <w:rsid w:val="79000F31"/>
    <w:rsid w:val="7A042296"/>
    <w:rsid w:val="7ACF2CFD"/>
    <w:rsid w:val="7AF20C7D"/>
    <w:rsid w:val="7B163386"/>
    <w:rsid w:val="7B4A086F"/>
    <w:rsid w:val="7C1A66F4"/>
    <w:rsid w:val="7C1E325F"/>
    <w:rsid w:val="7C1F52BA"/>
    <w:rsid w:val="7C8C7AE7"/>
    <w:rsid w:val="7D9108C9"/>
    <w:rsid w:val="7E77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黑体" w:asciiTheme="minorAscii" w:hAnsiTheme="minorAscii"/>
      <w:b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</w:rPr>
  </w:style>
  <w:style w:type="paragraph" w:customStyle="1" w:styleId="15">
    <w:name w:val="文章名"/>
    <w:basedOn w:val="1"/>
    <w:qFormat/>
    <w:uiPriority w:val="0"/>
    <w:pPr>
      <w:widowControl/>
      <w:spacing w:after="100" w:afterLines="100" w:line="360" w:lineRule="auto"/>
      <w:jc w:val="center"/>
      <w:outlineLvl w:val="0"/>
    </w:pPr>
    <w:rPr>
      <w:rFonts w:hint="eastAsia" w:ascii="黑体" w:hAnsi="黑体" w:eastAsia="黑体" w:cs="黑体"/>
      <w:b/>
      <w:bCs/>
      <w:kern w:val="0"/>
      <w:sz w:val="40"/>
      <w:szCs w:val="40"/>
      <w:lang w:bidi="ar"/>
    </w:rPr>
  </w:style>
  <w:style w:type="paragraph" w:customStyle="1" w:styleId="16">
    <w:name w:val="一级目录"/>
    <w:basedOn w:val="1"/>
    <w:link w:val="26"/>
    <w:qFormat/>
    <w:uiPriority w:val="0"/>
    <w:pPr>
      <w:spacing w:before="50" w:beforeLines="50" w:line="360" w:lineRule="auto"/>
      <w:jc w:val="center"/>
      <w:outlineLvl w:val="0"/>
    </w:pPr>
    <w:rPr>
      <w:rFonts w:ascii="黑体" w:hAnsi="黑体" w:eastAsia="黑体" w:cs="黑体"/>
      <w:b/>
      <w:kern w:val="0"/>
      <w:sz w:val="28"/>
      <w:szCs w:val="32"/>
      <w:lang w:bidi="ar"/>
    </w:rPr>
  </w:style>
  <w:style w:type="paragraph" w:customStyle="1" w:styleId="17">
    <w:name w:val="二级目录"/>
    <w:basedOn w:val="1"/>
    <w:link w:val="22"/>
    <w:qFormat/>
    <w:uiPriority w:val="0"/>
    <w:pPr>
      <w:widowControl/>
      <w:spacing w:before="50" w:beforeLines="50" w:line="360" w:lineRule="auto"/>
      <w:outlineLvl w:val="1"/>
    </w:pPr>
    <w:rPr>
      <w:rFonts w:ascii="黑体" w:hAnsi="黑体" w:eastAsia="黑体" w:cs="黑体"/>
      <w:b/>
      <w:kern w:val="0"/>
      <w:sz w:val="24"/>
      <w:szCs w:val="28"/>
      <w:lang w:bidi="ar"/>
    </w:rPr>
  </w:style>
  <w:style w:type="paragraph" w:customStyle="1" w:styleId="18">
    <w:name w:val="三级目录"/>
    <w:basedOn w:val="1"/>
    <w:link w:val="19"/>
    <w:qFormat/>
    <w:uiPriority w:val="0"/>
    <w:pPr>
      <w:widowControl/>
      <w:spacing w:before="50" w:beforeLines="50" w:line="360" w:lineRule="auto"/>
      <w:outlineLvl w:val="2"/>
    </w:pPr>
    <w:rPr>
      <w:rFonts w:ascii="黑体" w:hAnsi="黑体" w:eastAsia="黑体" w:cs="黑体"/>
      <w:b/>
      <w:kern w:val="0"/>
      <w:sz w:val="24"/>
      <w:lang w:bidi="ar"/>
    </w:rPr>
  </w:style>
  <w:style w:type="character" w:customStyle="1" w:styleId="19">
    <w:name w:val="三级目录 Char"/>
    <w:link w:val="18"/>
    <w:qFormat/>
    <w:uiPriority w:val="0"/>
    <w:rPr>
      <w:rFonts w:ascii="黑体" w:hAnsi="黑体" w:eastAsia="黑体" w:cs="黑体"/>
      <w:b/>
      <w:kern w:val="0"/>
      <w:sz w:val="24"/>
      <w:szCs w:val="24"/>
      <w:lang w:val="en-US" w:eastAsia="zh-CN" w:bidi="ar"/>
    </w:rPr>
  </w:style>
  <w:style w:type="paragraph" w:customStyle="1" w:styleId="20">
    <w:name w:val="数据报告正文"/>
    <w:basedOn w:val="11"/>
    <w:link w:val="21"/>
    <w:qFormat/>
    <w:uiPriority w:val="0"/>
    <w:pPr>
      <w:spacing w:before="50" w:beforeLines="50" w:beforeAutospacing="0" w:afterAutospacing="0" w:line="360" w:lineRule="auto"/>
      <w:ind w:firstLine="560" w:firstLineChars="200"/>
      <w:jc w:val="both"/>
    </w:pPr>
    <w:rPr>
      <w:rFonts w:asciiTheme="minorEastAsia" w:hAnsiTheme="minorEastAsia" w:cstheme="minorEastAsia"/>
    </w:rPr>
  </w:style>
  <w:style w:type="character" w:customStyle="1" w:styleId="21">
    <w:name w:val="数据报告正文 Char"/>
    <w:link w:val="20"/>
    <w:qFormat/>
    <w:uiPriority w:val="0"/>
    <w:rPr>
      <w:rFonts w:asciiTheme="minorEastAsia" w:hAnsiTheme="minorEastAsia" w:eastAsiaTheme="minorEastAsia" w:cstheme="minorEastAsia"/>
      <w:sz w:val="24"/>
    </w:rPr>
  </w:style>
  <w:style w:type="character" w:customStyle="1" w:styleId="22">
    <w:name w:val="二级目录 Char"/>
    <w:link w:val="17"/>
    <w:qFormat/>
    <w:uiPriority w:val="0"/>
    <w:rPr>
      <w:rFonts w:ascii="黑体" w:hAnsi="黑体" w:eastAsia="黑体" w:cs="黑体"/>
      <w:b/>
      <w:kern w:val="0"/>
      <w:sz w:val="24"/>
      <w:szCs w:val="28"/>
      <w:lang w:val="en-US" w:eastAsia="zh-CN" w:bidi="ar"/>
    </w:rPr>
  </w:style>
  <w:style w:type="paragraph" w:customStyle="1" w:styleId="2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26">
    <w:name w:val="一级目录 Char"/>
    <w:link w:val="16"/>
    <w:uiPriority w:val="0"/>
    <w:rPr>
      <w:rFonts w:ascii="黑体" w:hAnsi="黑体" w:eastAsia="黑体" w:cs="黑体"/>
      <w:b/>
      <w:kern w:val="0"/>
      <w:sz w:val="28"/>
      <w:szCs w:val="32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蓝白色简约风项目计划封面"/>
      <sectRole val="1"/>
    </customSectPr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383</Words>
  <Characters>454</Characters>
  <Lines>0</Lines>
  <Paragraphs>0</Paragraphs>
  <TotalTime>0</TotalTime>
  <ScaleCrop>false</ScaleCrop>
  <LinksUpToDate>false</LinksUpToDate>
  <CharactersWithSpaces>522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2025-03-11T01:37:00Z</dcterms:created>
  <dc:creator>IFUNK</dc:creator>
  <cp:lastModifiedBy>ifunk</cp:lastModifiedBy>
  <dcterms:modified xsi:type="dcterms:W3CDTF">2026-05-18T03:40:25Z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eyJoZGlkIjoiMzc4MWYwN2NmYzc3YzJlYTFiOGRiZDc3NGQ3MzliNWYiLCJ1c2VySWQiOiI3NTgzMDM3OTIifQ==</vt:lpwstr>
  </property>
  <property fmtid="{D5CDD505-2E9C-101B-9397-08002B2CF9AE}" pid="4" name="ICV">
    <vt:lpwstr>B2AD43A6023B47D8BA6B090C374A1CEC_13</vt:lpwstr>
  </property>
</Properties>
</file>