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0" w:name="_GoBack"/>
      <w:bookmarkEnd w:id="40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1A0A579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项目概述与研究边界</w:t>
      </w:r>
      <w:r>
        <w:tab/>
      </w:r>
      <w:r>
        <w:fldChar w:fldCharType="begin"/>
      </w:r>
      <w:r>
        <w:instrText xml:space="preserve"> PAGEREF _Toc3248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BF3F7D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_Toc22776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疾病定义与治疗范围</w:t>
      </w:r>
      <w:r>
        <w:tab/>
      </w:r>
      <w:r>
        <w:fldChar w:fldCharType="begin"/>
      </w:r>
      <w:r>
        <w:instrText xml:space="preserve"> PAGEREF _Toc22776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D5E30E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_Toc26038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治疗药物研究口径</w:t>
      </w:r>
      <w:r>
        <w:tab/>
      </w:r>
      <w:r>
        <w:fldChar w:fldCharType="begin"/>
      </w:r>
      <w:r>
        <w:instrText xml:space="preserve"> PAGEREF _Toc26038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F154F1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_Toc23085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数据来源与测算逻辑</w:t>
      </w:r>
      <w:r>
        <w:tab/>
      </w:r>
      <w:r>
        <w:fldChar w:fldCharType="begin"/>
      </w:r>
      <w:r>
        <w:instrText xml:space="preserve"> PAGEREF _Toc23085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902110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_Toc7781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_Toc7781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3299D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_Toc22484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疾病人群与临床需求分析</w:t>
      </w:r>
      <w:r>
        <w:tab/>
      </w:r>
      <w:r>
        <w:fldChar w:fldCharType="begin"/>
      </w:r>
      <w:r>
        <w:instrText xml:space="preserve"> PAGEREF _Toc22484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19AED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_Toc6260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患者规模与流行病学数据</w:t>
      </w:r>
      <w:r>
        <w:tab/>
      </w:r>
      <w:r>
        <w:fldChar w:fldCharType="begin"/>
      </w:r>
      <w:r>
        <w:instrText xml:space="preserve"> PAGEREF _Toc6260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67DEC7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_Toc21050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诊断率、治疗率与用药率</w:t>
      </w:r>
      <w:r>
        <w:tab/>
      </w:r>
      <w:r>
        <w:fldChar w:fldCharType="begin"/>
      </w:r>
      <w:r>
        <w:instrText xml:space="preserve"> PAGEREF _Toc21050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DE643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_Toc10916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临床治疗路径</w:t>
      </w:r>
      <w:r>
        <w:tab/>
      </w:r>
      <w:r>
        <w:fldChar w:fldCharType="begin"/>
      </w:r>
      <w:r>
        <w:instrText xml:space="preserve"> PAGEREF _Toc10916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954033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_Toc26145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未满足治疗需求</w:t>
      </w:r>
      <w:r>
        <w:tab/>
      </w:r>
      <w:r>
        <w:fldChar w:fldCharType="begin"/>
      </w:r>
      <w:r>
        <w:instrText xml:space="preserve"> PAGEREF _Toc26145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24FDB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_Toc9131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_Toc9131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C93A6F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_Toc8310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治疗药物市场规模分析</w:t>
      </w:r>
      <w:r>
        <w:tab/>
      </w:r>
      <w:r>
        <w:fldChar w:fldCharType="begin"/>
      </w:r>
      <w:r>
        <w:instrText xml:space="preserve"> PAGEREF _Toc8310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67B6E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_Toc14735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历史市场规模</w:t>
      </w:r>
      <w:r>
        <w:tab/>
      </w:r>
      <w:r>
        <w:fldChar w:fldCharType="begin"/>
      </w:r>
      <w:r>
        <w:instrText xml:space="preserve"> PAGEREF _Toc14735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B53D1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_Toc28877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当前市场规模</w:t>
      </w:r>
      <w:r>
        <w:tab/>
      </w:r>
      <w:r>
        <w:fldChar w:fldCharType="begin"/>
      </w:r>
      <w:r>
        <w:instrText xml:space="preserve"> PAGEREF _Toc28877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6BDF2E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_Toc28838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细分市场结构</w:t>
      </w:r>
      <w:r>
        <w:tab/>
      </w:r>
      <w:r>
        <w:fldChar w:fldCharType="begin"/>
      </w:r>
      <w:r>
        <w:instrText xml:space="preserve"> PAGEREF _Toc28838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20A42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3.4 未来市场预测</w:t>
      </w:r>
      <w:r>
        <w:tab/>
      </w:r>
      <w:r>
        <w:fldChar w:fldCharType="begin"/>
      </w:r>
      <w:r>
        <w:instrText xml:space="preserve"> PAGEREF _Toc14545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A6CE74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_Toc8156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_Toc8156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854313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_Toc10240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竞争格局与代表产品分析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_Toc10240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5AA31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_Toc9205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已上市治疗药物梳理</w:t>
      </w:r>
      <w:r>
        <w:tab/>
      </w:r>
      <w:r>
        <w:fldChar w:fldCharType="begin"/>
      </w:r>
      <w:r>
        <w:instrText xml:space="preserve"> PAGEREF _Toc9205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A1878B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_Toc20072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主要企业竞争格局</w:t>
      </w:r>
      <w:r>
        <w:tab/>
      </w:r>
      <w:r>
        <w:fldChar w:fldCharType="begin"/>
      </w:r>
      <w:r>
        <w:instrText xml:space="preserve"> PAGEREF _Toc20072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2CFC9F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_Toc8655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重点竞品销售表现</w:t>
      </w:r>
      <w:r>
        <w:tab/>
      </w:r>
      <w:r>
        <w:fldChar w:fldCharType="begin"/>
      </w:r>
      <w:r>
        <w:instrText xml:space="preserve"> PAGEREF _Toc8655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E39F16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_Toc26183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4.4 产品差异化对比</w:t>
      </w:r>
      <w:r>
        <w:tab/>
      </w:r>
      <w:r>
        <w:fldChar w:fldCharType="begin"/>
      </w:r>
      <w:r>
        <w:instrText xml:space="preserve"> PAGEREF _Toc26183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C6492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_Toc30726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4.5 本章小结</w:t>
      </w:r>
      <w:r>
        <w:tab/>
      </w:r>
      <w:r>
        <w:fldChar w:fldCharType="begin"/>
      </w:r>
      <w:r>
        <w:instrText xml:space="preserve"> PAGEREF _Toc30726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043BF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_Toc5055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政策、医保与准入环境</w:t>
      </w:r>
      <w:r>
        <w:tab/>
      </w:r>
      <w:r>
        <w:fldChar w:fldCharType="begin"/>
      </w:r>
      <w:r>
        <w:instrText xml:space="preserve"> PAGEREF _Toc5055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FD8B0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_Toc16997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药品注册审批环境</w:t>
      </w:r>
      <w:r>
        <w:tab/>
      </w:r>
      <w:r>
        <w:fldChar w:fldCharType="begin"/>
      </w:r>
      <w:r>
        <w:instrText xml:space="preserve"> PAGEREF _Toc16997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864BEC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_Toc4850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医保目录与支付限制</w:t>
      </w:r>
      <w:r>
        <w:tab/>
      </w:r>
      <w:r>
        <w:fldChar w:fldCharType="begin"/>
      </w:r>
      <w:r>
        <w:instrText xml:space="preserve"> PAGEREF _Toc4850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AE3593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_Toc9722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集采与价格政策</w:t>
      </w:r>
      <w:r>
        <w:tab/>
      </w:r>
      <w:r>
        <w:fldChar w:fldCharType="begin"/>
      </w:r>
      <w:r>
        <w:instrText xml:space="preserve"> PAGEREF _Toc9722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BC4C37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_Toc20554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5.4 医院准入与渠道限制</w:t>
      </w:r>
      <w:r>
        <w:tab/>
      </w:r>
      <w:r>
        <w:fldChar w:fldCharType="begin"/>
      </w:r>
      <w:r>
        <w:instrText xml:space="preserve"> PAGEREF _Toc20554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4B973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_Toc4819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_Toc4819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1994D8E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六</w:t>
      </w:r>
      <w:r>
        <w:t>章 商业机会与发展建议</w:t>
      </w:r>
      <w:r>
        <w:tab/>
      </w:r>
      <w:r>
        <w:fldChar w:fldCharType="begin"/>
      </w:r>
      <w:r>
        <w:instrText xml:space="preserve"> PAGEREF _Toc955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D58B4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_Toc20657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.1 市场增长机会</w:t>
      </w:r>
      <w:r>
        <w:tab/>
      </w:r>
      <w:r>
        <w:fldChar w:fldCharType="begin"/>
      </w:r>
      <w:r>
        <w:instrText xml:space="preserve"> PAGEREF _Toc20657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CE7761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_Toc28467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.2 产品定位建议</w:t>
      </w:r>
      <w:r>
        <w:tab/>
      </w:r>
      <w:r>
        <w:fldChar w:fldCharType="begin"/>
      </w:r>
      <w:r>
        <w:instrText xml:space="preserve"> PAGEREF _Toc28467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6BAA3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_Toc5678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.3 渠道与推广建议</w:t>
      </w:r>
      <w:r>
        <w:tab/>
      </w:r>
      <w:r>
        <w:fldChar w:fldCharType="begin"/>
      </w:r>
      <w:r>
        <w:instrText xml:space="preserve"> PAGEREF _Toc5678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239C0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_Toc8616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.4 风险判断与应对策略</w:t>
      </w:r>
      <w:r>
        <w:tab/>
      </w:r>
      <w:r>
        <w:fldChar w:fldCharType="begin"/>
      </w:r>
      <w:r>
        <w:instrText xml:space="preserve"> PAGEREF _Toc8616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4F33CA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_Toc9767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_Toc9767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66766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_Toc27479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_Toc27479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677407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_Toc3436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_Toc3436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06CB06C">
      <w:pPr>
        <w:pStyle w:val="16"/>
        <w:bidi w:val="0"/>
        <w:rPr>
          <w:rFonts w:hint="eastAsia"/>
          <w:lang w:eastAsia="zh-CN"/>
        </w:rPr>
      </w:pPr>
      <w:bookmarkStart w:id="0" w:name="_Toc3248"/>
      <w:r>
        <w:t>第一章 项目概述与研究边界</w:t>
      </w:r>
      <w:bookmarkEnd w:id="0"/>
    </w:p>
    <w:p w14:paraId="3C675970">
      <w:pPr>
        <w:pStyle w:val="17"/>
        <w:bidi w:val="0"/>
        <w:rPr>
          <w:rFonts w:hint="eastAsia"/>
          <w:lang w:eastAsia="zh-CN"/>
        </w:rPr>
      </w:pPr>
      <w:bookmarkStart w:id="1" w:name="_Toc22776"/>
      <w:r>
        <w:t>1.1 疾病定义与治疗范围</w:t>
      </w:r>
      <w:bookmarkEnd w:id="1"/>
    </w:p>
    <w:p w14:paraId="079788C3">
      <w:pPr>
        <w:pStyle w:val="17"/>
        <w:bidi w:val="0"/>
        <w:rPr>
          <w:rFonts w:hint="eastAsia"/>
          <w:lang w:eastAsia="zh-CN"/>
        </w:rPr>
      </w:pPr>
      <w:bookmarkStart w:id="2" w:name="_Toc26038"/>
      <w:r>
        <w:t>1.2 治疗药物研究口径</w:t>
      </w:r>
      <w:bookmarkEnd w:id="2"/>
    </w:p>
    <w:p w14:paraId="0329ECB7">
      <w:pPr>
        <w:pStyle w:val="17"/>
        <w:bidi w:val="0"/>
        <w:rPr>
          <w:rFonts w:hint="eastAsia"/>
          <w:lang w:eastAsia="zh-CN"/>
        </w:rPr>
      </w:pPr>
      <w:bookmarkStart w:id="3" w:name="_Toc23085"/>
      <w:r>
        <w:t>1.3 数据来源与测算逻辑</w:t>
      </w:r>
      <w:bookmarkEnd w:id="3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4" w:name="_Toc7781"/>
      <w:r>
        <w:rPr>
          <w:rFonts w:hint="eastAsia"/>
          <w:lang w:val="en-US" w:eastAsia="zh-CN"/>
        </w:rPr>
        <w:t>1.4 本章小结</w:t>
      </w:r>
      <w:bookmarkEnd w:id="4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FEF7FBD">
      <w:pPr>
        <w:pStyle w:val="16"/>
        <w:bidi w:val="0"/>
        <w:rPr>
          <w:rFonts w:hint="eastAsia"/>
          <w:lang w:eastAsia="zh-CN"/>
        </w:rPr>
      </w:pPr>
      <w:bookmarkStart w:id="5" w:name="_Toc22484"/>
      <w:r>
        <w:t>第二章 疾病人群与临床需求分析</w:t>
      </w:r>
      <w:bookmarkEnd w:id="5"/>
    </w:p>
    <w:p w14:paraId="5056C40E">
      <w:pPr>
        <w:pStyle w:val="17"/>
        <w:bidi w:val="0"/>
        <w:rPr>
          <w:rFonts w:hint="eastAsia"/>
          <w:lang w:eastAsia="zh-CN"/>
        </w:rPr>
      </w:pPr>
      <w:bookmarkStart w:id="6" w:name="_Toc6260"/>
      <w:r>
        <w:t>2.1 患者规模与流行病学数据</w:t>
      </w:r>
      <w:bookmarkEnd w:id="6"/>
    </w:p>
    <w:p w14:paraId="20ECADE4">
      <w:pPr>
        <w:pStyle w:val="17"/>
        <w:bidi w:val="0"/>
        <w:rPr>
          <w:rFonts w:hint="eastAsia"/>
          <w:lang w:eastAsia="zh-CN"/>
        </w:rPr>
      </w:pPr>
      <w:bookmarkStart w:id="7" w:name="_Toc21050"/>
      <w:r>
        <w:t>2.2 诊断率、治疗率与用药率</w:t>
      </w:r>
      <w:bookmarkEnd w:id="7"/>
    </w:p>
    <w:p w14:paraId="09D3A9A1">
      <w:pPr>
        <w:pStyle w:val="17"/>
        <w:bidi w:val="0"/>
        <w:rPr>
          <w:rFonts w:hint="eastAsia"/>
          <w:lang w:eastAsia="zh-CN"/>
        </w:rPr>
      </w:pPr>
      <w:bookmarkStart w:id="8" w:name="_Toc10916"/>
      <w:r>
        <w:t>2.3 临床治疗路径</w:t>
      </w:r>
      <w:bookmarkEnd w:id="8"/>
    </w:p>
    <w:p w14:paraId="763BBC02">
      <w:pPr>
        <w:pStyle w:val="17"/>
        <w:bidi w:val="0"/>
        <w:rPr>
          <w:rFonts w:hint="default"/>
          <w:lang w:val="en-US" w:eastAsia="zh-CN"/>
        </w:rPr>
      </w:pPr>
      <w:bookmarkStart w:id="9" w:name="_Toc26145"/>
      <w:r>
        <w:t>2.4 未满足治疗需求</w:t>
      </w:r>
      <w:bookmarkEnd w:id="9"/>
    </w:p>
    <w:p w14:paraId="1C2C8555">
      <w:pPr>
        <w:pStyle w:val="17"/>
        <w:bidi w:val="0"/>
        <w:rPr>
          <w:rFonts w:hint="eastAsia"/>
        </w:rPr>
      </w:pPr>
      <w:bookmarkStart w:id="10" w:name="_Toc4226"/>
      <w:bookmarkStart w:id="11" w:name="_Toc9131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0"/>
      <w:bookmarkEnd w:id="11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4ACDC23">
      <w:pPr>
        <w:pStyle w:val="16"/>
        <w:bidi w:val="0"/>
        <w:rPr>
          <w:rFonts w:hint="eastAsia"/>
          <w:lang w:eastAsia="zh-CN"/>
        </w:rPr>
      </w:pPr>
      <w:bookmarkStart w:id="12" w:name="_Toc8310"/>
      <w:r>
        <w:t>第三章 治疗药物市场规模分析</w:t>
      </w:r>
      <w:bookmarkEnd w:id="12"/>
    </w:p>
    <w:p w14:paraId="09C27E70">
      <w:pPr>
        <w:pStyle w:val="17"/>
        <w:bidi w:val="0"/>
        <w:rPr>
          <w:rFonts w:hint="eastAsia"/>
          <w:lang w:eastAsia="zh-CN"/>
        </w:rPr>
      </w:pPr>
      <w:bookmarkStart w:id="13" w:name="_Toc14735"/>
      <w:r>
        <w:t>3.1 历史市场规模</w:t>
      </w:r>
      <w:bookmarkEnd w:id="13"/>
    </w:p>
    <w:p w14:paraId="71809D08">
      <w:pPr>
        <w:pStyle w:val="17"/>
        <w:bidi w:val="0"/>
        <w:rPr>
          <w:rFonts w:hint="eastAsia"/>
          <w:lang w:eastAsia="zh-CN"/>
        </w:rPr>
      </w:pPr>
      <w:bookmarkStart w:id="14" w:name="_Toc28877"/>
      <w:r>
        <w:t>3.2 当前市场规模</w:t>
      </w:r>
      <w:bookmarkEnd w:id="14"/>
    </w:p>
    <w:p w14:paraId="3076FF75">
      <w:pPr>
        <w:pStyle w:val="17"/>
        <w:bidi w:val="0"/>
        <w:rPr>
          <w:rFonts w:hint="eastAsia"/>
          <w:lang w:eastAsia="zh-CN"/>
        </w:rPr>
      </w:pPr>
      <w:bookmarkStart w:id="15" w:name="_Toc28838"/>
      <w:r>
        <w:t>3.3 细分市场结构</w:t>
      </w:r>
      <w:bookmarkEnd w:id="15"/>
    </w:p>
    <w:p w14:paraId="77C10888">
      <w:pPr>
        <w:pStyle w:val="17"/>
        <w:bidi w:val="0"/>
        <w:rPr>
          <w:rFonts w:hint="default"/>
          <w:lang w:val="en-US" w:eastAsia="zh-CN"/>
        </w:rPr>
      </w:pPr>
      <w:bookmarkStart w:id="16" w:name="_Toc14545"/>
      <w:r>
        <w:t>3.4 未来市场预测</w:t>
      </w:r>
      <w:bookmarkEnd w:id="16"/>
    </w:p>
    <w:p w14:paraId="7A5A9241">
      <w:pPr>
        <w:pStyle w:val="17"/>
        <w:bidi w:val="0"/>
        <w:rPr>
          <w:rFonts w:hint="eastAsia"/>
        </w:rPr>
      </w:pPr>
      <w:bookmarkStart w:id="17" w:name="_Toc8156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7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065A52D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18" w:name="_Toc10240"/>
      <w:r>
        <w:t>第四章 竞争格局与代表产品分析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8"/>
    </w:p>
    <w:p w14:paraId="24917964">
      <w:pPr>
        <w:pStyle w:val="17"/>
        <w:bidi w:val="0"/>
        <w:rPr>
          <w:rFonts w:hint="eastAsia"/>
          <w:lang w:eastAsia="zh-CN"/>
        </w:rPr>
      </w:pPr>
      <w:bookmarkStart w:id="19" w:name="_Toc9205"/>
      <w:r>
        <w:t>4.1 已上市治疗药物梳理</w:t>
      </w:r>
      <w:bookmarkEnd w:id="19"/>
    </w:p>
    <w:p w14:paraId="3510340F">
      <w:pPr>
        <w:pStyle w:val="17"/>
        <w:bidi w:val="0"/>
        <w:rPr>
          <w:rFonts w:hint="eastAsia"/>
          <w:lang w:eastAsia="zh-CN"/>
        </w:rPr>
      </w:pPr>
      <w:bookmarkStart w:id="20" w:name="_Toc20072"/>
      <w:r>
        <w:t>4.2 主要企业竞争格局</w:t>
      </w:r>
      <w:bookmarkEnd w:id="20"/>
    </w:p>
    <w:p w14:paraId="5984D3E5">
      <w:pPr>
        <w:pStyle w:val="17"/>
        <w:bidi w:val="0"/>
        <w:rPr>
          <w:rFonts w:hint="eastAsia"/>
          <w:lang w:eastAsia="zh-CN"/>
        </w:rPr>
      </w:pPr>
      <w:bookmarkStart w:id="21" w:name="_Toc8655"/>
      <w:r>
        <w:t>4.3 重点竞品销售表现</w:t>
      </w:r>
      <w:bookmarkEnd w:id="21"/>
    </w:p>
    <w:p w14:paraId="7380EBA5">
      <w:pPr>
        <w:pStyle w:val="17"/>
        <w:bidi w:val="0"/>
      </w:pPr>
      <w:bookmarkStart w:id="22" w:name="_Toc26183"/>
      <w:r>
        <w:t>4.4 产品差异化对比</w:t>
      </w:r>
      <w:bookmarkEnd w:id="22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3" w:name="_Toc30726"/>
      <w:r>
        <w:rPr>
          <w:rFonts w:hint="eastAsia"/>
          <w:lang w:val="en-US" w:eastAsia="zh-CN"/>
        </w:rPr>
        <w:t>4.5 本章小结</w:t>
      </w:r>
      <w:bookmarkEnd w:id="23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16A35EE">
      <w:pPr>
        <w:pStyle w:val="16"/>
        <w:bidi w:val="0"/>
        <w:rPr>
          <w:rFonts w:hint="eastAsia"/>
          <w:lang w:eastAsia="zh-CN"/>
        </w:rPr>
      </w:pPr>
      <w:bookmarkStart w:id="24" w:name="_Toc5055"/>
      <w:r>
        <w:t>第五章 政策、医保与准入环境</w:t>
      </w:r>
      <w:bookmarkEnd w:id="24"/>
    </w:p>
    <w:p w14:paraId="0F0E183F">
      <w:pPr>
        <w:pStyle w:val="17"/>
        <w:bidi w:val="0"/>
        <w:rPr>
          <w:rFonts w:hint="eastAsia"/>
          <w:lang w:eastAsia="zh-CN"/>
        </w:rPr>
      </w:pPr>
      <w:bookmarkStart w:id="25" w:name="_Toc16997"/>
      <w:r>
        <w:t>5.1 药品注册审批环境</w:t>
      </w:r>
      <w:bookmarkEnd w:id="25"/>
    </w:p>
    <w:p w14:paraId="40DC3757">
      <w:pPr>
        <w:pStyle w:val="17"/>
        <w:bidi w:val="0"/>
        <w:rPr>
          <w:rFonts w:hint="eastAsia"/>
          <w:lang w:eastAsia="zh-CN"/>
        </w:rPr>
      </w:pPr>
      <w:bookmarkStart w:id="26" w:name="_Toc4850"/>
      <w:r>
        <w:t>5.2 医保目录与支付限制</w:t>
      </w:r>
      <w:bookmarkEnd w:id="26"/>
    </w:p>
    <w:p w14:paraId="29275A4C">
      <w:pPr>
        <w:pStyle w:val="17"/>
        <w:bidi w:val="0"/>
        <w:rPr>
          <w:rFonts w:hint="eastAsia"/>
          <w:lang w:eastAsia="zh-CN"/>
        </w:rPr>
      </w:pPr>
      <w:bookmarkStart w:id="27" w:name="_Toc9722"/>
      <w:r>
        <w:t>5.3 集采与价格政策</w:t>
      </w:r>
      <w:bookmarkEnd w:id="27"/>
    </w:p>
    <w:p w14:paraId="034454B8">
      <w:pPr>
        <w:pStyle w:val="17"/>
        <w:bidi w:val="0"/>
        <w:rPr>
          <w:rFonts w:hint="eastAsia"/>
          <w:lang w:val="en-US" w:eastAsia="zh-CN"/>
        </w:rPr>
      </w:pPr>
      <w:bookmarkStart w:id="28" w:name="_Toc20554"/>
      <w:r>
        <w:t>5.4 医院准入与渠道限制</w:t>
      </w:r>
      <w:bookmarkEnd w:id="28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9" w:name="_Toc4819"/>
      <w:r>
        <w:rPr>
          <w:rFonts w:hint="eastAsia"/>
          <w:lang w:val="en-US" w:eastAsia="zh-CN"/>
        </w:rPr>
        <w:t>5.5 本章小结</w:t>
      </w:r>
      <w:bookmarkEnd w:id="29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3C58DF9">
      <w:pPr>
        <w:pStyle w:val="16"/>
        <w:bidi w:val="0"/>
        <w:rPr>
          <w:rFonts w:hint="eastAsia"/>
          <w:lang w:eastAsia="zh-CN"/>
        </w:rPr>
      </w:pPr>
      <w:bookmarkStart w:id="30" w:name="_Toc955"/>
      <w:r>
        <w:t>第</w:t>
      </w:r>
      <w:r>
        <w:rPr>
          <w:rFonts w:hint="eastAsia"/>
          <w:lang w:val="en-US" w:eastAsia="zh-CN"/>
        </w:rPr>
        <w:t>六</w:t>
      </w:r>
      <w:r>
        <w:t>章 商业机会与发展建议</w:t>
      </w:r>
      <w:bookmarkEnd w:id="30"/>
    </w:p>
    <w:p w14:paraId="13ED998B">
      <w:pPr>
        <w:pStyle w:val="17"/>
        <w:bidi w:val="0"/>
        <w:rPr>
          <w:rFonts w:hint="eastAsia"/>
          <w:lang w:eastAsia="zh-CN"/>
        </w:rPr>
      </w:pPr>
      <w:bookmarkStart w:id="31" w:name="_Toc20657"/>
      <w:r>
        <w:rPr>
          <w:rFonts w:hint="eastAsia"/>
          <w:lang w:eastAsia="zh-CN"/>
        </w:rPr>
        <w:t>6</w:t>
      </w:r>
      <w:r>
        <w:t>.1 市场增长机会</w:t>
      </w:r>
      <w:bookmarkEnd w:id="31"/>
    </w:p>
    <w:p w14:paraId="5810BE91">
      <w:pPr>
        <w:pStyle w:val="17"/>
        <w:bidi w:val="0"/>
        <w:rPr>
          <w:rFonts w:hint="eastAsia"/>
          <w:lang w:eastAsia="zh-CN"/>
        </w:rPr>
      </w:pPr>
      <w:bookmarkStart w:id="32" w:name="_Toc28467"/>
      <w:r>
        <w:rPr>
          <w:rFonts w:hint="eastAsia"/>
          <w:lang w:eastAsia="zh-CN"/>
        </w:rPr>
        <w:t>6</w:t>
      </w:r>
      <w:r>
        <w:t>.2 产品定位建议</w:t>
      </w:r>
      <w:bookmarkEnd w:id="32"/>
    </w:p>
    <w:p w14:paraId="0EE03AD3">
      <w:pPr>
        <w:pStyle w:val="17"/>
        <w:bidi w:val="0"/>
        <w:rPr>
          <w:rFonts w:hint="eastAsia"/>
          <w:lang w:eastAsia="zh-CN"/>
        </w:rPr>
      </w:pPr>
      <w:bookmarkStart w:id="33" w:name="_Toc5678"/>
      <w:r>
        <w:rPr>
          <w:rFonts w:hint="eastAsia"/>
          <w:lang w:eastAsia="zh-CN"/>
        </w:rPr>
        <w:t>6</w:t>
      </w:r>
      <w:r>
        <w:t>.3 渠道与推广建议</w:t>
      </w:r>
      <w:bookmarkEnd w:id="33"/>
    </w:p>
    <w:p w14:paraId="0B2B86B2">
      <w:pPr>
        <w:pStyle w:val="17"/>
        <w:bidi w:val="0"/>
      </w:pPr>
      <w:bookmarkStart w:id="34" w:name="_Toc8616"/>
      <w:r>
        <w:rPr>
          <w:rFonts w:hint="eastAsia"/>
          <w:lang w:eastAsia="zh-CN"/>
        </w:rPr>
        <w:t>6</w:t>
      </w:r>
      <w:r>
        <w:t>.4 风险判断与应对策略</w:t>
      </w:r>
      <w:bookmarkEnd w:id="34"/>
    </w:p>
    <w:p w14:paraId="0092E0DA">
      <w:pPr>
        <w:pStyle w:val="17"/>
        <w:bidi w:val="0"/>
        <w:rPr>
          <w:rFonts w:hint="eastAsia"/>
        </w:rPr>
      </w:pPr>
      <w:bookmarkStart w:id="35" w:name="_Toc31290"/>
      <w:bookmarkStart w:id="36" w:name="_Toc10013"/>
      <w:bookmarkStart w:id="37" w:name="_Toc9767"/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bookmarkEnd w:id="35"/>
      <w:bookmarkEnd w:id="36"/>
      <w:bookmarkEnd w:id="37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38" w:name="_Toc27479"/>
      <w:r>
        <w:rPr>
          <w:rFonts w:hint="eastAsia"/>
          <w:lang w:val="en-US" w:eastAsia="zh-CN"/>
        </w:rPr>
        <w:t>总结</w:t>
      </w:r>
      <w:bookmarkEnd w:id="38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39" w:name="_Toc3436"/>
      <w:r>
        <w:rPr>
          <w:rFonts w:hint="default"/>
          <w:lang w:val="en-US" w:eastAsia="zh-CN"/>
        </w:rPr>
        <w:t>参考文献</w:t>
      </w:r>
      <w:bookmarkEnd w:id="39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057F678-B682-4811-826F-095DB4FC0E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47EE472-C24B-46C7-8F8B-93D03512A929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C0A479C1-1AAA-491F-8BC3-4F02157A4063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9B4E1F5-154A-43D8-9FD2-3F0353BE9B2D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C101461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A8C673D"/>
    <w:rsid w:val="2B563FA5"/>
    <w:rsid w:val="2C9567D9"/>
    <w:rsid w:val="2D276A64"/>
    <w:rsid w:val="2EFB58CC"/>
    <w:rsid w:val="2FC20A24"/>
    <w:rsid w:val="302D0479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1023F9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