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9" w:name="_GoBack"/>
      <w:bookmarkEnd w:id="49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1A518FC4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_Toc7051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疾病与治疗领域概述</w:t>
      </w:r>
      <w:r>
        <w:tab/>
      </w:r>
      <w:r>
        <w:fldChar w:fldCharType="begin"/>
      </w:r>
      <w:r>
        <w:instrText xml:space="preserve"> PAGEREF _Toc7051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E272E6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疾病定义与临床分型</w:t>
      </w:r>
      <w:r>
        <w:tab/>
      </w:r>
      <w:r>
        <w:fldChar w:fldCharType="begin"/>
      </w:r>
      <w:r>
        <w:instrText xml:space="preserve"> PAGEREF _Toc859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F0DD91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_Toc29439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发病机制与疾病负担</w:t>
      </w:r>
      <w:r>
        <w:tab/>
      </w:r>
      <w:r>
        <w:fldChar w:fldCharType="begin"/>
      </w:r>
      <w:r>
        <w:instrText xml:space="preserve"> PAGEREF _Toc29439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9C1563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_Toc6405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诊疗路径与用药场景</w:t>
      </w:r>
      <w:r>
        <w:tab/>
      </w:r>
      <w:r>
        <w:fldChar w:fldCharType="begin"/>
      </w:r>
      <w:r>
        <w:instrText xml:space="preserve"> PAGEREF _Toc6405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85FCF9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_Toc18831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1.4 本章小结</w:t>
      </w:r>
      <w:r>
        <w:tab/>
      </w:r>
      <w:r>
        <w:fldChar w:fldCharType="begin"/>
      </w:r>
      <w:r>
        <w:instrText xml:space="preserve"> PAGEREF _Toc18831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1C38358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_Toc3023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目标治疗药物概述</w:t>
      </w:r>
      <w:r>
        <w:tab/>
      </w:r>
      <w:r>
        <w:fldChar w:fldCharType="begin"/>
      </w:r>
      <w:r>
        <w:instrText xml:space="preserve"> PAGEREF _Toc3023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6AB1B7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_Toc22115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药物类别与作用机制</w:t>
      </w:r>
      <w:r>
        <w:tab/>
      </w:r>
      <w:r>
        <w:fldChar w:fldCharType="begin"/>
      </w:r>
      <w:r>
        <w:instrText xml:space="preserve"> PAGEREF _Toc22115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0974F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_Toc23515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主要适应症与临床定位</w:t>
      </w:r>
      <w:r>
        <w:tab/>
      </w:r>
      <w:r>
        <w:fldChar w:fldCharType="begin"/>
      </w:r>
      <w:r>
        <w:instrText xml:space="preserve"> PAGEREF _Toc23515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4ED582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_Toc4173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代表性药品与剂型</w:t>
      </w:r>
      <w:r>
        <w:tab/>
      </w:r>
      <w:r>
        <w:fldChar w:fldCharType="begin"/>
      </w:r>
      <w:r>
        <w:instrText xml:space="preserve"> PAGEREF _Toc4173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F25ED9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_Toc1820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_Toc1820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0E9B1F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_Toc32302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市场规模与增长趋势</w:t>
      </w:r>
      <w:r>
        <w:tab/>
      </w:r>
      <w:r>
        <w:fldChar w:fldCharType="begin"/>
      </w:r>
      <w:r>
        <w:instrText xml:space="preserve"> PAGEREF _Toc32302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F259FB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_Toc32423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全球市场规模</w:t>
      </w:r>
      <w:r>
        <w:tab/>
      </w:r>
      <w:r>
        <w:fldChar w:fldCharType="begin"/>
      </w:r>
      <w:r>
        <w:instrText xml:space="preserve"> PAGEREF _Toc32423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5B4C60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_Toc9119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中国市场规模</w:t>
      </w:r>
      <w:r>
        <w:tab/>
      </w:r>
      <w:r>
        <w:fldChar w:fldCharType="begin"/>
      </w:r>
      <w:r>
        <w:instrText xml:space="preserve"> PAGEREF _Toc9119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EF77C1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_Toc31552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市场增长驱动因素</w:t>
      </w:r>
      <w:r>
        <w:tab/>
      </w:r>
      <w:r>
        <w:fldChar w:fldCharType="begin"/>
      </w:r>
      <w:r>
        <w:instrText xml:space="preserve"> PAGEREF _Toc31552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BA6358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_Toc13237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_Toc13237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2611CC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_Toc21373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患者人群与用药需求分析</w:t>
      </w:r>
      <w:r>
        <w:tab/>
      </w:r>
      <w:r>
        <w:fldChar w:fldCharType="begin"/>
      </w:r>
      <w:r>
        <w:instrText xml:space="preserve"> PAGEREF _Toc21373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FEBBF1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_Toc17180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4.1 患病率与患者基数</w:t>
      </w:r>
      <w:r>
        <w:tab/>
      </w:r>
      <w:r>
        <w:fldChar w:fldCharType="begin"/>
      </w:r>
      <w:r>
        <w:instrText xml:space="preserve"> PAGEREF _Toc17180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EBC859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_Toc18439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4.2 治疗率与用药渗透率</w:t>
      </w:r>
      <w:r>
        <w:tab/>
      </w:r>
      <w:r>
        <w:fldChar w:fldCharType="begin"/>
      </w:r>
      <w:r>
        <w:instrText xml:space="preserve"> PAGEREF _Toc18439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0CEC12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_Toc15329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4.3 未满足临床需求</w:t>
      </w:r>
      <w:r>
        <w:tab/>
      </w:r>
      <w:r>
        <w:fldChar w:fldCharType="begin"/>
      </w:r>
      <w:r>
        <w:instrText xml:space="preserve"> PAGEREF _Toc15329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0F738A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_Toc7857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4.4 本章小结</w:t>
      </w:r>
      <w:r>
        <w:tab/>
      </w:r>
      <w:r>
        <w:fldChar w:fldCharType="begin"/>
      </w:r>
      <w:r>
        <w:instrText xml:space="preserve"> PAGEREF _Toc7857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86320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_Toc10394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竞争格局分析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_Toc10394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330027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_Toc27522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主要企业与产品分布</w:t>
      </w:r>
      <w:r>
        <w:tab/>
      </w:r>
      <w:r>
        <w:fldChar w:fldCharType="begin"/>
      </w:r>
      <w:r>
        <w:instrText xml:space="preserve"> PAGEREF _Toc27522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AF7B89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_Toc22997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市场份额与竞争壁垒</w:t>
      </w:r>
      <w:r>
        <w:tab/>
      </w:r>
      <w:r>
        <w:fldChar w:fldCharType="begin"/>
      </w:r>
      <w:r>
        <w:instrText xml:space="preserve"> PAGEREF _Toc22997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E05E47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_Toc7914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5.3 本章小结</w:t>
      </w:r>
      <w:r>
        <w:tab/>
      </w:r>
      <w:r>
        <w:fldChar w:fldCharType="begin"/>
      </w:r>
      <w:r>
        <w:instrText xml:space="preserve"> PAGEREF _Toc7914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7D2706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_Toc16369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研发管线与创新趋势</w:t>
      </w:r>
      <w:r>
        <w:tab/>
      </w:r>
      <w:r>
        <w:fldChar w:fldCharType="begin"/>
      </w:r>
      <w:r>
        <w:instrText xml:space="preserve"> PAGEREF _Toc16369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4B0676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_Toc27317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6.1 在研药物管线</w:t>
      </w:r>
      <w:r>
        <w:tab/>
      </w:r>
      <w:r>
        <w:fldChar w:fldCharType="begin"/>
      </w:r>
      <w:r>
        <w:instrText xml:space="preserve"> PAGEREF _Toc27317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263C3D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_Toc25808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6.2 新靶点与新机制</w:t>
      </w:r>
      <w:r>
        <w:tab/>
      </w:r>
      <w:r>
        <w:fldChar w:fldCharType="begin"/>
      </w:r>
      <w:r>
        <w:instrText xml:space="preserve"> PAGEREF _Toc25808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233DEA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_Toc23416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6.3 临床试验进展</w:t>
      </w:r>
      <w:r>
        <w:tab/>
      </w:r>
      <w:r>
        <w:fldChar w:fldCharType="begin"/>
      </w:r>
      <w:r>
        <w:instrText xml:space="preserve"> PAGEREF _Toc23416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1ECD3A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_Toc3074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_Toc3074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34D5F7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_Toc12944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政策、医保与准入环境</w:t>
      </w:r>
      <w:r>
        <w:tab/>
      </w:r>
      <w:r>
        <w:fldChar w:fldCharType="begin"/>
      </w:r>
      <w:r>
        <w:instrText xml:space="preserve"> PAGEREF _Toc12944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B84A47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_Toc30037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7.1 药品注册审批政策</w:t>
      </w:r>
      <w:r>
        <w:tab/>
      </w:r>
      <w:r>
        <w:fldChar w:fldCharType="begin"/>
      </w:r>
      <w:r>
        <w:instrText xml:space="preserve"> PAGEREF _Toc30037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2E7F3C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_Toc11496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7.2 医保准入与支付环境</w:t>
      </w:r>
      <w:r>
        <w:tab/>
      </w:r>
      <w:r>
        <w:fldChar w:fldCharType="begin"/>
      </w:r>
      <w:r>
        <w:instrText xml:space="preserve"> PAGEREF _Toc11496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0FDF11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_Toc23800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7.3 集采与价格影响</w:t>
      </w:r>
      <w:r>
        <w:tab/>
      </w:r>
      <w:r>
        <w:fldChar w:fldCharType="begin"/>
      </w:r>
      <w:r>
        <w:instrText xml:space="preserve"> PAGEREF _Toc23800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31587C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_Toc1313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1A4B30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_Toc28042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第八章 渠道与终端市场分析</w:t>
      </w:r>
      <w:r>
        <w:tab/>
      </w:r>
      <w:r>
        <w:fldChar w:fldCharType="begin"/>
      </w:r>
      <w:r>
        <w:instrText xml:space="preserve"> PAGEREF _Toc28042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7D5B400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_Toc13269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8.1 医院端市场</w:t>
      </w:r>
      <w:r>
        <w:tab/>
      </w:r>
      <w:r>
        <w:fldChar w:fldCharType="begin"/>
      </w:r>
      <w:r>
        <w:instrText xml:space="preserve"> PAGEREF _Toc13269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42050F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_Toc15310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8.2 零售药店市场</w:t>
      </w:r>
      <w:r>
        <w:tab/>
      </w:r>
      <w:r>
        <w:fldChar w:fldCharType="begin"/>
      </w:r>
      <w:r>
        <w:instrText xml:space="preserve"> PAGEREF _Toc15310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B50830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_Toc18183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8.3 互联网医疗与院外渠道</w:t>
      </w:r>
      <w:r>
        <w:tab/>
      </w:r>
      <w:r>
        <w:fldChar w:fldCharType="begin"/>
      </w:r>
      <w:r>
        <w:instrText xml:space="preserve"> PAGEREF _Toc18183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C882F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_Toc24799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8.4 本章小结</w:t>
      </w:r>
      <w:r>
        <w:tab/>
      </w:r>
      <w:r>
        <w:fldChar w:fldCharType="begin"/>
      </w:r>
      <w:r>
        <w:instrText xml:space="preserve"> PAGEREF _Toc24799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98B0BF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_Toc12801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第九章 市场机会与风险分析</w:t>
      </w:r>
      <w:r>
        <w:tab/>
      </w:r>
      <w:r>
        <w:fldChar w:fldCharType="begin"/>
      </w:r>
      <w:r>
        <w:instrText xml:space="preserve"> PAGEREF _Toc12801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38AE6A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_Toc12050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9.1 市场机会</w:t>
      </w:r>
      <w:r>
        <w:tab/>
      </w:r>
      <w:r>
        <w:fldChar w:fldCharType="begin"/>
      </w:r>
      <w:r>
        <w:instrText xml:space="preserve"> PAGEREF _Toc12050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B64187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_Toc16682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9.2 市场风险</w:t>
      </w:r>
      <w:r>
        <w:tab/>
      </w:r>
      <w:r>
        <w:fldChar w:fldCharType="begin"/>
      </w:r>
      <w:r>
        <w:instrText xml:space="preserve"> PAGEREF _Toc16682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C39BCD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_Toc7919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9.3 企业进入策略</w:t>
      </w:r>
      <w:r>
        <w:tab/>
      </w:r>
      <w:r>
        <w:fldChar w:fldCharType="begin"/>
      </w:r>
      <w:r>
        <w:instrText xml:space="preserve"> PAGEREF _Toc7919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295831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_Toc31140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9.4 本章小结</w:t>
      </w:r>
      <w:r>
        <w:tab/>
      </w:r>
      <w:r>
        <w:fldChar w:fldCharType="begin"/>
      </w:r>
      <w:r>
        <w:instrText xml:space="preserve"> PAGEREF _Toc31140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ABB2597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_Toc15592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_Toc15592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FB295E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_Toc10921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_Toc10921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65C4FDA">
      <w:pPr>
        <w:pStyle w:val="16"/>
        <w:bidi w:val="0"/>
        <w:rPr>
          <w:rFonts w:hint="eastAsia"/>
          <w:lang w:eastAsia="zh-CN"/>
        </w:rPr>
      </w:pPr>
      <w:bookmarkStart w:id="0" w:name="_Toc7051"/>
      <w:r>
        <w:t>第一章 疾病与治疗领域概述</w:t>
      </w:r>
      <w:bookmarkEnd w:id="0"/>
    </w:p>
    <w:p w14:paraId="76D4D2D8">
      <w:pPr>
        <w:pStyle w:val="17"/>
        <w:bidi w:val="0"/>
        <w:rPr>
          <w:rFonts w:hint="eastAsia"/>
          <w:lang w:eastAsia="zh-CN"/>
        </w:rPr>
      </w:pPr>
      <w:bookmarkStart w:id="1" w:name="_Toc859"/>
      <w:r>
        <w:t>1.1 疾病定义与临床分型</w:t>
      </w:r>
      <w:bookmarkEnd w:id="1"/>
    </w:p>
    <w:p w14:paraId="153CCA93">
      <w:pPr>
        <w:pStyle w:val="17"/>
        <w:bidi w:val="0"/>
        <w:rPr>
          <w:rFonts w:hint="eastAsia"/>
          <w:lang w:eastAsia="zh-CN"/>
        </w:rPr>
      </w:pPr>
      <w:bookmarkStart w:id="2" w:name="_Toc29439"/>
      <w:r>
        <w:t>1.2 发病机制与疾病负担</w:t>
      </w:r>
      <w:bookmarkEnd w:id="2"/>
    </w:p>
    <w:p w14:paraId="1C58C17D">
      <w:pPr>
        <w:pStyle w:val="17"/>
        <w:bidi w:val="0"/>
      </w:pPr>
      <w:bookmarkStart w:id="3" w:name="_Toc6405"/>
      <w:r>
        <w:t>1.3 诊疗路径与用药场景</w:t>
      </w:r>
      <w:bookmarkEnd w:id="3"/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4" w:name="_Toc18831"/>
      <w:r>
        <w:rPr>
          <w:rFonts w:hint="eastAsia"/>
          <w:lang w:val="en-US" w:eastAsia="zh-CN"/>
        </w:rPr>
        <w:t>1.4 本章小结</w:t>
      </w:r>
      <w:bookmarkEnd w:id="4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3FB8D3C">
      <w:pPr>
        <w:pStyle w:val="16"/>
        <w:bidi w:val="0"/>
        <w:rPr>
          <w:rFonts w:hint="eastAsia"/>
          <w:lang w:eastAsia="zh-CN"/>
        </w:rPr>
      </w:pPr>
      <w:bookmarkStart w:id="5" w:name="_Toc3023"/>
      <w:bookmarkStart w:id="6" w:name="_Toc4226"/>
      <w:r>
        <w:t>第二章 目标治疗药物概述</w:t>
      </w:r>
      <w:bookmarkEnd w:id="5"/>
    </w:p>
    <w:p w14:paraId="002FB503">
      <w:pPr>
        <w:pStyle w:val="17"/>
        <w:bidi w:val="0"/>
        <w:rPr>
          <w:rFonts w:hint="eastAsia"/>
          <w:lang w:eastAsia="zh-CN"/>
        </w:rPr>
      </w:pPr>
      <w:bookmarkStart w:id="7" w:name="_Toc22115"/>
      <w:r>
        <w:t>2.1 药物类别与作用机制</w:t>
      </w:r>
      <w:bookmarkEnd w:id="7"/>
    </w:p>
    <w:p w14:paraId="159F7E0B">
      <w:pPr>
        <w:pStyle w:val="17"/>
        <w:bidi w:val="0"/>
        <w:rPr>
          <w:rFonts w:hint="eastAsia"/>
          <w:lang w:eastAsia="zh-CN"/>
        </w:rPr>
      </w:pPr>
      <w:bookmarkStart w:id="8" w:name="_Toc23515"/>
      <w:r>
        <w:t>2.2 主要适应症与临床定位</w:t>
      </w:r>
      <w:bookmarkEnd w:id="8"/>
    </w:p>
    <w:p w14:paraId="310D395F">
      <w:pPr>
        <w:pStyle w:val="17"/>
        <w:bidi w:val="0"/>
      </w:pPr>
      <w:bookmarkStart w:id="9" w:name="_Toc4173"/>
      <w:r>
        <w:t>2.3 代表性药品与剂型</w:t>
      </w:r>
      <w:bookmarkEnd w:id="9"/>
    </w:p>
    <w:p w14:paraId="1C2C8555">
      <w:pPr>
        <w:pStyle w:val="17"/>
        <w:bidi w:val="0"/>
        <w:rPr>
          <w:rFonts w:hint="eastAsia"/>
        </w:rPr>
      </w:pPr>
      <w:bookmarkStart w:id="10" w:name="_Toc1820"/>
      <w:r>
        <w:rPr>
          <w:rFonts w:hint="eastAsia"/>
          <w:lang w:val="en-US" w:eastAsia="zh-CN"/>
        </w:rPr>
        <w:t xml:space="preserve">2.4 </w:t>
      </w:r>
      <w:r>
        <w:rPr>
          <w:rFonts w:hint="eastAsia"/>
        </w:rPr>
        <w:t>本章小结</w:t>
      </w:r>
      <w:bookmarkEnd w:id="6"/>
      <w:bookmarkEnd w:id="10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1251932">
      <w:pPr>
        <w:pStyle w:val="16"/>
        <w:bidi w:val="0"/>
        <w:rPr>
          <w:rFonts w:hint="eastAsia"/>
          <w:lang w:eastAsia="zh-CN"/>
        </w:rPr>
      </w:pPr>
      <w:bookmarkStart w:id="11" w:name="_Toc32302"/>
      <w:r>
        <w:t>第三章 市场规模与增长趋势</w:t>
      </w:r>
      <w:bookmarkEnd w:id="11"/>
    </w:p>
    <w:p w14:paraId="2FFEB8AD">
      <w:pPr>
        <w:pStyle w:val="17"/>
        <w:bidi w:val="0"/>
        <w:rPr>
          <w:rFonts w:hint="eastAsia"/>
          <w:lang w:eastAsia="zh-CN"/>
        </w:rPr>
      </w:pPr>
      <w:bookmarkStart w:id="12" w:name="_Toc32423"/>
      <w:r>
        <w:t>3.1 全球市场规模</w:t>
      </w:r>
      <w:bookmarkEnd w:id="12"/>
    </w:p>
    <w:p w14:paraId="0C199603">
      <w:pPr>
        <w:pStyle w:val="17"/>
        <w:bidi w:val="0"/>
        <w:rPr>
          <w:rFonts w:hint="eastAsia"/>
          <w:lang w:eastAsia="zh-CN"/>
        </w:rPr>
      </w:pPr>
      <w:bookmarkStart w:id="13" w:name="_Toc9119"/>
      <w:r>
        <w:t>3.2 中国市场规模</w:t>
      </w:r>
      <w:bookmarkEnd w:id="13"/>
    </w:p>
    <w:p w14:paraId="2C35B461">
      <w:pPr>
        <w:pStyle w:val="17"/>
        <w:bidi w:val="0"/>
      </w:pPr>
      <w:bookmarkStart w:id="14" w:name="_Toc31552"/>
      <w:r>
        <w:t>3.3 市场增长驱动因素</w:t>
      </w:r>
      <w:bookmarkEnd w:id="14"/>
    </w:p>
    <w:p w14:paraId="7A5A9241">
      <w:pPr>
        <w:pStyle w:val="17"/>
        <w:bidi w:val="0"/>
        <w:rPr>
          <w:rFonts w:hint="eastAsia"/>
        </w:rPr>
      </w:pPr>
      <w:bookmarkStart w:id="15" w:name="_Toc13237"/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bookmarkEnd w:id="15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315FA85">
      <w:pPr>
        <w:pStyle w:val="16"/>
        <w:bidi w:val="0"/>
        <w:rPr>
          <w:rFonts w:hint="eastAsia"/>
          <w:lang w:eastAsia="zh-CN"/>
        </w:rPr>
      </w:pPr>
      <w:bookmarkStart w:id="16" w:name="_Toc21373"/>
      <w:r>
        <w:t>第四章 患者人群与用药需求分析</w:t>
      </w:r>
      <w:bookmarkEnd w:id="16"/>
    </w:p>
    <w:p w14:paraId="656BF229">
      <w:pPr>
        <w:pStyle w:val="17"/>
        <w:bidi w:val="0"/>
        <w:rPr>
          <w:rFonts w:hint="eastAsia"/>
          <w:lang w:eastAsia="zh-CN"/>
        </w:rPr>
      </w:pPr>
      <w:bookmarkStart w:id="17" w:name="_Toc17180"/>
      <w:r>
        <w:t>4.1 患病率与患者基数</w:t>
      </w:r>
      <w:bookmarkEnd w:id="17"/>
    </w:p>
    <w:p w14:paraId="1E371EA6">
      <w:pPr>
        <w:pStyle w:val="17"/>
        <w:bidi w:val="0"/>
        <w:rPr>
          <w:rFonts w:hint="eastAsia"/>
          <w:lang w:eastAsia="zh-CN"/>
        </w:rPr>
      </w:pPr>
      <w:bookmarkStart w:id="18" w:name="_Toc18439"/>
      <w:r>
        <w:t>4.2 治疗率与用药渗透率</w:t>
      </w:r>
      <w:bookmarkEnd w:id="18"/>
    </w:p>
    <w:p w14:paraId="637CE0A0">
      <w:pPr>
        <w:pStyle w:val="17"/>
        <w:bidi w:val="0"/>
      </w:pPr>
      <w:bookmarkStart w:id="19" w:name="_Toc15329"/>
      <w:r>
        <w:t>4.3 未满足临床需求</w:t>
      </w:r>
      <w:bookmarkEnd w:id="19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0" w:name="_Toc7857"/>
      <w:r>
        <w:rPr>
          <w:rFonts w:hint="eastAsia"/>
          <w:lang w:val="en-US" w:eastAsia="zh-CN"/>
        </w:rPr>
        <w:t>4.4 本章小结</w:t>
      </w:r>
      <w:bookmarkEnd w:id="20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C93F77E">
      <w:pPr>
        <w:pStyle w:val="16"/>
        <w:bidi w:val="0"/>
        <w:rPr>
          <w:rFonts w:hint="eastAsia"/>
          <w:lang w:eastAsia="zh-CN"/>
        </w:rPr>
      </w:pPr>
      <w:bookmarkStart w:id="21" w:name="_Toc10394"/>
      <w:r>
        <w:t>第五章 竞争格局分析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21"/>
    </w:p>
    <w:p w14:paraId="5088257C">
      <w:pPr>
        <w:pStyle w:val="17"/>
        <w:bidi w:val="0"/>
        <w:rPr>
          <w:rFonts w:hint="eastAsia"/>
          <w:lang w:eastAsia="zh-CN"/>
        </w:rPr>
      </w:pPr>
      <w:bookmarkStart w:id="22" w:name="_Toc27522"/>
      <w:r>
        <w:t>5.1 主要企业与产品分布</w:t>
      </w:r>
      <w:bookmarkEnd w:id="22"/>
    </w:p>
    <w:p w14:paraId="5756E372">
      <w:pPr>
        <w:pStyle w:val="17"/>
        <w:bidi w:val="0"/>
      </w:pPr>
      <w:bookmarkStart w:id="23" w:name="_Toc22997"/>
      <w:r>
        <w:t>5.2 市场份额与竞争壁垒</w:t>
      </w:r>
      <w:bookmarkEnd w:id="23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24" w:name="_Toc7914"/>
      <w:r>
        <w:rPr>
          <w:rFonts w:hint="eastAsia"/>
          <w:lang w:val="en-US" w:eastAsia="zh-CN"/>
        </w:rPr>
        <w:t>5.3 本章小结</w:t>
      </w:r>
      <w:bookmarkEnd w:id="24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3799F57">
      <w:pPr>
        <w:pStyle w:val="16"/>
        <w:bidi w:val="0"/>
        <w:rPr>
          <w:rFonts w:hint="eastAsia"/>
          <w:lang w:eastAsia="zh-CN"/>
        </w:rPr>
      </w:pPr>
      <w:bookmarkStart w:id="25" w:name="_Toc16369"/>
      <w:bookmarkStart w:id="26" w:name="_Toc10013"/>
      <w:bookmarkStart w:id="27" w:name="_Toc31290"/>
      <w:r>
        <w:t>第六章 研发管线与创新趋势</w:t>
      </w:r>
      <w:bookmarkEnd w:id="25"/>
    </w:p>
    <w:p w14:paraId="420D420F">
      <w:pPr>
        <w:pStyle w:val="17"/>
        <w:bidi w:val="0"/>
        <w:rPr>
          <w:rFonts w:hint="eastAsia"/>
          <w:lang w:eastAsia="zh-CN"/>
        </w:rPr>
      </w:pPr>
      <w:bookmarkStart w:id="28" w:name="_Toc27317"/>
      <w:r>
        <w:t>6.1 在研药物管线</w:t>
      </w:r>
      <w:bookmarkEnd w:id="28"/>
    </w:p>
    <w:p w14:paraId="1F49D79F">
      <w:pPr>
        <w:pStyle w:val="17"/>
        <w:bidi w:val="0"/>
        <w:rPr>
          <w:rFonts w:hint="eastAsia"/>
          <w:lang w:eastAsia="zh-CN"/>
        </w:rPr>
      </w:pPr>
      <w:bookmarkStart w:id="29" w:name="_Toc25808"/>
      <w:r>
        <w:t>6.2 新靶点与新机制</w:t>
      </w:r>
      <w:bookmarkEnd w:id="29"/>
    </w:p>
    <w:p w14:paraId="38531653">
      <w:pPr>
        <w:pStyle w:val="17"/>
        <w:bidi w:val="0"/>
      </w:pPr>
      <w:bookmarkStart w:id="30" w:name="_Toc23416"/>
      <w:r>
        <w:t>6.3 临床试验进展</w:t>
      </w:r>
      <w:bookmarkEnd w:id="30"/>
    </w:p>
    <w:p w14:paraId="0092E0DA">
      <w:pPr>
        <w:pStyle w:val="17"/>
        <w:bidi w:val="0"/>
        <w:rPr>
          <w:rFonts w:hint="eastAsia"/>
        </w:rPr>
      </w:pPr>
      <w:bookmarkStart w:id="31" w:name="_Toc3074"/>
      <w:r>
        <w:rPr>
          <w:rFonts w:hint="eastAsia"/>
          <w:lang w:val="en-US" w:eastAsia="zh-CN"/>
        </w:rPr>
        <w:t xml:space="preserve">6.4 </w:t>
      </w:r>
      <w:r>
        <w:rPr>
          <w:rFonts w:hint="eastAsia"/>
        </w:rPr>
        <w:t>本章小结</w:t>
      </w:r>
      <w:bookmarkEnd w:id="26"/>
      <w:bookmarkEnd w:id="27"/>
      <w:bookmarkEnd w:id="31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1454A8B">
      <w:pPr>
        <w:pStyle w:val="16"/>
        <w:bidi w:val="0"/>
        <w:rPr>
          <w:rFonts w:hint="eastAsia"/>
          <w:lang w:eastAsia="zh-CN"/>
        </w:rPr>
      </w:pPr>
      <w:bookmarkStart w:id="32" w:name="_Toc12944"/>
      <w:r>
        <w:t>第七章 政策、医保与准入环境</w:t>
      </w:r>
      <w:bookmarkEnd w:id="32"/>
    </w:p>
    <w:p w14:paraId="5F8365F8">
      <w:pPr>
        <w:pStyle w:val="17"/>
        <w:bidi w:val="0"/>
        <w:rPr>
          <w:rFonts w:hint="eastAsia"/>
          <w:lang w:eastAsia="zh-CN"/>
        </w:rPr>
      </w:pPr>
      <w:bookmarkStart w:id="33" w:name="_Toc30037"/>
      <w:r>
        <w:t>7.1 药品注册审批政策</w:t>
      </w:r>
      <w:bookmarkEnd w:id="33"/>
    </w:p>
    <w:p w14:paraId="0A8FF97D">
      <w:pPr>
        <w:pStyle w:val="17"/>
        <w:bidi w:val="0"/>
        <w:rPr>
          <w:rFonts w:hint="eastAsia"/>
          <w:lang w:eastAsia="zh-CN"/>
        </w:rPr>
      </w:pPr>
      <w:bookmarkStart w:id="34" w:name="_Toc11496"/>
      <w:r>
        <w:t>7.2 医保准入与支付环境</w:t>
      </w:r>
      <w:bookmarkEnd w:id="34"/>
    </w:p>
    <w:p w14:paraId="17B67CD6">
      <w:pPr>
        <w:pStyle w:val="17"/>
        <w:bidi w:val="0"/>
      </w:pPr>
      <w:bookmarkStart w:id="35" w:name="_Toc23800"/>
      <w:r>
        <w:t>7.3 集采与价格影响</w:t>
      </w:r>
      <w:bookmarkEnd w:id="35"/>
    </w:p>
    <w:p w14:paraId="246AA7F2">
      <w:pPr>
        <w:pStyle w:val="17"/>
        <w:bidi w:val="0"/>
        <w:rPr>
          <w:rFonts w:hint="eastAsia"/>
        </w:rPr>
      </w:pPr>
      <w:bookmarkStart w:id="36" w:name="_Toc1313"/>
      <w:r>
        <w:rPr>
          <w:rFonts w:hint="eastAsia"/>
          <w:lang w:val="en-US" w:eastAsia="zh-CN"/>
        </w:rPr>
        <w:t xml:space="preserve">7.4 </w:t>
      </w:r>
      <w:r>
        <w:rPr>
          <w:rFonts w:hint="eastAsia"/>
        </w:rPr>
        <w:t>本章小结</w:t>
      </w:r>
      <w:bookmarkEnd w:id="36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305F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</w:pPr>
    </w:p>
    <w:p w14:paraId="72C5E5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39D857D">
      <w:pPr>
        <w:pStyle w:val="16"/>
        <w:bidi w:val="0"/>
        <w:rPr>
          <w:rFonts w:hint="eastAsia"/>
          <w:lang w:eastAsia="zh-CN"/>
        </w:rPr>
      </w:pPr>
      <w:bookmarkStart w:id="37" w:name="_Toc28042"/>
      <w:r>
        <w:t>第八章 渠道与终端市场分析</w:t>
      </w:r>
      <w:bookmarkEnd w:id="37"/>
    </w:p>
    <w:p w14:paraId="5469D1C4">
      <w:pPr>
        <w:pStyle w:val="17"/>
        <w:bidi w:val="0"/>
        <w:rPr>
          <w:rFonts w:hint="eastAsia"/>
          <w:lang w:eastAsia="zh-CN"/>
        </w:rPr>
      </w:pPr>
      <w:bookmarkStart w:id="38" w:name="_Toc13269"/>
      <w:r>
        <w:t>8.1 医院端市场</w:t>
      </w:r>
      <w:bookmarkEnd w:id="38"/>
    </w:p>
    <w:p w14:paraId="0CEE47C9">
      <w:pPr>
        <w:pStyle w:val="17"/>
        <w:bidi w:val="0"/>
        <w:rPr>
          <w:rFonts w:hint="eastAsia"/>
          <w:lang w:eastAsia="zh-CN"/>
        </w:rPr>
      </w:pPr>
      <w:bookmarkStart w:id="39" w:name="_Toc15310"/>
      <w:r>
        <w:t>8.2 零售药店市场</w:t>
      </w:r>
      <w:bookmarkEnd w:id="39"/>
    </w:p>
    <w:p w14:paraId="176C8D6D">
      <w:pPr>
        <w:pStyle w:val="17"/>
        <w:bidi w:val="0"/>
      </w:pPr>
      <w:bookmarkStart w:id="40" w:name="_Toc18183"/>
      <w:r>
        <w:t>8.3 互联网医疗与院外渠道</w:t>
      </w:r>
      <w:bookmarkEnd w:id="40"/>
    </w:p>
    <w:p w14:paraId="3993D65D">
      <w:pPr>
        <w:pStyle w:val="17"/>
        <w:bidi w:val="0"/>
        <w:rPr>
          <w:rFonts w:hint="default" w:eastAsia="黑体"/>
          <w:lang w:val="en-US" w:eastAsia="zh-CN"/>
        </w:rPr>
      </w:pPr>
      <w:bookmarkStart w:id="41" w:name="_Toc24799"/>
      <w:r>
        <w:rPr>
          <w:rFonts w:hint="eastAsia"/>
          <w:lang w:val="en-US" w:eastAsia="zh-CN"/>
        </w:rPr>
        <w:t>8.4 本章小结</w:t>
      </w:r>
      <w:bookmarkEnd w:id="41"/>
    </w:p>
    <w:p w14:paraId="4C034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9080722">
      <w:pPr>
        <w:pStyle w:val="16"/>
        <w:bidi w:val="0"/>
        <w:rPr>
          <w:rFonts w:hint="eastAsia"/>
          <w:lang w:eastAsia="zh-CN"/>
        </w:rPr>
      </w:pPr>
      <w:bookmarkStart w:id="42" w:name="_Toc12801"/>
      <w:r>
        <w:t>第九章 市场机会与风险分析</w:t>
      </w:r>
      <w:bookmarkEnd w:id="42"/>
    </w:p>
    <w:p w14:paraId="02EA56C3">
      <w:pPr>
        <w:pStyle w:val="17"/>
        <w:bidi w:val="0"/>
        <w:rPr>
          <w:rFonts w:hint="eastAsia"/>
          <w:lang w:eastAsia="zh-CN"/>
        </w:rPr>
      </w:pPr>
      <w:bookmarkStart w:id="43" w:name="_Toc12050"/>
      <w:r>
        <w:t>9.1 市场机会</w:t>
      </w:r>
      <w:bookmarkEnd w:id="43"/>
    </w:p>
    <w:p w14:paraId="7BB8193E">
      <w:pPr>
        <w:pStyle w:val="17"/>
        <w:bidi w:val="0"/>
        <w:rPr>
          <w:rFonts w:hint="eastAsia"/>
          <w:lang w:eastAsia="zh-CN"/>
        </w:rPr>
      </w:pPr>
      <w:bookmarkStart w:id="44" w:name="_Toc16682"/>
      <w:r>
        <w:t>9.2 市场风险</w:t>
      </w:r>
      <w:bookmarkEnd w:id="44"/>
    </w:p>
    <w:p w14:paraId="05E9E9AB">
      <w:pPr>
        <w:pStyle w:val="17"/>
        <w:bidi w:val="0"/>
      </w:pPr>
      <w:bookmarkStart w:id="45" w:name="_Toc7919"/>
      <w:r>
        <w:t>9.3 企业进入策略</w:t>
      </w:r>
      <w:bookmarkEnd w:id="45"/>
    </w:p>
    <w:p w14:paraId="6BD44A88">
      <w:pPr>
        <w:pStyle w:val="17"/>
        <w:bidi w:val="0"/>
        <w:rPr>
          <w:rFonts w:hint="default" w:eastAsia="黑体"/>
          <w:lang w:val="en-US" w:eastAsia="zh-CN"/>
        </w:rPr>
      </w:pPr>
      <w:bookmarkStart w:id="46" w:name="_Toc31140"/>
      <w:r>
        <w:rPr>
          <w:rFonts w:hint="eastAsia"/>
          <w:lang w:val="en-US" w:eastAsia="zh-CN"/>
        </w:rPr>
        <w:t>9.4 本章小结</w:t>
      </w:r>
      <w:bookmarkEnd w:id="46"/>
    </w:p>
    <w:p w14:paraId="53C36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7" w:name="_Toc15592"/>
      <w:r>
        <w:rPr>
          <w:rFonts w:hint="eastAsia"/>
          <w:lang w:val="en-US" w:eastAsia="zh-CN"/>
        </w:rPr>
        <w:t>总结</w:t>
      </w:r>
      <w:bookmarkEnd w:id="47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8" w:name="_Toc10921"/>
      <w:r>
        <w:rPr>
          <w:rFonts w:hint="default"/>
          <w:lang w:val="en-US" w:eastAsia="zh-CN"/>
        </w:rPr>
        <w:t>参考文献</w:t>
      </w:r>
      <w:bookmarkEnd w:id="48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03AF39FC-99B7-4378-9019-E14B2D35F1A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59F15DD1-606C-4858-A704-F0BC6125E2C8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79E048D4-8D50-4459-8D58-9D60669262DE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B6F4EBB3-47C4-455F-A071-F71BA7E2F9A5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2FE45618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2043F3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183B3A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93F2DDC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2026-05-18T07:10:12Z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