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2" w:name="_GoBack"/>
      <w:bookmarkEnd w:id="42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548F4EE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_Toc22306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药品概述与研究边界</w:t>
      </w:r>
      <w:r>
        <w:tab/>
      </w:r>
      <w:r>
        <w:fldChar w:fldCharType="begin"/>
      </w:r>
      <w:r>
        <w:instrText xml:space="preserve"> PAGEREF _Toc22306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D7684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药品定义与适应症范围</w:t>
      </w:r>
      <w:r>
        <w:tab/>
      </w:r>
      <w:r>
        <w:fldChar w:fldCharType="begin"/>
      </w:r>
      <w:r>
        <w:instrText xml:space="preserve"> PAGEREF _Toc1967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8CF4D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_Toc7696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作用机制与临床应用场景</w:t>
      </w:r>
      <w:r>
        <w:tab/>
      </w:r>
      <w:r>
        <w:fldChar w:fldCharType="begin"/>
      </w:r>
      <w:r>
        <w:instrText xml:space="preserve"> PAGEREF _Toc7696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B7FB9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_Toc6083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目标人群与使用边界</w:t>
      </w:r>
      <w:r>
        <w:tab/>
      </w:r>
      <w:r>
        <w:fldChar w:fldCharType="begin"/>
      </w:r>
      <w:r>
        <w:instrText xml:space="preserve"> PAGEREF _Toc6083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9BC4E0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_Toc5463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_Toc5463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64B5F3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疾病流行病学与患者规模</w:t>
      </w:r>
      <w:r>
        <w:tab/>
      </w:r>
      <w:r>
        <w:fldChar w:fldCharType="begin"/>
      </w:r>
      <w:r>
        <w:instrText xml:space="preserve"> PAGEREF _Toc14597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43B5D0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_Toc9067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疾病患病率与发病率</w:t>
      </w:r>
      <w:r>
        <w:tab/>
      </w:r>
      <w:r>
        <w:fldChar w:fldCharType="begin"/>
      </w:r>
      <w:r>
        <w:instrText xml:space="preserve"> PAGEREF _Toc9067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018623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_Toc9179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目标患者人群测算</w:t>
      </w:r>
      <w:r>
        <w:tab/>
      </w:r>
      <w:r>
        <w:fldChar w:fldCharType="begin"/>
      </w:r>
      <w:r>
        <w:instrText xml:space="preserve"> PAGEREF _Toc9179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4D3055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_Toc25556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患者年龄、性别与地区分布</w:t>
      </w:r>
      <w:r>
        <w:tab/>
      </w:r>
      <w:r>
        <w:fldChar w:fldCharType="begin"/>
      </w:r>
      <w:r>
        <w:instrText xml:space="preserve"> PAGEREF _Toc25556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134A40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_Toc8062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_Toc8062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38B9E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_Toc31600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行业政策与监管环境</w:t>
      </w:r>
      <w:r>
        <w:tab/>
      </w:r>
      <w:r>
        <w:fldChar w:fldCharType="begin"/>
      </w:r>
      <w:r>
        <w:instrText xml:space="preserve"> PAGEREF _Toc31600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22E80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_Toc30133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药品注册与审批政策</w:t>
      </w:r>
      <w:r>
        <w:tab/>
      </w:r>
      <w:r>
        <w:fldChar w:fldCharType="begin"/>
      </w:r>
      <w:r>
        <w:instrText xml:space="preserve"> PAGEREF _Toc30133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BAC86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_Toc27593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医保、集采与支付环境</w:t>
      </w:r>
      <w:r>
        <w:tab/>
      </w:r>
      <w:r>
        <w:fldChar w:fldCharType="begin"/>
      </w:r>
      <w:r>
        <w:instrText xml:space="preserve"> PAGEREF _Toc27593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61FF45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_Toc27992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临床指南与用药规范</w:t>
      </w:r>
      <w:r>
        <w:tab/>
      </w:r>
      <w:r>
        <w:fldChar w:fldCharType="begin"/>
      </w:r>
      <w:r>
        <w:instrText xml:space="preserve"> PAGEREF _Toc27992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8BD87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_Toc17915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_Toc17915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27E227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_Toc18960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市场规模与增长趋势</w:t>
      </w:r>
      <w:r>
        <w:tab/>
      </w:r>
      <w:r>
        <w:fldChar w:fldCharType="begin"/>
      </w:r>
      <w:r>
        <w:instrText xml:space="preserve"> PAGEREF _Toc18960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3FDF9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_Toc25095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国内市场规模</w:t>
      </w:r>
      <w:r>
        <w:tab/>
      </w:r>
      <w:r>
        <w:fldChar w:fldCharType="begin"/>
      </w:r>
      <w:r>
        <w:instrText xml:space="preserve"> PAGEREF _Toc25095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F72A36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_Toc749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全球市场规模</w:t>
      </w:r>
      <w:r>
        <w:tab/>
      </w:r>
      <w:r>
        <w:fldChar w:fldCharType="begin"/>
      </w:r>
      <w:r>
        <w:instrText xml:space="preserve"> PAGEREF _Toc749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EC4C37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_Toc9608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市场增长驱动因素</w:t>
      </w:r>
      <w:r>
        <w:tab/>
      </w:r>
      <w:r>
        <w:fldChar w:fldCharType="begin"/>
      </w:r>
      <w:r>
        <w:instrText xml:space="preserve"> PAGEREF _Toc9608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1D11A8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_Toc11973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4.4 未来市场预测</w:t>
      </w:r>
      <w:r>
        <w:tab/>
      </w:r>
      <w:r>
        <w:fldChar w:fldCharType="begin"/>
      </w:r>
      <w:r>
        <w:instrText xml:space="preserve"> PAGEREF _Toc11973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4E019A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_Toc32022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_Toc32022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621981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_Toc23676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竞争格局与主要产品</w:t>
      </w:r>
      <w:r>
        <w:tab/>
      </w:r>
      <w:r>
        <w:fldChar w:fldCharType="begin"/>
      </w:r>
      <w:r>
        <w:instrText xml:space="preserve"> PAGEREF _Toc23676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9FC5B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已上市代表药品</w:t>
      </w:r>
      <w:r>
        <w:tab/>
      </w:r>
      <w:r>
        <w:fldChar w:fldCharType="begin"/>
      </w:r>
      <w:r>
        <w:instrText xml:space="preserve"> PAGEREF _Toc1515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B7F834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_Toc32425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主要企业竞争格局</w:t>
      </w:r>
      <w:r>
        <w:tab/>
      </w:r>
      <w:r>
        <w:fldChar w:fldCharType="begin"/>
      </w:r>
      <w:r>
        <w:instrText xml:space="preserve"> PAGEREF _Toc32425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EF94B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_Toc4481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国产与进口产品对比</w:t>
      </w:r>
      <w:r>
        <w:tab/>
      </w:r>
      <w:r>
        <w:fldChar w:fldCharType="begin"/>
      </w:r>
      <w:r>
        <w:instrText xml:space="preserve"> PAGEREF _Toc4481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A61416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_Toc3372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5.4 本章小结</w:t>
      </w:r>
      <w:r>
        <w:tab/>
      </w:r>
      <w:r>
        <w:fldChar w:fldCharType="begin"/>
      </w:r>
      <w:r>
        <w:instrText xml:space="preserve"> PAGEREF _Toc3372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E002B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_Toc15169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渠道、价格与商业化分析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_Toc15169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D8ED8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_Toc21685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医院端销售渠道</w:t>
      </w:r>
      <w:r>
        <w:tab/>
      </w:r>
      <w:r>
        <w:fldChar w:fldCharType="begin"/>
      </w:r>
      <w:r>
        <w:instrText xml:space="preserve"> PAGEREF _Toc21685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64C459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_Toc18549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零售药店与线上渠道</w:t>
      </w:r>
      <w:r>
        <w:tab/>
      </w:r>
      <w:r>
        <w:fldChar w:fldCharType="begin"/>
      </w:r>
      <w:r>
        <w:instrText xml:space="preserve"> PAGEREF _Toc18549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B75CE6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_Toc27470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药品价格与支付能力</w:t>
      </w:r>
      <w:r>
        <w:tab/>
      </w:r>
      <w:r>
        <w:fldChar w:fldCharType="begin"/>
      </w:r>
      <w:r>
        <w:instrText xml:space="preserve"> PAGEREF _Toc27470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5E935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_Toc3366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_Toc3366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B5CC76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_Toc14948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市场机会与风险判断</w:t>
      </w:r>
      <w:r>
        <w:tab/>
      </w:r>
      <w:r>
        <w:fldChar w:fldCharType="begin"/>
      </w:r>
      <w:r>
        <w:instrText xml:space="preserve"> PAGEREF _Toc14948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F69F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_Toc9354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市场机会点</w:t>
      </w:r>
      <w:r>
        <w:tab/>
      </w:r>
      <w:r>
        <w:fldChar w:fldCharType="begin"/>
      </w:r>
      <w:r>
        <w:instrText xml:space="preserve"> PAGEREF _Toc9354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CD845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_Toc20963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进入壁垒</w:t>
      </w:r>
      <w:r>
        <w:tab/>
      </w:r>
      <w:r>
        <w:fldChar w:fldCharType="begin"/>
      </w:r>
      <w:r>
        <w:instrText xml:space="preserve"> PAGEREF _Toc20963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D6566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政策与竞争风险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DDE29E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_Toc5469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7.4 发展建议</w:t>
      </w:r>
      <w:r>
        <w:tab/>
      </w:r>
      <w:r>
        <w:fldChar w:fldCharType="begin"/>
      </w:r>
      <w:r>
        <w:instrText xml:space="preserve"> PAGEREF _Toc5469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4842A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_Toc18657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_Toc18657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FEC62A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_Toc7006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_Toc7006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402FF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_Toc32636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_Toc32636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40C60F9">
      <w:pPr>
        <w:pStyle w:val="16"/>
        <w:bidi w:val="0"/>
        <w:rPr>
          <w:rFonts w:hint="eastAsia"/>
          <w:lang w:eastAsia="zh-CN"/>
        </w:rPr>
      </w:pPr>
      <w:bookmarkStart w:id="0" w:name="_Toc22306"/>
      <w:r>
        <w:t>第一章 药品概述与研究边界</w:t>
      </w:r>
      <w:bookmarkEnd w:id="0"/>
    </w:p>
    <w:p w14:paraId="6420F100">
      <w:pPr>
        <w:pStyle w:val="17"/>
        <w:bidi w:val="0"/>
        <w:rPr>
          <w:rFonts w:hint="eastAsia"/>
          <w:lang w:eastAsia="zh-CN"/>
        </w:rPr>
      </w:pPr>
      <w:bookmarkStart w:id="1" w:name="_Toc1967"/>
      <w:r>
        <w:t>1.1 药品定义与适应症范围</w:t>
      </w:r>
      <w:bookmarkEnd w:id="1"/>
    </w:p>
    <w:p w14:paraId="26BC5F2D">
      <w:pPr>
        <w:pStyle w:val="17"/>
        <w:bidi w:val="0"/>
        <w:rPr>
          <w:rFonts w:hint="eastAsia"/>
          <w:lang w:eastAsia="zh-CN"/>
        </w:rPr>
      </w:pPr>
      <w:bookmarkStart w:id="2" w:name="_Toc7696"/>
      <w:r>
        <w:t>1.2 作用机制与临床应用场景</w:t>
      </w:r>
      <w:bookmarkEnd w:id="2"/>
    </w:p>
    <w:p w14:paraId="44A66BA4">
      <w:pPr>
        <w:pStyle w:val="17"/>
        <w:bidi w:val="0"/>
      </w:pPr>
      <w:bookmarkStart w:id="3" w:name="_Toc6083"/>
      <w:r>
        <w:t>1.3 目标人群与使用边界</w:t>
      </w:r>
      <w:bookmarkEnd w:id="3"/>
    </w:p>
    <w:p w14:paraId="73267B9C">
      <w:pPr>
        <w:pStyle w:val="17"/>
        <w:bidi w:val="0"/>
        <w:rPr>
          <w:rFonts w:hint="default" w:eastAsia="黑体"/>
          <w:lang w:val="en-US" w:eastAsia="zh-CN"/>
        </w:rPr>
      </w:pPr>
      <w:bookmarkStart w:id="4" w:name="_Toc5463"/>
      <w:r>
        <w:rPr>
          <w:rFonts w:hint="eastAsia"/>
          <w:lang w:val="en-US" w:eastAsia="zh-CN"/>
        </w:rPr>
        <w:t>1.4 本章小结</w:t>
      </w:r>
      <w:bookmarkEnd w:id="4"/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102AA1F">
      <w:pPr>
        <w:pStyle w:val="16"/>
        <w:bidi w:val="0"/>
        <w:rPr>
          <w:rFonts w:hint="eastAsia"/>
          <w:lang w:eastAsia="zh-CN"/>
        </w:rPr>
      </w:pPr>
      <w:bookmarkStart w:id="5" w:name="_Toc14597"/>
      <w:r>
        <w:t>第二章 疾病流行病学与患者规模</w:t>
      </w:r>
      <w:bookmarkEnd w:id="5"/>
    </w:p>
    <w:p w14:paraId="14070DB3">
      <w:pPr>
        <w:pStyle w:val="17"/>
        <w:bidi w:val="0"/>
        <w:rPr>
          <w:rFonts w:hint="eastAsia"/>
          <w:lang w:eastAsia="zh-CN"/>
        </w:rPr>
      </w:pPr>
      <w:bookmarkStart w:id="6" w:name="_Toc9067"/>
      <w:r>
        <w:t>2.1 疾病患病率与发病率</w:t>
      </w:r>
      <w:bookmarkEnd w:id="6"/>
    </w:p>
    <w:p w14:paraId="0654E359">
      <w:pPr>
        <w:pStyle w:val="17"/>
        <w:bidi w:val="0"/>
        <w:rPr>
          <w:rFonts w:hint="eastAsia"/>
          <w:lang w:eastAsia="zh-CN"/>
        </w:rPr>
      </w:pPr>
      <w:bookmarkStart w:id="7" w:name="_Toc9179"/>
      <w:r>
        <w:t>2.2 目标患者人群测算</w:t>
      </w:r>
      <w:bookmarkEnd w:id="7"/>
    </w:p>
    <w:p w14:paraId="01B53561">
      <w:pPr>
        <w:pStyle w:val="17"/>
        <w:bidi w:val="0"/>
        <w:rPr>
          <w:rFonts w:hint="default"/>
          <w:lang w:val="en-US" w:eastAsia="zh-CN"/>
        </w:rPr>
      </w:pPr>
      <w:bookmarkStart w:id="8" w:name="_Toc25556"/>
      <w:r>
        <w:t>2.3 患者年龄、性别与地区分布</w:t>
      </w:r>
      <w:bookmarkEnd w:id="8"/>
    </w:p>
    <w:p w14:paraId="1C2C8555">
      <w:pPr>
        <w:pStyle w:val="17"/>
        <w:bidi w:val="0"/>
        <w:rPr>
          <w:rFonts w:hint="eastAsia"/>
        </w:rPr>
      </w:pPr>
      <w:bookmarkStart w:id="9" w:name="_Toc4226"/>
      <w:bookmarkStart w:id="10" w:name="_Toc8062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9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1C51FD1">
      <w:pPr>
        <w:pStyle w:val="16"/>
        <w:bidi w:val="0"/>
        <w:rPr>
          <w:rFonts w:hint="eastAsia"/>
          <w:lang w:eastAsia="zh-CN"/>
        </w:rPr>
      </w:pPr>
      <w:bookmarkStart w:id="11" w:name="_Toc31600"/>
      <w:r>
        <w:t>第三章 行业政策与监管环境</w:t>
      </w:r>
      <w:bookmarkEnd w:id="11"/>
    </w:p>
    <w:p w14:paraId="1A9EFA6F">
      <w:pPr>
        <w:pStyle w:val="17"/>
        <w:bidi w:val="0"/>
        <w:rPr>
          <w:rFonts w:hint="eastAsia"/>
          <w:lang w:eastAsia="zh-CN"/>
        </w:rPr>
      </w:pPr>
      <w:bookmarkStart w:id="12" w:name="_Toc30133"/>
      <w:r>
        <w:t>3.1 药品注册与审批政策</w:t>
      </w:r>
      <w:bookmarkEnd w:id="12"/>
    </w:p>
    <w:p w14:paraId="50B250BA">
      <w:pPr>
        <w:pStyle w:val="17"/>
        <w:bidi w:val="0"/>
        <w:rPr>
          <w:rFonts w:hint="eastAsia"/>
          <w:lang w:eastAsia="zh-CN"/>
        </w:rPr>
      </w:pPr>
      <w:bookmarkStart w:id="13" w:name="_Toc27593"/>
      <w:r>
        <w:t>3.2 医保、集采与支付环境</w:t>
      </w:r>
      <w:bookmarkEnd w:id="13"/>
    </w:p>
    <w:p w14:paraId="7877EC3C">
      <w:pPr>
        <w:pStyle w:val="17"/>
        <w:bidi w:val="0"/>
      </w:pPr>
      <w:bookmarkStart w:id="14" w:name="_Toc27992"/>
      <w:r>
        <w:t>3.3 临床指南与用药规范</w:t>
      </w:r>
      <w:bookmarkEnd w:id="14"/>
    </w:p>
    <w:p w14:paraId="7A5A9241">
      <w:pPr>
        <w:pStyle w:val="17"/>
        <w:bidi w:val="0"/>
        <w:rPr>
          <w:rFonts w:hint="eastAsia"/>
        </w:rPr>
      </w:pPr>
      <w:bookmarkStart w:id="15" w:name="_Toc17915"/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bookmarkEnd w:id="15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15EFCCC">
      <w:pPr>
        <w:pStyle w:val="16"/>
        <w:bidi w:val="0"/>
        <w:rPr>
          <w:rFonts w:hint="eastAsia"/>
          <w:lang w:eastAsia="zh-CN"/>
        </w:rPr>
      </w:pPr>
      <w:bookmarkStart w:id="16" w:name="_Toc18960"/>
      <w:r>
        <w:t>第四章 市场规模与增长趋势</w:t>
      </w:r>
      <w:bookmarkEnd w:id="16"/>
    </w:p>
    <w:p w14:paraId="14174062">
      <w:pPr>
        <w:pStyle w:val="17"/>
        <w:bidi w:val="0"/>
        <w:rPr>
          <w:rFonts w:hint="eastAsia"/>
          <w:lang w:eastAsia="zh-CN"/>
        </w:rPr>
      </w:pPr>
      <w:bookmarkStart w:id="17" w:name="_Toc25095"/>
      <w:r>
        <w:t>4.1 国内市场规模</w:t>
      </w:r>
      <w:bookmarkEnd w:id="17"/>
    </w:p>
    <w:p w14:paraId="4A6D81FB">
      <w:pPr>
        <w:pStyle w:val="17"/>
        <w:bidi w:val="0"/>
        <w:rPr>
          <w:rFonts w:hint="eastAsia"/>
          <w:lang w:eastAsia="zh-CN"/>
        </w:rPr>
      </w:pPr>
      <w:bookmarkStart w:id="18" w:name="_Toc749"/>
      <w:r>
        <w:t>4.2 全球市场规模</w:t>
      </w:r>
      <w:bookmarkEnd w:id="18"/>
    </w:p>
    <w:p w14:paraId="2127268E">
      <w:pPr>
        <w:pStyle w:val="17"/>
        <w:bidi w:val="0"/>
        <w:rPr>
          <w:rFonts w:hint="eastAsia"/>
          <w:lang w:eastAsia="zh-CN"/>
        </w:rPr>
      </w:pPr>
      <w:bookmarkStart w:id="19" w:name="_Toc9608"/>
      <w:r>
        <w:t>4.3 市场增长驱动因素</w:t>
      </w:r>
      <w:bookmarkEnd w:id="19"/>
    </w:p>
    <w:p w14:paraId="44061423">
      <w:pPr>
        <w:pStyle w:val="17"/>
        <w:bidi w:val="0"/>
      </w:pPr>
      <w:bookmarkStart w:id="20" w:name="_Toc11973"/>
      <w:r>
        <w:t>4.4 未来市场预测</w:t>
      </w:r>
      <w:bookmarkEnd w:id="20"/>
    </w:p>
    <w:p w14:paraId="28815830">
      <w:pPr>
        <w:pStyle w:val="17"/>
        <w:bidi w:val="0"/>
        <w:rPr>
          <w:rFonts w:hint="eastAsia"/>
        </w:rPr>
      </w:pPr>
      <w:bookmarkStart w:id="21" w:name="_Toc32022"/>
      <w:r>
        <w:rPr>
          <w:rFonts w:hint="eastAsia"/>
          <w:lang w:val="en-US" w:eastAsia="zh-CN"/>
        </w:rPr>
        <w:t xml:space="preserve">4.5 </w:t>
      </w:r>
      <w:r>
        <w:rPr>
          <w:rFonts w:hint="eastAsia"/>
        </w:rPr>
        <w:t>本章小结</w:t>
      </w:r>
      <w:bookmarkEnd w:id="21"/>
    </w:p>
    <w:p w14:paraId="1A01CE61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4F1E6FB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7F4ACD4">
      <w:pPr>
        <w:pStyle w:val="16"/>
        <w:bidi w:val="0"/>
        <w:rPr>
          <w:rFonts w:hint="eastAsia"/>
          <w:lang w:eastAsia="zh-CN"/>
        </w:rPr>
      </w:pPr>
      <w:bookmarkStart w:id="22" w:name="_Toc23676"/>
      <w:r>
        <w:t>第五章 竞争格局与主要产品</w:t>
      </w:r>
      <w:bookmarkEnd w:id="22"/>
    </w:p>
    <w:p w14:paraId="3143597E">
      <w:pPr>
        <w:pStyle w:val="17"/>
        <w:bidi w:val="0"/>
        <w:rPr>
          <w:rFonts w:hint="eastAsia"/>
          <w:lang w:eastAsia="zh-CN"/>
        </w:rPr>
      </w:pPr>
      <w:bookmarkStart w:id="23" w:name="_Toc1515"/>
      <w:r>
        <w:t>5.1 已上市代表药品</w:t>
      </w:r>
      <w:bookmarkEnd w:id="23"/>
    </w:p>
    <w:p w14:paraId="25FB04AC">
      <w:pPr>
        <w:pStyle w:val="17"/>
        <w:bidi w:val="0"/>
        <w:rPr>
          <w:rFonts w:hint="eastAsia"/>
          <w:lang w:eastAsia="zh-CN"/>
        </w:rPr>
      </w:pPr>
      <w:bookmarkStart w:id="24" w:name="_Toc32425"/>
      <w:r>
        <w:t>5.2 主要企业竞争格局</w:t>
      </w:r>
      <w:bookmarkEnd w:id="24"/>
    </w:p>
    <w:p w14:paraId="3890EB16">
      <w:pPr>
        <w:pStyle w:val="17"/>
        <w:bidi w:val="0"/>
      </w:pPr>
      <w:bookmarkStart w:id="25" w:name="_Toc4481"/>
      <w:r>
        <w:t>5.3 国产与进口产品对比</w:t>
      </w:r>
      <w:bookmarkEnd w:id="25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6" w:name="_Toc3372"/>
      <w:r>
        <w:rPr>
          <w:rFonts w:hint="eastAsia"/>
          <w:lang w:val="en-US" w:eastAsia="zh-CN"/>
        </w:rPr>
        <w:t>5.4 本章小结</w:t>
      </w:r>
      <w:bookmarkEnd w:id="26"/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C62BB89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27" w:name="_Toc15169"/>
      <w:r>
        <w:t>第六章 渠道、价格与商业化分析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27"/>
    </w:p>
    <w:p w14:paraId="663CD2D3">
      <w:pPr>
        <w:pStyle w:val="17"/>
        <w:bidi w:val="0"/>
        <w:rPr>
          <w:rFonts w:hint="eastAsia"/>
          <w:lang w:eastAsia="zh-CN"/>
        </w:rPr>
      </w:pPr>
      <w:bookmarkStart w:id="28" w:name="_Toc21685"/>
      <w:r>
        <w:t>6.1 医院端销售渠道</w:t>
      </w:r>
      <w:bookmarkEnd w:id="28"/>
    </w:p>
    <w:p w14:paraId="003EA3C3">
      <w:pPr>
        <w:pStyle w:val="17"/>
        <w:bidi w:val="0"/>
        <w:rPr>
          <w:rFonts w:hint="eastAsia"/>
          <w:lang w:eastAsia="zh-CN"/>
        </w:rPr>
      </w:pPr>
      <w:bookmarkStart w:id="29" w:name="_Toc18549"/>
      <w:r>
        <w:t>6.2 零售药店与线上渠道</w:t>
      </w:r>
      <w:bookmarkEnd w:id="29"/>
    </w:p>
    <w:p w14:paraId="0F2D049E">
      <w:pPr>
        <w:pStyle w:val="17"/>
        <w:bidi w:val="0"/>
      </w:pPr>
      <w:bookmarkStart w:id="30" w:name="_Toc27470"/>
      <w:r>
        <w:t>6.3 药品价格与支付能力</w:t>
      </w:r>
      <w:bookmarkEnd w:id="30"/>
    </w:p>
    <w:p w14:paraId="0092E0DA">
      <w:pPr>
        <w:pStyle w:val="17"/>
        <w:bidi w:val="0"/>
        <w:rPr>
          <w:rFonts w:hint="eastAsia"/>
        </w:rPr>
      </w:pPr>
      <w:bookmarkStart w:id="31" w:name="_Toc31290"/>
      <w:bookmarkStart w:id="32" w:name="_Toc10013"/>
      <w:bookmarkStart w:id="33" w:name="_Toc3366"/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bookmarkEnd w:id="31"/>
      <w:bookmarkEnd w:id="32"/>
      <w:bookmarkEnd w:id="33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68A8746">
      <w:pPr>
        <w:pStyle w:val="16"/>
        <w:bidi w:val="0"/>
        <w:rPr>
          <w:rFonts w:hint="eastAsia"/>
          <w:lang w:eastAsia="zh-CN"/>
        </w:rPr>
      </w:pPr>
      <w:bookmarkStart w:id="34" w:name="_Toc14948"/>
      <w:r>
        <w:t>第七章 市场机会与风险判断</w:t>
      </w:r>
      <w:bookmarkEnd w:id="34"/>
    </w:p>
    <w:p w14:paraId="65766967">
      <w:pPr>
        <w:pStyle w:val="17"/>
        <w:bidi w:val="0"/>
        <w:rPr>
          <w:rFonts w:hint="eastAsia"/>
          <w:lang w:eastAsia="zh-CN"/>
        </w:rPr>
      </w:pPr>
      <w:bookmarkStart w:id="35" w:name="_Toc9354"/>
      <w:r>
        <w:t>7.1 市场机会点</w:t>
      </w:r>
      <w:bookmarkEnd w:id="35"/>
    </w:p>
    <w:p w14:paraId="1AE6E96F">
      <w:pPr>
        <w:pStyle w:val="17"/>
        <w:bidi w:val="0"/>
        <w:rPr>
          <w:rFonts w:hint="eastAsia"/>
          <w:lang w:eastAsia="zh-CN"/>
        </w:rPr>
      </w:pPr>
      <w:bookmarkStart w:id="36" w:name="_Toc20963"/>
      <w:r>
        <w:t>7.2 进入壁垒</w:t>
      </w:r>
      <w:bookmarkEnd w:id="36"/>
    </w:p>
    <w:p w14:paraId="26C10E21">
      <w:pPr>
        <w:pStyle w:val="17"/>
        <w:bidi w:val="0"/>
        <w:rPr>
          <w:rFonts w:hint="eastAsia"/>
          <w:lang w:eastAsia="zh-CN"/>
        </w:rPr>
      </w:pPr>
      <w:bookmarkStart w:id="37" w:name="_Toc552"/>
      <w:r>
        <w:t>7.3 政策与竞争风险</w:t>
      </w:r>
      <w:bookmarkEnd w:id="37"/>
    </w:p>
    <w:p w14:paraId="5079BCC9">
      <w:pPr>
        <w:pStyle w:val="17"/>
        <w:bidi w:val="0"/>
        <w:rPr>
          <w:rFonts w:hint="eastAsia"/>
        </w:rPr>
      </w:pPr>
      <w:bookmarkStart w:id="38" w:name="_Toc5469"/>
      <w:r>
        <w:t>7.4 发展建议</w:t>
      </w:r>
      <w:bookmarkEnd w:id="38"/>
    </w:p>
    <w:p w14:paraId="246AA7F2">
      <w:pPr>
        <w:pStyle w:val="17"/>
        <w:bidi w:val="0"/>
        <w:rPr>
          <w:rFonts w:hint="eastAsia"/>
        </w:rPr>
      </w:pPr>
      <w:bookmarkStart w:id="39" w:name="_Toc18657"/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bookmarkEnd w:id="39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427C3EC5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2C5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0" w:name="_Toc7006"/>
      <w:r>
        <w:rPr>
          <w:rFonts w:hint="eastAsia"/>
          <w:lang w:val="en-US" w:eastAsia="zh-CN"/>
        </w:rPr>
        <w:t>总结</w:t>
      </w:r>
      <w:bookmarkEnd w:id="40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1" w:name="_Toc32636"/>
      <w:r>
        <w:rPr>
          <w:rFonts w:hint="default"/>
          <w:lang w:val="en-US" w:eastAsia="zh-CN"/>
        </w:rPr>
        <w:t>参考文献</w:t>
      </w:r>
      <w:bookmarkEnd w:id="41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45B0E50-863D-45B7-BCF5-C48284A540E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017921A2-6297-41F0-B69B-3ACAAFB4B8A9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E7287243-274E-47EB-8E75-58A77B97B8D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65830F5-440E-47AB-B3A6-1E47002BACB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336FBA"/>
    <w:rsid w:val="0253127D"/>
    <w:rsid w:val="02AC34C4"/>
    <w:rsid w:val="04074A12"/>
    <w:rsid w:val="08CA2EA2"/>
    <w:rsid w:val="095D5C9E"/>
    <w:rsid w:val="0980225E"/>
    <w:rsid w:val="0B077A60"/>
    <w:rsid w:val="0BB62F04"/>
    <w:rsid w:val="0EDF04F1"/>
    <w:rsid w:val="0F4470B9"/>
    <w:rsid w:val="10390BE8"/>
    <w:rsid w:val="10570604"/>
    <w:rsid w:val="11732D8A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8C013B8"/>
    <w:rsid w:val="2A6F54DA"/>
    <w:rsid w:val="2A6F6257"/>
    <w:rsid w:val="2B563FA5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8C05153"/>
    <w:rsid w:val="39C00035"/>
    <w:rsid w:val="3AC31E1F"/>
    <w:rsid w:val="3BBC1AEB"/>
    <w:rsid w:val="40EF1AEC"/>
    <w:rsid w:val="41A02539"/>
    <w:rsid w:val="41BF364E"/>
    <w:rsid w:val="41C51A2C"/>
    <w:rsid w:val="41CD6726"/>
    <w:rsid w:val="41FB71FC"/>
    <w:rsid w:val="426C5949"/>
    <w:rsid w:val="432718E8"/>
    <w:rsid w:val="43381EE9"/>
    <w:rsid w:val="44281C3A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A7D7A30"/>
    <w:rsid w:val="5B3A334A"/>
    <w:rsid w:val="5CAC13C7"/>
    <w:rsid w:val="5CE60887"/>
    <w:rsid w:val="5EA14CE3"/>
    <w:rsid w:val="5F950245"/>
    <w:rsid w:val="5FBC7BFE"/>
    <w:rsid w:val="60160350"/>
    <w:rsid w:val="60D27E15"/>
    <w:rsid w:val="60FF719C"/>
    <w:rsid w:val="62E17BAF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239</Words>
  <Characters>347</Characters>
  <Lines>0</Lines>
  <Paragraphs>0</Paragraphs>
  <TotalTime>0</TotalTime>
  <ScaleCrop>false</ScaleCrop>
  <LinksUpToDate>false</LinksUpToDate>
  <CharactersWithSpaces>410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eyJoZGlkIjoiMzc4MWYwN2NmYzc3YzJlYTFiOGRiZDc3NGQ3MzliNWYiLCJ1c2VySWQiOiIxMzg0MjYzODgzIn0=</vt:lpwstr>
  </property>
  <property fmtid="{D5CDD505-2E9C-101B-9397-08002B2CF9AE}" pid="4" name="ICV">
    <vt:lpwstr>B2AD43A6023B47D8BA6B090C374A1CEC_13</vt:lpwstr>
  </property>
</Properties>
</file>