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4" w:name="_GoBack"/>
      <w:bookmarkEnd w:id="44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0C9BAFB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_Toc3360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项目背景与立项价值</w:t>
      </w:r>
      <w:r>
        <w:tab/>
      </w:r>
      <w:r>
        <w:fldChar w:fldCharType="begin"/>
      </w:r>
      <w:r>
        <w:instrText xml:space="preserve"> PAGEREF _Toc3360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A9363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_Toc8515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疾病负担与未满足需求</w:t>
      </w:r>
      <w:r>
        <w:tab/>
      </w:r>
      <w:r>
        <w:fldChar w:fldCharType="begin"/>
      </w:r>
      <w:r>
        <w:instrText xml:space="preserve"> PAGEREF _Toc8515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F97FE6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_Toc18854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当前治疗现状</w:t>
      </w:r>
      <w:r>
        <w:tab/>
      </w:r>
      <w:r>
        <w:fldChar w:fldCharType="begin"/>
      </w:r>
      <w:r>
        <w:instrText xml:space="preserve"> PAGEREF _Toc18854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DEBB02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_Toc11013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产品开发必要性</w:t>
      </w:r>
      <w:r>
        <w:tab/>
      </w:r>
      <w:r>
        <w:fldChar w:fldCharType="begin"/>
      </w:r>
      <w:r>
        <w:instrText xml:space="preserve"> PAGEREF _Toc11013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38AD44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_Toc7299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_Toc7299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8154D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_Toc22445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药品定位与应用场景</w:t>
      </w:r>
      <w:r>
        <w:tab/>
      </w:r>
      <w:r>
        <w:fldChar w:fldCharType="begin"/>
      </w:r>
      <w:r>
        <w:instrText xml:space="preserve"> PAGEREF _Toc22445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AF48B2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_Toc17906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药品功能定位</w:t>
      </w:r>
      <w:r>
        <w:tab/>
      </w:r>
      <w:r>
        <w:fldChar w:fldCharType="begin"/>
      </w:r>
      <w:r>
        <w:instrText xml:space="preserve"> PAGEREF _Toc17906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77187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_Toc28614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目标适应症</w:t>
      </w:r>
      <w:r>
        <w:tab/>
      </w:r>
      <w:r>
        <w:fldChar w:fldCharType="begin"/>
      </w:r>
      <w:r>
        <w:instrText xml:space="preserve"> PAGEREF _Toc28614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F01AB8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_Toc22674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核心使用人群</w:t>
      </w:r>
      <w:r>
        <w:tab/>
      </w:r>
      <w:r>
        <w:fldChar w:fldCharType="begin"/>
      </w:r>
      <w:r>
        <w:instrText xml:space="preserve"> PAGEREF _Toc22674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F56A24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_Toc24267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临床应用场景</w:t>
      </w:r>
      <w:r>
        <w:tab/>
      </w:r>
      <w:r>
        <w:fldChar w:fldCharType="begin"/>
      </w:r>
      <w:r>
        <w:instrText xml:space="preserve"> PAGEREF _Toc24267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9FFF06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_Toc28663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_Toc28663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EA0C0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_Toc24540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市场需求分析</w:t>
      </w:r>
      <w:r>
        <w:tab/>
      </w:r>
      <w:r>
        <w:fldChar w:fldCharType="begin"/>
      </w:r>
      <w:r>
        <w:instrText xml:space="preserve"> PAGEREF _Toc24540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8958B3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_Toc14622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患者需求</w:t>
      </w:r>
      <w:r>
        <w:tab/>
      </w:r>
      <w:r>
        <w:fldChar w:fldCharType="begin"/>
      </w:r>
      <w:r>
        <w:instrText xml:space="preserve"> PAGEREF _Toc14622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447C0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_Toc14587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医生处方需求</w:t>
      </w:r>
      <w:r>
        <w:tab/>
      </w:r>
      <w:r>
        <w:fldChar w:fldCharType="begin"/>
      </w:r>
      <w:r>
        <w:instrText xml:space="preserve"> PAGEREF _Toc14587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7886B3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_Toc17192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医院采购需求</w:t>
      </w:r>
      <w:r>
        <w:tab/>
      </w:r>
      <w:r>
        <w:fldChar w:fldCharType="begin"/>
      </w:r>
      <w:r>
        <w:instrText xml:space="preserve"> PAGEREF _Toc17192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ADC796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_Toc16706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3.4 零售与线上需求</w:t>
      </w:r>
      <w:r>
        <w:tab/>
      </w:r>
      <w:r>
        <w:fldChar w:fldCharType="begin"/>
      </w:r>
      <w:r>
        <w:instrText xml:space="preserve"> PAGEREF _Toc16706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4DD5C7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_Toc838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7BDB4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_Toc4526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第四章 市场销售数据分析（使用excel数据）</w:t>
      </w:r>
      <w:r>
        <w:tab/>
      </w:r>
      <w:r>
        <w:fldChar w:fldCharType="begin"/>
      </w:r>
      <w:r>
        <w:instrText xml:space="preserve"> PAGEREF _Toc4526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AEFFDA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_Toc3271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4.1</w:t>
      </w:r>
      <w:r>
        <w:tab/>
      </w:r>
      <w:r>
        <w:fldChar w:fldCharType="begin"/>
      </w:r>
      <w:r>
        <w:instrText xml:space="preserve"> PAGEREF _Toc3271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5C0B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_Toc32124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</w:t>
      </w:r>
      <w:r>
        <w:tab/>
      </w:r>
      <w:r>
        <w:fldChar w:fldCharType="begin"/>
      </w:r>
      <w:r>
        <w:instrText xml:space="preserve"> PAGEREF _Toc32124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20234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_Toc18065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_Toc18065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22081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_Toc5669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竞品与差异化分析</w:t>
      </w:r>
      <w:r>
        <w:tab/>
      </w:r>
      <w:r>
        <w:fldChar w:fldCharType="begin"/>
      </w:r>
      <w:r>
        <w:instrText xml:space="preserve"> PAGEREF _Toc5669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ABFA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_Toc29088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现有治疗药物</w:t>
      </w:r>
      <w:r>
        <w:tab/>
      </w:r>
      <w:r>
        <w:fldChar w:fldCharType="begin"/>
      </w:r>
      <w:r>
        <w:instrText xml:space="preserve"> PAGEREF _Toc29088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C1AD1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_Toc24699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主要竞品优劣势</w:t>
      </w:r>
      <w:r>
        <w:tab/>
      </w:r>
      <w:r>
        <w:fldChar w:fldCharType="begin"/>
      </w:r>
      <w:r>
        <w:instrText xml:space="preserve"> PAGEREF _Toc24699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B376BF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_Toc12346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产品差异化空间</w:t>
      </w:r>
      <w:r>
        <w:tab/>
      </w:r>
      <w:r>
        <w:fldChar w:fldCharType="begin"/>
      </w:r>
      <w:r>
        <w:instrText xml:space="preserve"> PAGEREF _Toc12346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7C7A24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_Toc19321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5.4 替代与互补关系</w:t>
      </w:r>
      <w:r>
        <w:tab/>
      </w:r>
      <w:r>
        <w:fldChar w:fldCharType="begin"/>
      </w:r>
      <w:r>
        <w:instrText xml:space="preserve"> PAGEREF _Toc19321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48DF8B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_Toc31734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_Toc31734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2A457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_Toc16065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商业模式与推广路径</w:t>
      </w:r>
      <w:r>
        <w:tab/>
      </w:r>
      <w:r>
        <w:fldChar w:fldCharType="begin"/>
      </w:r>
      <w:r>
        <w:instrText xml:space="preserve"> PAGEREF _Toc16065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D056D3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_Toc10443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医院端推广路径</w:t>
      </w:r>
      <w:r>
        <w:tab/>
      </w:r>
      <w:r>
        <w:fldChar w:fldCharType="begin"/>
      </w:r>
      <w:r>
        <w:instrText xml:space="preserve"> PAGEREF _Toc10443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FF6B6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OTC或院外渠道路径</w:t>
      </w:r>
      <w:r>
        <w:tab/>
      </w:r>
      <w:r>
        <w:fldChar w:fldCharType="begin"/>
      </w:r>
      <w:r>
        <w:instrText xml:space="preserve"> PAGEREF _Toc1502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EC4B07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_Toc17854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学术推广策略</w:t>
      </w:r>
      <w:r>
        <w:tab/>
      </w:r>
      <w:r>
        <w:fldChar w:fldCharType="begin"/>
      </w:r>
      <w:r>
        <w:instrText xml:space="preserve"> PAGEREF _Toc17854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E27DBF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_Toc18117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6.4 价格与渠道策略</w:t>
      </w:r>
      <w:r>
        <w:tab/>
      </w:r>
      <w:r>
        <w:fldChar w:fldCharType="begin"/>
      </w:r>
      <w:r>
        <w:instrText xml:space="preserve"> PAGEREF _Toc18117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6B84D5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_Toc28653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_Toc28653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F1687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_Toc25896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项目风险与可行性判断</w:t>
      </w:r>
      <w:r>
        <w:tab/>
      </w:r>
      <w:r>
        <w:fldChar w:fldCharType="begin"/>
      </w:r>
      <w:r>
        <w:instrText xml:space="preserve"> PAGEREF _Toc25896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081B71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_Toc4875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技术风险</w:t>
      </w:r>
      <w:r>
        <w:tab/>
      </w:r>
      <w:r>
        <w:fldChar w:fldCharType="begin"/>
      </w:r>
      <w:r>
        <w:instrText xml:space="preserve"> PAGEREF _Toc4875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37609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_Toc409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注册审批风险</w:t>
      </w:r>
      <w:r>
        <w:tab/>
      </w:r>
      <w:r>
        <w:fldChar w:fldCharType="begin"/>
      </w:r>
      <w:r>
        <w:instrText xml:space="preserve"> PAGEREF _Toc409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366B6C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_Toc10879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市场竞争风险</w:t>
      </w:r>
      <w:r>
        <w:tab/>
      </w:r>
      <w:r>
        <w:fldChar w:fldCharType="begin"/>
      </w:r>
      <w:r>
        <w:instrText xml:space="preserve"> PAGEREF _Toc10879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BD2AE9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_Toc31375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7.4 立项可行性结论</w:t>
      </w:r>
      <w:r>
        <w:tab/>
      </w:r>
      <w:r>
        <w:fldChar w:fldCharType="begin"/>
      </w:r>
      <w:r>
        <w:instrText xml:space="preserve"> PAGEREF _Toc31375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0CD0A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_Toc28874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_Toc28874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951467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_Toc18122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_Toc18122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EF1C4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_Toc5861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_Toc5861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2B2127">
      <w:pPr>
        <w:pStyle w:val="16"/>
        <w:bidi w:val="0"/>
        <w:rPr>
          <w:rFonts w:hint="eastAsia"/>
          <w:lang w:eastAsia="zh-CN"/>
        </w:rPr>
      </w:pPr>
      <w:bookmarkStart w:id="0" w:name="_Toc3360"/>
      <w:r>
        <w:t>第一章 项目背景与立项价值</w:t>
      </w:r>
      <w:bookmarkEnd w:id="0"/>
    </w:p>
    <w:p w14:paraId="34A62B13">
      <w:pPr>
        <w:pStyle w:val="17"/>
        <w:bidi w:val="0"/>
        <w:rPr>
          <w:rFonts w:hint="eastAsia"/>
          <w:lang w:eastAsia="zh-CN"/>
        </w:rPr>
      </w:pPr>
      <w:bookmarkStart w:id="1" w:name="_Toc8515"/>
      <w:r>
        <w:t>1.1 疾病负担与未满足需求</w:t>
      </w:r>
      <w:bookmarkEnd w:id="1"/>
    </w:p>
    <w:p w14:paraId="390CA864">
      <w:pPr>
        <w:pStyle w:val="17"/>
        <w:bidi w:val="0"/>
        <w:rPr>
          <w:rFonts w:hint="eastAsia"/>
          <w:lang w:eastAsia="zh-CN"/>
        </w:rPr>
      </w:pPr>
      <w:bookmarkStart w:id="2" w:name="_Toc18854"/>
      <w:r>
        <w:t>1.2 当前治疗现状</w:t>
      </w:r>
      <w:bookmarkEnd w:id="2"/>
    </w:p>
    <w:p w14:paraId="5FFEDD3A">
      <w:pPr>
        <w:pStyle w:val="17"/>
        <w:bidi w:val="0"/>
      </w:pPr>
      <w:bookmarkStart w:id="3" w:name="_Toc11013"/>
      <w:r>
        <w:t>1.3 产品开发必要性</w:t>
      </w:r>
      <w:bookmarkEnd w:id="3"/>
    </w:p>
    <w:p w14:paraId="573B6F30">
      <w:pPr>
        <w:pStyle w:val="17"/>
        <w:bidi w:val="0"/>
        <w:rPr>
          <w:rFonts w:hint="default" w:eastAsia="黑体"/>
          <w:lang w:val="en-US" w:eastAsia="zh-CN"/>
        </w:rPr>
      </w:pPr>
      <w:bookmarkStart w:id="4" w:name="_Toc7299"/>
      <w:r>
        <w:rPr>
          <w:rFonts w:hint="eastAsia"/>
          <w:lang w:val="en-US" w:eastAsia="zh-CN"/>
        </w:rPr>
        <w:t>1.4 本章小结</w:t>
      </w:r>
      <w:bookmarkEnd w:id="4"/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63AE55D">
      <w:pPr>
        <w:pStyle w:val="16"/>
        <w:bidi w:val="0"/>
        <w:rPr>
          <w:rFonts w:hint="eastAsia"/>
          <w:lang w:eastAsia="zh-CN"/>
        </w:rPr>
      </w:pPr>
      <w:bookmarkStart w:id="5" w:name="_Toc22445"/>
      <w:r>
        <w:t>第二章 药品定位与应用场景</w:t>
      </w:r>
      <w:bookmarkEnd w:id="5"/>
    </w:p>
    <w:p w14:paraId="10B22ACE">
      <w:pPr>
        <w:pStyle w:val="17"/>
        <w:bidi w:val="0"/>
        <w:rPr>
          <w:rFonts w:hint="eastAsia"/>
          <w:lang w:eastAsia="zh-CN"/>
        </w:rPr>
      </w:pPr>
      <w:bookmarkStart w:id="6" w:name="_Toc17906"/>
      <w:r>
        <w:t>2.1 药品功能定位</w:t>
      </w:r>
      <w:bookmarkEnd w:id="6"/>
    </w:p>
    <w:p w14:paraId="212EFF54">
      <w:pPr>
        <w:pStyle w:val="17"/>
        <w:bidi w:val="0"/>
        <w:rPr>
          <w:rFonts w:hint="eastAsia"/>
          <w:lang w:eastAsia="zh-CN"/>
        </w:rPr>
      </w:pPr>
      <w:bookmarkStart w:id="7" w:name="_Toc28614"/>
      <w:r>
        <w:t>2.2 目标适应症</w:t>
      </w:r>
      <w:bookmarkEnd w:id="7"/>
    </w:p>
    <w:p w14:paraId="5A77981B">
      <w:pPr>
        <w:pStyle w:val="17"/>
        <w:bidi w:val="0"/>
        <w:rPr>
          <w:rFonts w:hint="eastAsia"/>
          <w:lang w:eastAsia="zh-CN"/>
        </w:rPr>
      </w:pPr>
      <w:bookmarkStart w:id="8" w:name="_Toc22674"/>
      <w:r>
        <w:t>2.3 核心使用人群</w:t>
      </w:r>
      <w:bookmarkEnd w:id="8"/>
    </w:p>
    <w:p w14:paraId="55221CD3">
      <w:pPr>
        <w:pStyle w:val="17"/>
        <w:bidi w:val="0"/>
      </w:pPr>
      <w:bookmarkStart w:id="9" w:name="_Toc24267"/>
      <w:r>
        <w:t>2.4 临床应用场景</w:t>
      </w:r>
      <w:bookmarkEnd w:id="9"/>
    </w:p>
    <w:p w14:paraId="1C2C8555">
      <w:pPr>
        <w:pStyle w:val="17"/>
        <w:bidi w:val="0"/>
        <w:rPr>
          <w:rFonts w:hint="eastAsia"/>
        </w:rPr>
      </w:pPr>
      <w:bookmarkStart w:id="10" w:name="_Toc4226"/>
      <w:bookmarkStart w:id="11" w:name="_Toc28663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0"/>
      <w:bookmarkEnd w:id="11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29C969B">
      <w:pPr>
        <w:pStyle w:val="16"/>
        <w:bidi w:val="0"/>
        <w:rPr>
          <w:rFonts w:hint="eastAsia"/>
          <w:lang w:eastAsia="zh-CN"/>
        </w:rPr>
      </w:pPr>
      <w:bookmarkStart w:id="12" w:name="_Toc24540"/>
      <w:r>
        <w:t>第三章 市场需求分析</w:t>
      </w:r>
      <w:bookmarkEnd w:id="12"/>
    </w:p>
    <w:p w14:paraId="475C07DD">
      <w:pPr>
        <w:pStyle w:val="17"/>
        <w:bidi w:val="0"/>
        <w:rPr>
          <w:rFonts w:hint="eastAsia"/>
          <w:lang w:eastAsia="zh-CN"/>
        </w:rPr>
      </w:pPr>
      <w:bookmarkStart w:id="13" w:name="_Toc14622"/>
      <w:r>
        <w:t>3.1 患者需求</w:t>
      </w:r>
      <w:bookmarkEnd w:id="13"/>
    </w:p>
    <w:p w14:paraId="7391A8B7">
      <w:pPr>
        <w:pStyle w:val="17"/>
        <w:bidi w:val="0"/>
        <w:rPr>
          <w:rFonts w:hint="eastAsia"/>
          <w:lang w:eastAsia="zh-CN"/>
        </w:rPr>
      </w:pPr>
      <w:bookmarkStart w:id="14" w:name="_Toc14587"/>
      <w:r>
        <w:t>3.2 医生处方需求</w:t>
      </w:r>
      <w:bookmarkEnd w:id="14"/>
    </w:p>
    <w:p w14:paraId="10DCD9AA">
      <w:pPr>
        <w:pStyle w:val="17"/>
        <w:bidi w:val="0"/>
        <w:rPr>
          <w:rFonts w:hint="eastAsia"/>
          <w:lang w:eastAsia="zh-CN"/>
        </w:rPr>
      </w:pPr>
      <w:bookmarkStart w:id="15" w:name="_Toc17192"/>
      <w:r>
        <w:t>3.3 医院采购需求</w:t>
      </w:r>
      <w:bookmarkEnd w:id="15"/>
    </w:p>
    <w:p w14:paraId="2D91C634">
      <w:pPr>
        <w:pStyle w:val="17"/>
        <w:bidi w:val="0"/>
      </w:pPr>
      <w:bookmarkStart w:id="16" w:name="_Toc16706"/>
      <w:r>
        <w:t>3.4 零售与线上需求</w:t>
      </w:r>
      <w:bookmarkEnd w:id="16"/>
    </w:p>
    <w:p w14:paraId="7A5A9241">
      <w:pPr>
        <w:pStyle w:val="17"/>
        <w:bidi w:val="0"/>
        <w:rPr>
          <w:rFonts w:hint="eastAsia"/>
        </w:rPr>
      </w:pPr>
      <w:bookmarkStart w:id="17" w:name="_Toc838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7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8B6C3E7">
      <w:pPr>
        <w:pStyle w:val="16"/>
        <w:bidi w:val="0"/>
        <w:rPr>
          <w:rFonts w:hint="default" w:eastAsia="黑体"/>
          <w:lang w:val="en-US" w:eastAsia="zh-CN"/>
        </w:rPr>
      </w:pPr>
      <w:bookmarkStart w:id="18" w:name="_Toc4526"/>
      <w:r>
        <w:rPr>
          <w:rFonts w:hint="eastAsia"/>
          <w:lang w:val="en-US" w:eastAsia="zh-CN"/>
        </w:rPr>
        <w:t>第四章 市场销售数据分析</w:t>
      </w:r>
      <w:r>
        <w:rPr>
          <w:rFonts w:hint="eastAsia"/>
          <w:color w:val="FF0000"/>
          <w:lang w:val="en-US" w:eastAsia="zh-CN"/>
        </w:rPr>
        <w:t>（使用excel数据）</w:t>
      </w:r>
      <w:bookmarkEnd w:id="18"/>
    </w:p>
    <w:p w14:paraId="51647DAE">
      <w:pPr>
        <w:pStyle w:val="17"/>
        <w:bidi w:val="0"/>
        <w:rPr>
          <w:rFonts w:hint="eastAsia"/>
          <w:lang w:val="en-US" w:eastAsia="zh-CN"/>
        </w:rPr>
      </w:pPr>
      <w:bookmarkStart w:id="19" w:name="_Toc3271"/>
      <w:r>
        <w:rPr>
          <w:rFonts w:hint="eastAsia"/>
          <w:lang w:val="en-US" w:eastAsia="zh-CN"/>
        </w:rPr>
        <w:t>4.1</w:t>
      </w:r>
      <w:bookmarkEnd w:id="19"/>
      <w:r>
        <w:rPr>
          <w:rFonts w:hint="eastAsia"/>
          <w:lang w:val="en-US" w:eastAsia="zh-CN"/>
        </w:rPr>
        <w:t xml:space="preserve"> </w:t>
      </w:r>
    </w:p>
    <w:p w14:paraId="73A1F2F9">
      <w:pPr>
        <w:pStyle w:val="17"/>
        <w:bidi w:val="0"/>
        <w:rPr>
          <w:rFonts w:hint="default"/>
          <w:lang w:val="en-US" w:eastAsia="zh-CN"/>
        </w:rPr>
      </w:pPr>
      <w:bookmarkStart w:id="20" w:name="_Toc32124"/>
      <w:r>
        <w:rPr>
          <w:rFonts w:hint="eastAsia"/>
          <w:lang w:val="en-US" w:eastAsia="zh-CN"/>
        </w:rPr>
        <w:t>4.2</w:t>
      </w:r>
      <w:bookmarkEnd w:id="20"/>
      <w:r>
        <w:rPr>
          <w:rFonts w:hint="eastAsia"/>
          <w:lang w:val="en-US" w:eastAsia="zh-CN"/>
        </w:rPr>
        <w:t xml:space="preserve"> </w:t>
      </w:r>
    </w:p>
    <w:p w14:paraId="28815830">
      <w:pPr>
        <w:pStyle w:val="17"/>
        <w:bidi w:val="0"/>
        <w:rPr>
          <w:rFonts w:hint="eastAsia"/>
        </w:rPr>
      </w:pPr>
      <w:bookmarkStart w:id="21" w:name="_Toc18065"/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本章小结</w:t>
      </w:r>
      <w:bookmarkEnd w:id="21"/>
    </w:p>
    <w:p w14:paraId="1A01CE61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4F1E6FB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30DE1138">
      <w:pPr>
        <w:pStyle w:val="16"/>
        <w:bidi w:val="0"/>
        <w:rPr>
          <w:rFonts w:hint="eastAsia"/>
          <w:lang w:eastAsia="zh-CN"/>
        </w:rPr>
      </w:pPr>
      <w:bookmarkStart w:id="22" w:name="_Toc5669"/>
      <w:r>
        <w:t>第五章 竞品与差异化分析</w:t>
      </w:r>
      <w:bookmarkEnd w:id="22"/>
    </w:p>
    <w:p w14:paraId="47E34695">
      <w:pPr>
        <w:pStyle w:val="17"/>
        <w:bidi w:val="0"/>
        <w:rPr>
          <w:rFonts w:hint="eastAsia"/>
          <w:lang w:eastAsia="zh-CN"/>
        </w:rPr>
      </w:pPr>
      <w:bookmarkStart w:id="23" w:name="_Toc29088"/>
      <w:r>
        <w:t>5.1 现有治疗药物</w:t>
      </w:r>
      <w:bookmarkEnd w:id="23"/>
    </w:p>
    <w:p w14:paraId="7FCF75A3">
      <w:pPr>
        <w:pStyle w:val="17"/>
        <w:bidi w:val="0"/>
        <w:rPr>
          <w:rFonts w:hint="eastAsia"/>
          <w:lang w:eastAsia="zh-CN"/>
        </w:rPr>
      </w:pPr>
      <w:bookmarkStart w:id="24" w:name="_Toc24699"/>
      <w:r>
        <w:t>5.2 主要竞品优劣势</w:t>
      </w:r>
      <w:bookmarkEnd w:id="24"/>
    </w:p>
    <w:p w14:paraId="328D4237">
      <w:pPr>
        <w:pStyle w:val="17"/>
        <w:bidi w:val="0"/>
        <w:rPr>
          <w:rFonts w:hint="eastAsia"/>
          <w:lang w:eastAsia="zh-CN"/>
        </w:rPr>
      </w:pPr>
      <w:bookmarkStart w:id="25" w:name="_Toc12346"/>
      <w:r>
        <w:t>5.3 产品差异化空间</w:t>
      </w:r>
      <w:bookmarkEnd w:id="25"/>
    </w:p>
    <w:p w14:paraId="575C1AA1">
      <w:pPr>
        <w:pStyle w:val="17"/>
        <w:bidi w:val="0"/>
      </w:pPr>
      <w:bookmarkStart w:id="26" w:name="_Toc19321"/>
      <w:r>
        <w:t>5.4 替代与互补关系</w:t>
      </w:r>
      <w:bookmarkEnd w:id="26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7" w:name="_Toc31734"/>
      <w:r>
        <w:rPr>
          <w:rFonts w:hint="eastAsia"/>
          <w:lang w:val="en-US" w:eastAsia="zh-CN"/>
        </w:rPr>
        <w:t>5.5 本章小结</w:t>
      </w:r>
      <w:bookmarkEnd w:id="27"/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CCBE745">
      <w:pPr>
        <w:pStyle w:val="16"/>
        <w:bidi w:val="0"/>
        <w:rPr>
          <w:rFonts w:hint="eastAsia"/>
          <w:lang w:eastAsia="zh-CN"/>
        </w:rPr>
      </w:pPr>
      <w:bookmarkStart w:id="28" w:name="_Toc16065"/>
      <w:r>
        <w:t>第六章 商业模式与推广路径</w:t>
      </w:r>
      <w:bookmarkEnd w:id="28"/>
    </w:p>
    <w:p w14:paraId="3E970585">
      <w:pPr>
        <w:pStyle w:val="17"/>
        <w:bidi w:val="0"/>
        <w:rPr>
          <w:rFonts w:hint="eastAsia"/>
          <w:lang w:eastAsia="zh-CN"/>
        </w:rPr>
      </w:pPr>
      <w:bookmarkStart w:id="29" w:name="_Toc10443"/>
      <w:r>
        <w:t>6.1 医院端推广路径</w:t>
      </w:r>
      <w:bookmarkEnd w:id="29"/>
    </w:p>
    <w:p w14:paraId="036E713A">
      <w:pPr>
        <w:pStyle w:val="17"/>
        <w:bidi w:val="0"/>
        <w:rPr>
          <w:rFonts w:hint="eastAsia"/>
          <w:lang w:eastAsia="zh-CN"/>
        </w:rPr>
      </w:pPr>
      <w:bookmarkStart w:id="30" w:name="_Toc1502"/>
      <w:r>
        <w:t>6.2 OTC或院外渠道路径</w:t>
      </w:r>
      <w:bookmarkEnd w:id="30"/>
    </w:p>
    <w:p w14:paraId="24C28BB0">
      <w:pPr>
        <w:pStyle w:val="17"/>
        <w:bidi w:val="0"/>
        <w:rPr>
          <w:rFonts w:hint="eastAsia"/>
          <w:lang w:eastAsia="zh-CN"/>
        </w:rPr>
      </w:pPr>
      <w:bookmarkStart w:id="31" w:name="_Toc17854"/>
      <w:r>
        <w:t>6.3 学术推广策略</w:t>
      </w:r>
      <w:bookmarkEnd w:id="31"/>
    </w:p>
    <w:p w14:paraId="2F9861FD">
      <w:pPr>
        <w:pStyle w:val="17"/>
        <w:bidi w:val="0"/>
      </w:pPr>
      <w:bookmarkStart w:id="32" w:name="_Toc18117"/>
      <w:r>
        <w:t>6.4 价格与渠道策略</w:t>
      </w:r>
      <w:bookmarkEnd w:id="32"/>
    </w:p>
    <w:p w14:paraId="0092E0DA">
      <w:pPr>
        <w:pStyle w:val="17"/>
        <w:bidi w:val="0"/>
        <w:rPr>
          <w:rFonts w:hint="eastAsia"/>
        </w:rPr>
      </w:pPr>
      <w:bookmarkStart w:id="33" w:name="_Toc31290"/>
      <w:bookmarkStart w:id="34" w:name="_Toc10013"/>
      <w:bookmarkStart w:id="35" w:name="_Toc28653"/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bookmarkEnd w:id="33"/>
      <w:bookmarkEnd w:id="34"/>
      <w:bookmarkEnd w:id="35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F37F8BA">
      <w:pPr>
        <w:pStyle w:val="16"/>
        <w:bidi w:val="0"/>
        <w:rPr>
          <w:rFonts w:hint="eastAsia"/>
          <w:lang w:eastAsia="zh-CN"/>
        </w:rPr>
      </w:pPr>
      <w:bookmarkStart w:id="36" w:name="_Toc25896"/>
      <w:r>
        <w:t>第七章 项目风险与可行性判断</w:t>
      </w:r>
      <w:bookmarkEnd w:id="36"/>
    </w:p>
    <w:p w14:paraId="7EFB2078">
      <w:pPr>
        <w:pStyle w:val="17"/>
        <w:bidi w:val="0"/>
        <w:rPr>
          <w:rFonts w:hint="eastAsia"/>
          <w:lang w:eastAsia="zh-CN"/>
        </w:rPr>
      </w:pPr>
      <w:bookmarkStart w:id="37" w:name="_Toc4875"/>
      <w:r>
        <w:t>7.1 技术风险</w:t>
      </w:r>
      <w:bookmarkEnd w:id="37"/>
    </w:p>
    <w:p w14:paraId="5D6B853B">
      <w:pPr>
        <w:pStyle w:val="17"/>
        <w:bidi w:val="0"/>
        <w:rPr>
          <w:rFonts w:hint="eastAsia"/>
          <w:lang w:eastAsia="zh-CN"/>
        </w:rPr>
      </w:pPr>
      <w:bookmarkStart w:id="38" w:name="_Toc409"/>
      <w:r>
        <w:t>7.2 注册审批风险</w:t>
      </w:r>
      <w:bookmarkEnd w:id="38"/>
    </w:p>
    <w:p w14:paraId="35D3261E">
      <w:pPr>
        <w:pStyle w:val="17"/>
        <w:bidi w:val="0"/>
        <w:rPr>
          <w:rFonts w:hint="eastAsia"/>
          <w:lang w:eastAsia="zh-CN"/>
        </w:rPr>
      </w:pPr>
      <w:bookmarkStart w:id="39" w:name="_Toc10879"/>
      <w:r>
        <w:t>7.3 市场竞争风险</w:t>
      </w:r>
      <w:bookmarkEnd w:id="39"/>
    </w:p>
    <w:p w14:paraId="4878A135">
      <w:pPr>
        <w:pStyle w:val="17"/>
        <w:bidi w:val="0"/>
      </w:pPr>
      <w:bookmarkStart w:id="40" w:name="_Toc31375"/>
      <w:r>
        <w:t>7.4 立项可行性结论</w:t>
      </w:r>
      <w:bookmarkEnd w:id="40"/>
    </w:p>
    <w:p w14:paraId="246AA7F2">
      <w:pPr>
        <w:pStyle w:val="17"/>
        <w:bidi w:val="0"/>
        <w:rPr>
          <w:rFonts w:hint="eastAsia"/>
        </w:rPr>
      </w:pPr>
      <w:bookmarkStart w:id="41" w:name="_Toc28874"/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bookmarkEnd w:id="41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427C3EC5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59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2" w:name="_Toc18122"/>
      <w:r>
        <w:rPr>
          <w:rFonts w:hint="eastAsia"/>
          <w:lang w:val="en-US" w:eastAsia="zh-CN"/>
        </w:rPr>
        <w:t>总结</w:t>
      </w:r>
      <w:bookmarkEnd w:id="42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3" w:name="_Toc5861"/>
      <w:r>
        <w:rPr>
          <w:rFonts w:hint="default"/>
          <w:lang w:val="en-US" w:eastAsia="zh-CN"/>
        </w:rPr>
        <w:t>参考文献</w:t>
      </w:r>
      <w:bookmarkEnd w:id="43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4806A39-E5BF-4442-B8A9-82ADCC2A96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BB9C00A-28A7-43D4-9CD9-A000EDAA976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3567FF2-74F0-437C-B83F-DC51A2AD24C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45D6B41A-D15F-47F8-952D-0167ED5A4C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336FBA"/>
    <w:rsid w:val="0253127D"/>
    <w:rsid w:val="02AC34C4"/>
    <w:rsid w:val="04074A12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8C013B8"/>
    <w:rsid w:val="2A6F54DA"/>
    <w:rsid w:val="2A6F6257"/>
    <w:rsid w:val="2B563FA5"/>
    <w:rsid w:val="2D276A64"/>
    <w:rsid w:val="2EFB58CC"/>
    <w:rsid w:val="2FC20A24"/>
    <w:rsid w:val="321245AB"/>
    <w:rsid w:val="33244988"/>
    <w:rsid w:val="341C1954"/>
    <w:rsid w:val="3463118C"/>
    <w:rsid w:val="34D300EB"/>
    <w:rsid w:val="34D30C94"/>
    <w:rsid w:val="34DB7C0E"/>
    <w:rsid w:val="365612FD"/>
    <w:rsid w:val="36FF3745"/>
    <w:rsid w:val="37307B56"/>
    <w:rsid w:val="374809CF"/>
    <w:rsid w:val="38C05153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FE5055"/>
    <w:rsid w:val="478E44F5"/>
    <w:rsid w:val="49266648"/>
    <w:rsid w:val="4A3459A1"/>
    <w:rsid w:val="4BD83EFE"/>
    <w:rsid w:val="4D673998"/>
    <w:rsid w:val="4DC6493B"/>
    <w:rsid w:val="4E6D01EE"/>
    <w:rsid w:val="4F712737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A7D7A30"/>
    <w:rsid w:val="5ACD6817"/>
    <w:rsid w:val="5B3A334A"/>
    <w:rsid w:val="5CAC13C7"/>
    <w:rsid w:val="5CE60887"/>
    <w:rsid w:val="5F950245"/>
    <w:rsid w:val="5FBC7BFE"/>
    <w:rsid w:val="60160350"/>
    <w:rsid w:val="60D27E15"/>
    <w:rsid w:val="60FF719C"/>
    <w:rsid w:val="62E17BAF"/>
    <w:rsid w:val="641D45AA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239</Words>
  <Characters>347</Characters>
  <Lines>0</Lines>
  <Paragraphs>0</Paragraphs>
  <TotalTime>0</TotalTime>
  <ScaleCrop>false</ScaleCrop>
  <LinksUpToDate>false</LinksUpToDate>
  <CharactersWithSpaces>410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eyJoZGlkIjoiMzc4MWYwN2NmYzc3YzJlYTFiOGRiZDc3NGQ3MzliNWYiLCJ1c2VySWQiOiIxMzg0MjYzODgzIn0=</vt:lpwstr>
  </property>
  <property fmtid="{D5CDD505-2E9C-101B-9397-08002B2CF9AE}" pid="4" name="ICV">
    <vt:lpwstr>B2AD43A6023B47D8BA6B090C374A1CEC_13</vt:lpwstr>
  </property>
</Properties>
</file>