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51" w:name="_GoBack"/>
      <w:bookmarkEnd w:id="51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01296EC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_Toc19183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药品基本概况</w:t>
      </w:r>
      <w:r>
        <w:tab/>
      </w:r>
      <w:r>
        <w:fldChar w:fldCharType="begin"/>
      </w:r>
      <w:r>
        <w:instrText xml:space="preserve"> PAGEREF _Toc19183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922A3B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_Toc19251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药品名称与注册信息</w:t>
      </w:r>
      <w:r>
        <w:tab/>
      </w:r>
      <w:r>
        <w:fldChar w:fldCharType="begin"/>
      </w:r>
      <w:r>
        <w:instrText xml:space="preserve"> PAGEREF _Toc19251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8120F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_Toc8604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剂型规格与适应症</w:t>
      </w:r>
      <w:r>
        <w:tab/>
      </w:r>
      <w:r>
        <w:fldChar w:fldCharType="begin"/>
      </w:r>
      <w:r>
        <w:instrText xml:space="preserve"> PAGEREF _Toc8604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C47282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_Toc8759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作用机制与临床定位</w:t>
      </w:r>
      <w:r>
        <w:tab/>
      </w:r>
      <w:r>
        <w:fldChar w:fldCharType="begin"/>
      </w:r>
      <w:r>
        <w:instrText xml:space="preserve"> PAGEREF _Toc8759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B4A86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_Toc14486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_Toc14486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973F65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药品所属治疗领域分析</w:t>
      </w:r>
      <w:r>
        <w:tab/>
      </w:r>
      <w:r>
        <w:fldChar w:fldCharType="begin"/>
      </w:r>
      <w:r>
        <w:instrText xml:space="preserve"> PAGEREF _Toc470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D691A3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_Toc16939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疾病背景</w:t>
      </w:r>
      <w:r>
        <w:tab/>
      </w:r>
      <w:r>
        <w:fldChar w:fldCharType="begin"/>
      </w:r>
      <w:r>
        <w:instrText xml:space="preserve"> PAGEREF _Toc16939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E385D7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_Toc10592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患者人群规模</w:t>
      </w:r>
      <w:r>
        <w:tab/>
      </w:r>
      <w:r>
        <w:fldChar w:fldCharType="begin"/>
      </w:r>
      <w:r>
        <w:instrText xml:space="preserve"> PAGEREF _Toc10592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75890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_Toc17881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临床治疗路径</w:t>
      </w:r>
      <w:r>
        <w:tab/>
      </w:r>
      <w:r>
        <w:fldChar w:fldCharType="begin"/>
      </w:r>
      <w:r>
        <w:instrText xml:space="preserve"> PAGEREF _Toc17881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F81AAF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_Toc23064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_Toc23064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D43D4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药品市场规模分析</w:t>
      </w:r>
      <w:r>
        <w:tab/>
      </w:r>
      <w:r>
        <w:fldChar w:fldCharType="begin"/>
      </w:r>
      <w:r>
        <w:instrText xml:space="preserve"> PAGEREF _Toc139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F0EA14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_Toc17168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全球市场规模</w:t>
      </w:r>
      <w:r>
        <w:tab/>
      </w:r>
      <w:r>
        <w:fldChar w:fldCharType="begin"/>
      </w:r>
      <w:r>
        <w:instrText xml:space="preserve"> PAGEREF _Toc17168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E26EF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_Toc31643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中国市场规模</w:t>
      </w:r>
      <w:r>
        <w:tab/>
      </w:r>
      <w:r>
        <w:fldChar w:fldCharType="begin"/>
      </w:r>
      <w:r>
        <w:instrText xml:space="preserve"> PAGEREF _Toc31643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097E60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_Toc11419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细分市场规模</w:t>
      </w:r>
      <w:r>
        <w:tab/>
      </w:r>
      <w:r>
        <w:fldChar w:fldCharType="begin"/>
      </w:r>
      <w:r>
        <w:instrText xml:space="preserve"> PAGEREF _Toc11419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8586BB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_Toc14564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3.4 本章小结</w:t>
      </w:r>
      <w:r>
        <w:tab/>
      </w:r>
      <w:r>
        <w:fldChar w:fldCharType="begin"/>
      </w:r>
      <w:r>
        <w:instrText xml:space="preserve"> PAGEREF _Toc14564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A5389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_Toc26779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药品销售数据分析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_Toc26779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838FDE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医院端销售情况</w:t>
      </w:r>
      <w:r>
        <w:tab/>
      </w:r>
      <w:r>
        <w:fldChar w:fldCharType="begin"/>
      </w:r>
      <w:r>
        <w:instrText xml:space="preserve"> PAGEREF _Toc1136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110C0B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_Toc30199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零售端销售情况</w:t>
      </w:r>
      <w:r>
        <w:tab/>
      </w:r>
      <w:r>
        <w:fldChar w:fldCharType="begin"/>
      </w:r>
      <w:r>
        <w:instrText xml:space="preserve"> PAGEREF _Toc30199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3947E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_Toc16513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电商及院外渠道销售情况</w:t>
      </w:r>
      <w:r>
        <w:tab/>
      </w:r>
      <w:r>
        <w:fldChar w:fldCharType="begin"/>
      </w:r>
      <w:r>
        <w:instrText xml:space="preserve"> PAGEREF _Toc16513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5A4080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_Toc30965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4.4 本章小结</w:t>
      </w:r>
      <w:r>
        <w:tab/>
      </w:r>
      <w:r>
        <w:fldChar w:fldCharType="begin"/>
      </w:r>
      <w:r>
        <w:instrText xml:space="preserve"> PAGEREF _Toc30965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49EAD5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_Toc26381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竞争格局分析</w:t>
      </w:r>
      <w:r>
        <w:tab/>
      </w:r>
      <w:r>
        <w:fldChar w:fldCharType="begin"/>
      </w:r>
      <w:r>
        <w:instrText xml:space="preserve"> PAGEREF _Toc26381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DCE043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_Toc30555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同类药品竞争</w:t>
      </w:r>
      <w:r>
        <w:tab/>
      </w:r>
      <w:r>
        <w:fldChar w:fldCharType="begin"/>
      </w:r>
      <w:r>
        <w:instrText xml:space="preserve"> PAGEREF _Toc30555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95EEF7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_Toc5087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替代药品竞争</w:t>
      </w:r>
      <w:r>
        <w:tab/>
      </w:r>
      <w:r>
        <w:fldChar w:fldCharType="begin"/>
      </w:r>
      <w:r>
        <w:instrText xml:space="preserve"> PAGEREF _Toc5087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65D5F6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_Toc32373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主要企业竞争</w:t>
      </w:r>
      <w:r>
        <w:tab/>
      </w:r>
      <w:r>
        <w:fldChar w:fldCharType="begin"/>
      </w:r>
      <w:r>
        <w:instrText xml:space="preserve"> PAGEREF _Toc32373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F9CE4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_Toc17661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5.4 本章小结</w:t>
      </w:r>
      <w:r>
        <w:tab/>
      </w:r>
      <w:r>
        <w:fldChar w:fldCharType="begin"/>
      </w:r>
      <w:r>
        <w:instrText xml:space="preserve"> PAGEREF _Toc17661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001D0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_Toc19064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药品价格与支付体系</w:t>
      </w:r>
      <w:r>
        <w:tab/>
      </w:r>
      <w:r>
        <w:fldChar w:fldCharType="begin"/>
      </w:r>
      <w:r>
        <w:instrText xml:space="preserve"> PAGEREF _Toc19064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944671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_Toc11012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药品价格区间</w:t>
      </w:r>
      <w:r>
        <w:tab/>
      </w:r>
      <w:r>
        <w:fldChar w:fldCharType="begin"/>
      </w:r>
      <w:r>
        <w:instrText xml:space="preserve"> PAGEREF _Toc11012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DF85B7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_Toc474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医保支付情况</w:t>
      </w:r>
      <w:r>
        <w:tab/>
      </w:r>
      <w:r>
        <w:fldChar w:fldCharType="begin"/>
      </w:r>
      <w:r>
        <w:instrText xml:space="preserve"> PAGEREF _Toc474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2328BC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_Toc29078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集采与降价影响</w:t>
      </w:r>
      <w:r>
        <w:tab/>
      </w:r>
      <w:r>
        <w:fldChar w:fldCharType="begin"/>
      </w:r>
      <w:r>
        <w:instrText xml:space="preserve"> PAGEREF _Toc29078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970458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_Toc27802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_Toc27802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64129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_Toc26642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渠道与终端市场分析</w:t>
      </w:r>
      <w:r>
        <w:tab/>
      </w:r>
      <w:r>
        <w:fldChar w:fldCharType="begin"/>
      </w:r>
      <w:r>
        <w:instrText xml:space="preserve"> PAGEREF _Toc26642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421FD0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_Toc3724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医院市场</w:t>
      </w:r>
      <w:r>
        <w:tab/>
      </w:r>
      <w:r>
        <w:fldChar w:fldCharType="begin"/>
      </w:r>
      <w:r>
        <w:instrText xml:space="preserve"> PAGEREF _Toc3724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C0A1D3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_Toc29996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药店市场</w:t>
      </w:r>
      <w:r>
        <w:tab/>
      </w:r>
      <w:r>
        <w:fldChar w:fldCharType="begin"/>
      </w:r>
      <w:r>
        <w:instrText xml:space="preserve"> PAGEREF _Toc29996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017D77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互联网医疗市场</w:t>
      </w:r>
      <w:r>
        <w:tab/>
      </w:r>
      <w:r>
        <w:fldChar w:fldCharType="begin"/>
      </w:r>
      <w:r>
        <w:instrText xml:space="preserve"> PAGEREF _Toc1304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B495E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_Toc21532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_Toc21532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3608B3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_Toc19492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第八章 政策与监管环境</w:t>
      </w:r>
      <w:r>
        <w:tab/>
      </w:r>
      <w:r>
        <w:fldChar w:fldCharType="begin"/>
      </w:r>
      <w:r>
        <w:instrText xml:space="preserve"> PAGEREF _Toc19492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7E4223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_Toc20612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8.1 注册审批政策</w:t>
      </w:r>
      <w:r>
        <w:tab/>
      </w:r>
      <w:r>
        <w:fldChar w:fldCharType="begin"/>
      </w:r>
      <w:r>
        <w:instrText xml:space="preserve"> PAGEREF _Toc20612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ED79B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_Toc27375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8.2 医保目录政策</w:t>
      </w:r>
      <w:r>
        <w:tab/>
      </w:r>
      <w:r>
        <w:fldChar w:fldCharType="begin"/>
      </w:r>
      <w:r>
        <w:instrText xml:space="preserve"> PAGEREF _Toc27375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3BFD80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_Toc7736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8.3 药品集采政策</w:t>
      </w:r>
      <w:r>
        <w:tab/>
      </w:r>
      <w:r>
        <w:fldChar w:fldCharType="begin"/>
      </w:r>
      <w:r>
        <w:instrText xml:space="preserve"> PAGEREF _Toc7736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C224BF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_Toc20781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8.4 本章小结</w:t>
      </w:r>
      <w:r>
        <w:tab/>
      </w:r>
      <w:r>
        <w:fldChar w:fldCharType="begin"/>
      </w:r>
      <w:r>
        <w:instrText xml:space="preserve"> PAGEREF _Toc20781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7C425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_Toc5259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第九章 市场机会与风险分析</w:t>
      </w:r>
      <w:r>
        <w:tab/>
      </w:r>
      <w:r>
        <w:fldChar w:fldCharType="begin"/>
      </w:r>
      <w:r>
        <w:instrText xml:space="preserve"> PAGEREF _Toc5259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9AFDA8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_Toc11690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9.1 市场增长机会</w:t>
      </w:r>
      <w:r>
        <w:tab/>
      </w:r>
      <w:r>
        <w:fldChar w:fldCharType="begin"/>
      </w:r>
      <w:r>
        <w:instrText xml:space="preserve"> PAGEREF _Toc11690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6B002C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_Toc4310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9.2 竞争风险</w:t>
      </w:r>
      <w:r>
        <w:tab/>
      </w:r>
      <w:r>
        <w:fldChar w:fldCharType="begin"/>
      </w:r>
      <w:r>
        <w:instrText xml:space="preserve"> PAGEREF _Toc4310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714FB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_Toc4908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9.3 政策风险</w:t>
      </w:r>
      <w:r>
        <w:tab/>
      </w:r>
      <w:r>
        <w:fldChar w:fldCharType="begin"/>
      </w:r>
      <w:r>
        <w:instrText xml:space="preserve"> PAGEREF _Toc4908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5A3D3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_Toc8776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9.4 战略建议</w:t>
      </w:r>
      <w:r>
        <w:tab/>
      </w:r>
      <w:r>
        <w:fldChar w:fldCharType="begin"/>
      </w:r>
      <w:r>
        <w:instrText xml:space="preserve"> PAGEREF _Toc8776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90F9A8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_Toc9605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9.5 本章小结</w:t>
      </w:r>
      <w:r>
        <w:tab/>
      </w:r>
      <w:r>
        <w:fldChar w:fldCharType="begin"/>
      </w:r>
      <w:r>
        <w:instrText xml:space="preserve"> PAGEREF _Toc9605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7BCB8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_Toc29008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2264B79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_Toc6111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_Toc6111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DBA65E5">
      <w:pPr>
        <w:pStyle w:val="16"/>
        <w:bidi w:val="0"/>
        <w:rPr>
          <w:rFonts w:hint="eastAsia"/>
          <w:lang w:eastAsia="zh-CN"/>
        </w:rPr>
      </w:pPr>
      <w:bookmarkStart w:id="0" w:name="_Toc19183"/>
      <w:r>
        <w:t>第一章 药品基本概况</w:t>
      </w:r>
      <w:bookmarkEnd w:id="0"/>
    </w:p>
    <w:p w14:paraId="6A1B31E2">
      <w:pPr>
        <w:pStyle w:val="17"/>
        <w:bidi w:val="0"/>
        <w:rPr>
          <w:rFonts w:hint="eastAsia"/>
          <w:lang w:eastAsia="zh-CN"/>
        </w:rPr>
      </w:pPr>
      <w:bookmarkStart w:id="1" w:name="_Toc19251"/>
      <w:r>
        <w:t>1.1 药品名称与注册信息</w:t>
      </w:r>
      <w:bookmarkEnd w:id="1"/>
    </w:p>
    <w:p w14:paraId="2779460A">
      <w:pPr>
        <w:pStyle w:val="17"/>
        <w:bidi w:val="0"/>
        <w:rPr>
          <w:rFonts w:hint="eastAsia"/>
          <w:lang w:eastAsia="zh-CN"/>
        </w:rPr>
      </w:pPr>
      <w:bookmarkStart w:id="2" w:name="_Toc8604"/>
      <w:r>
        <w:t>1.2 剂型规格与适应症</w:t>
      </w:r>
      <w:bookmarkEnd w:id="2"/>
    </w:p>
    <w:p w14:paraId="406A544A">
      <w:pPr>
        <w:pStyle w:val="17"/>
        <w:bidi w:val="0"/>
      </w:pPr>
      <w:bookmarkStart w:id="3" w:name="_Toc8759"/>
      <w:r>
        <w:t>1.3 作用机制与临床定位</w:t>
      </w:r>
      <w:bookmarkEnd w:id="3"/>
    </w:p>
    <w:p w14:paraId="248C7F99">
      <w:pPr>
        <w:pStyle w:val="17"/>
        <w:bidi w:val="0"/>
        <w:rPr>
          <w:rFonts w:hint="default"/>
          <w:lang w:val="en-US" w:eastAsia="zh-CN"/>
        </w:rPr>
      </w:pPr>
      <w:bookmarkStart w:id="4" w:name="_Toc14486"/>
      <w:r>
        <w:rPr>
          <w:rFonts w:hint="eastAsia"/>
          <w:lang w:val="en-US" w:eastAsia="zh-CN"/>
        </w:rPr>
        <w:t>1.4 本章小结</w:t>
      </w:r>
      <w:bookmarkEnd w:id="4"/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71E2E7A">
      <w:pPr>
        <w:pStyle w:val="16"/>
        <w:bidi w:val="0"/>
        <w:rPr>
          <w:rFonts w:hint="eastAsia"/>
          <w:lang w:eastAsia="zh-CN"/>
        </w:rPr>
      </w:pPr>
      <w:bookmarkStart w:id="5" w:name="_Toc470"/>
      <w:r>
        <w:t>第二章 药品所属治疗领域分析</w:t>
      </w:r>
      <w:bookmarkEnd w:id="5"/>
    </w:p>
    <w:p w14:paraId="20DBDFB8">
      <w:pPr>
        <w:pStyle w:val="17"/>
        <w:bidi w:val="0"/>
        <w:rPr>
          <w:rFonts w:hint="eastAsia"/>
          <w:lang w:eastAsia="zh-CN"/>
        </w:rPr>
      </w:pPr>
      <w:bookmarkStart w:id="6" w:name="_Toc16939"/>
      <w:r>
        <w:t>2.1 疾病背景</w:t>
      </w:r>
      <w:bookmarkEnd w:id="6"/>
    </w:p>
    <w:p w14:paraId="72E6FB7C">
      <w:pPr>
        <w:pStyle w:val="17"/>
        <w:bidi w:val="0"/>
        <w:rPr>
          <w:rFonts w:hint="eastAsia"/>
          <w:lang w:eastAsia="zh-CN"/>
        </w:rPr>
      </w:pPr>
      <w:bookmarkStart w:id="7" w:name="_Toc10592"/>
      <w:r>
        <w:t>2.2 患者人群规模</w:t>
      </w:r>
      <w:bookmarkEnd w:id="7"/>
    </w:p>
    <w:p w14:paraId="283EBD7A">
      <w:pPr>
        <w:pStyle w:val="17"/>
        <w:bidi w:val="0"/>
        <w:rPr>
          <w:rFonts w:hint="default"/>
          <w:lang w:val="en-US" w:eastAsia="zh-CN"/>
        </w:rPr>
      </w:pPr>
      <w:bookmarkStart w:id="8" w:name="_Toc17881"/>
      <w:r>
        <w:t>2.3 临床治疗路径</w:t>
      </w:r>
      <w:bookmarkEnd w:id="8"/>
    </w:p>
    <w:p w14:paraId="1C2C8555">
      <w:pPr>
        <w:pStyle w:val="17"/>
        <w:bidi w:val="0"/>
        <w:rPr>
          <w:rFonts w:hint="eastAsia"/>
        </w:rPr>
      </w:pPr>
      <w:bookmarkStart w:id="9" w:name="_Toc4226"/>
      <w:bookmarkStart w:id="10" w:name="_Toc23064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9"/>
      <w:bookmarkEnd w:id="10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3211711">
      <w:pPr>
        <w:pStyle w:val="16"/>
        <w:bidi w:val="0"/>
        <w:rPr>
          <w:rFonts w:hint="eastAsia"/>
          <w:lang w:eastAsia="zh-CN"/>
        </w:rPr>
      </w:pPr>
      <w:bookmarkStart w:id="11" w:name="_Toc139"/>
      <w:r>
        <w:t>第三章 药品市场规模分析</w:t>
      </w:r>
      <w:bookmarkEnd w:id="11"/>
    </w:p>
    <w:p w14:paraId="620942DE">
      <w:pPr>
        <w:pStyle w:val="17"/>
        <w:bidi w:val="0"/>
        <w:rPr>
          <w:rFonts w:hint="eastAsia"/>
          <w:lang w:eastAsia="zh-CN"/>
        </w:rPr>
      </w:pPr>
      <w:bookmarkStart w:id="12" w:name="_Toc17168"/>
      <w:r>
        <w:t>3.1 全球市场规模</w:t>
      </w:r>
      <w:bookmarkEnd w:id="12"/>
    </w:p>
    <w:p w14:paraId="0827669C">
      <w:pPr>
        <w:pStyle w:val="17"/>
        <w:bidi w:val="0"/>
        <w:rPr>
          <w:rFonts w:hint="eastAsia"/>
          <w:lang w:eastAsia="zh-CN"/>
        </w:rPr>
      </w:pPr>
      <w:bookmarkStart w:id="13" w:name="_Toc31643"/>
      <w:r>
        <w:t>3.2 中国市场规模</w:t>
      </w:r>
      <w:bookmarkEnd w:id="13"/>
    </w:p>
    <w:p w14:paraId="207A94A1">
      <w:pPr>
        <w:pStyle w:val="17"/>
        <w:bidi w:val="0"/>
      </w:pPr>
      <w:bookmarkStart w:id="14" w:name="_Toc11419"/>
      <w:r>
        <w:t>3.3 细分市场规模</w:t>
      </w:r>
      <w:bookmarkEnd w:id="14"/>
    </w:p>
    <w:p w14:paraId="5362815A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</w:t>
      </w:r>
    </w:p>
    <w:p w14:paraId="1CCA360F">
      <w:pPr>
        <w:pStyle w:val="17"/>
        <w:bidi w:val="0"/>
        <w:rPr>
          <w:rFonts w:hint="default"/>
          <w:lang w:val="en-US" w:eastAsia="zh-CN"/>
        </w:rPr>
      </w:pPr>
      <w:bookmarkStart w:id="15" w:name="_Toc14564"/>
      <w:r>
        <w:rPr>
          <w:rFonts w:hint="eastAsia"/>
          <w:lang w:val="en-US" w:eastAsia="zh-CN"/>
        </w:rPr>
        <w:t>3.4 本章小结</w:t>
      </w:r>
      <w:bookmarkEnd w:id="15"/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BB48D4F">
      <w:pPr>
        <w:pStyle w:val="16"/>
        <w:bidi w:val="0"/>
        <w:rPr>
          <w:rFonts w:hint="default" w:eastAsia="黑体"/>
          <w:lang w:val="en-US" w:eastAsia="zh-CN"/>
        </w:rPr>
      </w:pPr>
      <w:bookmarkStart w:id="16" w:name="_Toc26779"/>
      <w:r>
        <w:t>第四章 药品销售数据分析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6"/>
    </w:p>
    <w:p w14:paraId="183D7237">
      <w:pPr>
        <w:pStyle w:val="17"/>
        <w:bidi w:val="0"/>
        <w:rPr>
          <w:rFonts w:hint="eastAsia"/>
          <w:lang w:eastAsia="zh-CN"/>
        </w:rPr>
      </w:pPr>
      <w:bookmarkStart w:id="17" w:name="_Toc1136"/>
      <w:r>
        <w:t>4.1 医院端销售情况</w:t>
      </w:r>
      <w:bookmarkEnd w:id="17"/>
    </w:p>
    <w:p w14:paraId="2037C3AB">
      <w:pPr>
        <w:pStyle w:val="17"/>
        <w:bidi w:val="0"/>
        <w:rPr>
          <w:rFonts w:hint="eastAsia"/>
          <w:lang w:eastAsia="zh-CN"/>
        </w:rPr>
      </w:pPr>
      <w:bookmarkStart w:id="18" w:name="_Toc30199"/>
      <w:r>
        <w:t>4.2 零售端销售情况</w:t>
      </w:r>
      <w:bookmarkEnd w:id="18"/>
    </w:p>
    <w:p w14:paraId="55D691D2">
      <w:pPr>
        <w:pStyle w:val="17"/>
        <w:bidi w:val="0"/>
      </w:pPr>
      <w:bookmarkStart w:id="19" w:name="_Toc16513"/>
      <w:r>
        <w:t>4.3 电商及院外渠道销售情况</w:t>
      </w:r>
      <w:bookmarkEnd w:id="19"/>
    </w:p>
    <w:p w14:paraId="1A01CE61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</w:t>
      </w:r>
    </w:p>
    <w:p w14:paraId="4F1E6FBA">
      <w:pPr>
        <w:pStyle w:val="17"/>
        <w:bidi w:val="0"/>
        <w:rPr>
          <w:rFonts w:hint="default"/>
          <w:lang w:val="en-US" w:eastAsia="zh-CN"/>
        </w:rPr>
      </w:pPr>
      <w:bookmarkStart w:id="20" w:name="_Toc30965"/>
      <w:r>
        <w:rPr>
          <w:rFonts w:hint="eastAsia"/>
          <w:lang w:val="en-US" w:eastAsia="zh-CN"/>
        </w:rPr>
        <w:t>4.4 本章小结</w:t>
      </w:r>
      <w:bookmarkEnd w:id="20"/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AF41E52">
      <w:pPr>
        <w:pStyle w:val="16"/>
        <w:bidi w:val="0"/>
        <w:rPr>
          <w:rFonts w:hint="eastAsia"/>
          <w:lang w:eastAsia="zh-CN"/>
        </w:rPr>
      </w:pPr>
      <w:bookmarkStart w:id="21" w:name="_Toc26381"/>
      <w:r>
        <w:t>第五章 竞争格局分析</w:t>
      </w:r>
      <w:bookmarkEnd w:id="21"/>
    </w:p>
    <w:p w14:paraId="537B700F">
      <w:pPr>
        <w:pStyle w:val="17"/>
        <w:bidi w:val="0"/>
        <w:rPr>
          <w:rFonts w:hint="eastAsia"/>
          <w:lang w:eastAsia="zh-CN"/>
        </w:rPr>
      </w:pPr>
      <w:bookmarkStart w:id="22" w:name="_Toc30555"/>
      <w:r>
        <w:t>5.1 同类药品竞争</w:t>
      </w:r>
      <w:bookmarkEnd w:id="22"/>
    </w:p>
    <w:p w14:paraId="08FB37CD">
      <w:pPr>
        <w:pStyle w:val="17"/>
        <w:bidi w:val="0"/>
        <w:rPr>
          <w:rFonts w:hint="eastAsia"/>
          <w:lang w:eastAsia="zh-CN"/>
        </w:rPr>
      </w:pPr>
      <w:bookmarkStart w:id="23" w:name="_Toc5087"/>
      <w:r>
        <w:t>5.2 替代药品竞争</w:t>
      </w:r>
      <w:bookmarkEnd w:id="23"/>
    </w:p>
    <w:p w14:paraId="741EFF39">
      <w:pPr>
        <w:pStyle w:val="17"/>
        <w:bidi w:val="0"/>
      </w:pPr>
      <w:bookmarkStart w:id="24" w:name="_Toc32373"/>
      <w:r>
        <w:t>5.3 主要企业竞争</w:t>
      </w:r>
      <w:bookmarkEnd w:id="24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5" w:name="_Toc17661"/>
      <w:r>
        <w:rPr>
          <w:rFonts w:hint="eastAsia"/>
          <w:lang w:val="en-US" w:eastAsia="zh-CN"/>
        </w:rPr>
        <w:t>5.4 本章小结</w:t>
      </w:r>
      <w:bookmarkEnd w:id="25"/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22AFAC2">
      <w:pPr>
        <w:pStyle w:val="16"/>
        <w:bidi w:val="0"/>
        <w:rPr>
          <w:rFonts w:hint="eastAsia"/>
          <w:lang w:eastAsia="zh-CN"/>
        </w:rPr>
      </w:pPr>
      <w:bookmarkStart w:id="26" w:name="_Toc19064"/>
      <w:r>
        <w:t>第六章 药品价格与支付体系</w:t>
      </w:r>
      <w:bookmarkEnd w:id="26"/>
    </w:p>
    <w:p w14:paraId="3D2E4A9E">
      <w:pPr>
        <w:pStyle w:val="17"/>
        <w:bidi w:val="0"/>
        <w:rPr>
          <w:rFonts w:hint="eastAsia"/>
          <w:lang w:eastAsia="zh-CN"/>
        </w:rPr>
      </w:pPr>
      <w:bookmarkStart w:id="27" w:name="_Toc11012"/>
      <w:r>
        <w:t>6.1 药品价格区间</w:t>
      </w:r>
      <w:bookmarkEnd w:id="27"/>
    </w:p>
    <w:p w14:paraId="4EA748D2">
      <w:pPr>
        <w:pStyle w:val="17"/>
        <w:bidi w:val="0"/>
        <w:rPr>
          <w:rFonts w:hint="eastAsia"/>
          <w:lang w:eastAsia="zh-CN"/>
        </w:rPr>
      </w:pPr>
      <w:bookmarkStart w:id="28" w:name="_Toc474"/>
      <w:r>
        <w:t>6.2 医保支付情况</w:t>
      </w:r>
      <w:bookmarkEnd w:id="28"/>
    </w:p>
    <w:p w14:paraId="767D1329">
      <w:pPr>
        <w:pStyle w:val="17"/>
        <w:bidi w:val="0"/>
        <w:rPr>
          <w:rFonts w:hint="default"/>
          <w:lang w:val="en-US" w:eastAsia="zh-CN"/>
        </w:rPr>
      </w:pPr>
      <w:bookmarkStart w:id="29" w:name="_Toc29078"/>
      <w:r>
        <w:t>6.3 集采与降价影响</w:t>
      </w:r>
      <w:bookmarkEnd w:id="29"/>
    </w:p>
    <w:p w14:paraId="0092E0DA">
      <w:pPr>
        <w:pStyle w:val="17"/>
        <w:bidi w:val="0"/>
        <w:rPr>
          <w:rFonts w:hint="eastAsia"/>
        </w:rPr>
      </w:pPr>
      <w:bookmarkStart w:id="30" w:name="_Toc10013"/>
      <w:bookmarkStart w:id="31" w:name="_Toc31290"/>
      <w:bookmarkStart w:id="32" w:name="_Toc27802"/>
      <w:r>
        <w:rPr>
          <w:rFonts w:hint="eastAsia"/>
          <w:lang w:val="en-US" w:eastAsia="zh-CN"/>
        </w:rPr>
        <w:t xml:space="preserve">6.4 </w:t>
      </w:r>
      <w:r>
        <w:rPr>
          <w:rFonts w:hint="eastAsia"/>
        </w:rPr>
        <w:t>本章小结</w:t>
      </w:r>
      <w:bookmarkEnd w:id="30"/>
      <w:bookmarkEnd w:id="31"/>
      <w:bookmarkEnd w:id="32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B19EF8D">
      <w:pPr>
        <w:pStyle w:val="16"/>
        <w:bidi w:val="0"/>
        <w:rPr>
          <w:rFonts w:hint="eastAsia"/>
          <w:lang w:eastAsia="zh-CN"/>
        </w:rPr>
      </w:pPr>
      <w:bookmarkStart w:id="33" w:name="_Toc26642"/>
      <w:r>
        <w:t>第七章 渠道与终端市场分析</w:t>
      </w:r>
      <w:bookmarkEnd w:id="33"/>
    </w:p>
    <w:p w14:paraId="30BC6F74">
      <w:pPr>
        <w:pStyle w:val="17"/>
        <w:bidi w:val="0"/>
        <w:rPr>
          <w:rFonts w:hint="eastAsia"/>
          <w:lang w:eastAsia="zh-CN"/>
        </w:rPr>
      </w:pPr>
      <w:bookmarkStart w:id="34" w:name="_Toc3724"/>
      <w:r>
        <w:t>7.1 医院市场</w:t>
      </w:r>
      <w:bookmarkEnd w:id="34"/>
    </w:p>
    <w:p w14:paraId="7997F40C">
      <w:pPr>
        <w:pStyle w:val="17"/>
        <w:bidi w:val="0"/>
        <w:rPr>
          <w:rFonts w:hint="eastAsia"/>
          <w:lang w:eastAsia="zh-CN"/>
        </w:rPr>
      </w:pPr>
      <w:bookmarkStart w:id="35" w:name="_Toc29996"/>
      <w:r>
        <w:t>7.2 药店市场</w:t>
      </w:r>
      <w:bookmarkEnd w:id="35"/>
    </w:p>
    <w:p w14:paraId="3D9D66EF">
      <w:pPr>
        <w:pStyle w:val="17"/>
        <w:bidi w:val="0"/>
        <w:rPr>
          <w:rFonts w:hint="eastAsia"/>
        </w:rPr>
      </w:pPr>
      <w:bookmarkStart w:id="36" w:name="_Toc1304"/>
      <w:r>
        <w:t>7.3 互联网医疗市场</w:t>
      </w:r>
      <w:bookmarkEnd w:id="36"/>
    </w:p>
    <w:p w14:paraId="246AA7F2">
      <w:pPr>
        <w:pStyle w:val="17"/>
        <w:bidi w:val="0"/>
        <w:rPr>
          <w:rFonts w:hint="eastAsia"/>
        </w:rPr>
      </w:pPr>
      <w:bookmarkStart w:id="37" w:name="_Toc21532"/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bookmarkEnd w:id="37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427C3EC5">
      <w:pPr>
        <w:pStyle w:val="20"/>
        <w:bidi w:val="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359E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BD6363E">
      <w:pPr>
        <w:pStyle w:val="16"/>
        <w:bidi w:val="0"/>
        <w:rPr>
          <w:rFonts w:hint="eastAsia"/>
          <w:lang w:eastAsia="zh-CN"/>
        </w:rPr>
      </w:pPr>
      <w:bookmarkStart w:id="38" w:name="_Toc19492"/>
      <w:r>
        <w:t>第八章 政策与监管环境</w:t>
      </w:r>
      <w:bookmarkEnd w:id="38"/>
    </w:p>
    <w:p w14:paraId="240A668A">
      <w:pPr>
        <w:pStyle w:val="17"/>
        <w:bidi w:val="0"/>
        <w:rPr>
          <w:rFonts w:hint="eastAsia"/>
          <w:lang w:eastAsia="zh-CN"/>
        </w:rPr>
      </w:pPr>
      <w:bookmarkStart w:id="39" w:name="_Toc20612"/>
      <w:r>
        <w:t>8.1 注册审批政策</w:t>
      </w:r>
      <w:bookmarkEnd w:id="39"/>
    </w:p>
    <w:p w14:paraId="2962F824">
      <w:pPr>
        <w:pStyle w:val="17"/>
        <w:bidi w:val="0"/>
        <w:rPr>
          <w:rFonts w:hint="eastAsia"/>
          <w:lang w:eastAsia="zh-CN"/>
        </w:rPr>
      </w:pPr>
      <w:bookmarkStart w:id="40" w:name="_Toc27375"/>
      <w:r>
        <w:t>8.2 医保目录政策</w:t>
      </w:r>
      <w:bookmarkEnd w:id="40"/>
    </w:p>
    <w:p w14:paraId="4EF1DFB6">
      <w:pPr>
        <w:pStyle w:val="17"/>
        <w:bidi w:val="0"/>
      </w:pPr>
      <w:bookmarkStart w:id="41" w:name="_Toc7736"/>
      <w:r>
        <w:t>8.3 药品集采政策</w:t>
      </w:r>
      <w:bookmarkEnd w:id="41"/>
    </w:p>
    <w:p w14:paraId="49B5F199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XXX</w:t>
      </w:r>
    </w:p>
    <w:p w14:paraId="305FF5B0">
      <w:pPr>
        <w:pStyle w:val="17"/>
        <w:bidi w:val="0"/>
        <w:rPr>
          <w:rFonts w:hint="default"/>
          <w:lang w:val="en-US" w:eastAsia="zh-CN"/>
        </w:rPr>
      </w:pPr>
      <w:bookmarkStart w:id="42" w:name="_Toc20781"/>
      <w:r>
        <w:rPr>
          <w:rFonts w:hint="eastAsia"/>
          <w:lang w:val="en-US" w:eastAsia="zh-CN"/>
        </w:rPr>
        <w:t>8.4 本章小结</w:t>
      </w:r>
      <w:bookmarkEnd w:id="42"/>
    </w:p>
    <w:p w14:paraId="72C5E53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94DED03">
      <w:pPr>
        <w:pStyle w:val="16"/>
        <w:bidi w:val="0"/>
        <w:rPr>
          <w:rFonts w:hint="eastAsia"/>
          <w:lang w:eastAsia="zh-CN"/>
        </w:rPr>
      </w:pPr>
      <w:bookmarkStart w:id="43" w:name="_Toc5259"/>
      <w:r>
        <w:t>第九章 市场机会与风险分析</w:t>
      </w:r>
      <w:bookmarkEnd w:id="43"/>
    </w:p>
    <w:p w14:paraId="601A2120">
      <w:pPr>
        <w:pStyle w:val="17"/>
        <w:bidi w:val="0"/>
        <w:rPr>
          <w:rFonts w:hint="eastAsia"/>
          <w:lang w:eastAsia="zh-CN"/>
        </w:rPr>
      </w:pPr>
      <w:bookmarkStart w:id="44" w:name="_Toc11690"/>
      <w:r>
        <w:t>9.1 市场增长机会</w:t>
      </w:r>
      <w:bookmarkEnd w:id="44"/>
    </w:p>
    <w:p w14:paraId="4309868B">
      <w:pPr>
        <w:pStyle w:val="17"/>
        <w:bidi w:val="0"/>
        <w:rPr>
          <w:rFonts w:hint="eastAsia"/>
          <w:lang w:eastAsia="zh-CN"/>
        </w:rPr>
      </w:pPr>
      <w:bookmarkStart w:id="45" w:name="_Toc4310"/>
      <w:r>
        <w:t>9.2 竞争风险</w:t>
      </w:r>
      <w:bookmarkEnd w:id="45"/>
    </w:p>
    <w:p w14:paraId="493CE8C5">
      <w:pPr>
        <w:pStyle w:val="17"/>
        <w:bidi w:val="0"/>
      </w:pPr>
      <w:bookmarkStart w:id="46" w:name="_Toc4908"/>
      <w:r>
        <w:t>9.3 政策风险</w:t>
      </w:r>
      <w:bookmarkEnd w:id="46"/>
    </w:p>
    <w:p w14:paraId="61546359">
      <w:pPr>
        <w:pStyle w:val="17"/>
        <w:bidi w:val="0"/>
        <w:rPr>
          <w:rFonts w:hint="eastAsia"/>
          <w:lang w:val="en-US" w:eastAsia="zh-CN"/>
        </w:rPr>
      </w:pPr>
      <w:bookmarkStart w:id="47" w:name="_Toc8776"/>
      <w:r>
        <w:rPr>
          <w:rFonts w:hint="eastAsia"/>
          <w:lang w:val="en-US" w:eastAsia="zh-CN"/>
        </w:rPr>
        <w:t>9.4 战略建议</w:t>
      </w:r>
      <w:bookmarkEnd w:id="47"/>
    </w:p>
    <w:p w14:paraId="29BDCB5A">
      <w:pPr>
        <w:pStyle w:val="17"/>
        <w:bidi w:val="0"/>
        <w:rPr>
          <w:rFonts w:hint="default"/>
          <w:lang w:val="en-US" w:eastAsia="zh-CN"/>
        </w:rPr>
      </w:pPr>
      <w:bookmarkStart w:id="48" w:name="_Toc9605"/>
      <w:r>
        <w:rPr>
          <w:rFonts w:hint="eastAsia"/>
          <w:lang w:val="en-US" w:eastAsia="zh-CN"/>
        </w:rPr>
        <w:t>9.5 本章小结</w:t>
      </w:r>
      <w:bookmarkEnd w:id="48"/>
    </w:p>
    <w:p w14:paraId="1D2B5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9" w:name="_Toc29008"/>
      <w:r>
        <w:rPr>
          <w:rFonts w:hint="eastAsia"/>
          <w:lang w:val="en-US" w:eastAsia="zh-CN"/>
        </w:rPr>
        <w:t>总结</w:t>
      </w:r>
      <w:bookmarkEnd w:id="49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50" w:name="_Toc6111"/>
      <w:r>
        <w:rPr>
          <w:rFonts w:hint="default"/>
          <w:lang w:val="en-US" w:eastAsia="zh-CN"/>
        </w:rPr>
        <w:t>参考文献</w:t>
      </w:r>
      <w:bookmarkEnd w:id="50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E52523A-FE97-4EF5-9896-A6B1D6C9634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08AD124F-FD09-44BA-AD1B-33FD6A8BFB9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24CE107D-1008-4806-8551-78948755DAD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8A3CD6FB-0FC1-41F4-9735-D4A2C22A2D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FD437C"/>
    <w:multiLevelType w:val="singleLevel"/>
    <w:tmpl w:val="3AFD437C"/>
    <w:lvl w:ilvl="0" w:tentative="0">
      <w:start w:val="8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336FBA"/>
    <w:rsid w:val="0253127D"/>
    <w:rsid w:val="02AC34C4"/>
    <w:rsid w:val="04074A12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8C013B8"/>
    <w:rsid w:val="29942C71"/>
    <w:rsid w:val="2A6F54DA"/>
    <w:rsid w:val="2A6F6257"/>
    <w:rsid w:val="2B563FA5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8C05153"/>
    <w:rsid w:val="39C00035"/>
    <w:rsid w:val="3AC31E1F"/>
    <w:rsid w:val="3AE51737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A7D7A30"/>
    <w:rsid w:val="5B3A334A"/>
    <w:rsid w:val="5B3D44E8"/>
    <w:rsid w:val="5CAC13C7"/>
    <w:rsid w:val="5CE60887"/>
    <w:rsid w:val="5F950245"/>
    <w:rsid w:val="5FBC7BFE"/>
    <w:rsid w:val="60160350"/>
    <w:rsid w:val="60D27E15"/>
    <w:rsid w:val="60FF719C"/>
    <w:rsid w:val="62E17BAF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239</Words>
  <Characters>347</Characters>
  <Lines>0</Lines>
  <Paragraphs>0</Paragraphs>
  <TotalTime>0</TotalTime>
  <ScaleCrop>false</ScaleCrop>
  <LinksUpToDate>false</LinksUpToDate>
  <CharactersWithSpaces>410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eyJoZGlkIjoiMzc4MWYwN2NmYzc3YzJlYTFiOGRiZDc3NGQ3MzliNWYiLCJ1c2VySWQiOiIxMzg0MjYzODgzIn0=</vt:lpwstr>
  </property>
  <property fmtid="{D5CDD505-2E9C-101B-9397-08002B2CF9AE}" pid="4" name="ICV">
    <vt:lpwstr>B2AD43A6023B47D8BA6B090C374A1CEC_13</vt:lpwstr>
  </property>
</Properties>
</file>