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视界随行——教师意见修改单</w:t>
      </w:r>
    </w:p>
    <w:p>
      <w:r>
        <w:t>适用底稿：最新软件排版中文版《视界随行——理想 AI 眼镜 Livis 产品使用说明书(1).pdf》。本文件只整理需要调整的目录、编号和替换文字，不覆盖原说明书，不要求重新制作全部图片。编制日期：2026年10月13日。</w:t>
      </w:r>
    </w:p>
    <w:p>
      <w:pPr>
        <w:pStyle w:val="Heading1"/>
      </w:pPr>
      <w:r>
        <w:t>一、这次真正要改什么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依据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要求或意见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本次落实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老师本次截图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首次使用、日常操作、隐私与数据使用等合并为总体操作指引；内容全面，但需精炼。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将操作相关旧章节归入一个主章节，保留具体功能小节，减少重复解释。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竞赛通知及实施细则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须涵盖产品概述、技术规格、操作指引/使用方法、安全警示、售后条款五大模块；其他结构可按产品特点优化。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设置五个主章节；阅读说明放前置部分，术语和速查仍放附录。不是删掉其他必要内容。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老师此前指导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中英文各一份；中文段落缩进两字；标题层级和图表排版清楚；图表配说明。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语言分册及现有版式继续保留，不重新生成图片。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字数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官方建议中文1万字以内、英文6000个单词；老师截图提出中文约1万多一点、英文6000—10000“字”。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两处计量口径不同。先按官方建议控制，不把英文字符数等同于单词数，不为凑数扩写。教师若明确要求更长篇幅，再确认口径。</w:t>
            </w:r>
          </w:p>
        </w:tc>
      </w:tr>
    </w:tbl>
    <w:p/>
    <w:p>
      <w:r>
        <w:t>老师明确点名合并的是首次使用、日常操作及隐私与数据使用。将充电、保养、更新和故障排查一并归入操作指引，是基于使用顺序的编排建议，不是细则逐项规定的唯一目录。</w:t>
      </w:r>
    </w:p>
    <w:p>
      <w:pPr>
        <w:pStyle w:val="Heading1"/>
      </w:pPr>
      <w:r>
        <w:t>二、建议替换的主目录</w:t>
      </w:r>
    </w:p>
    <w:p>
      <w:pPr>
        <w:pStyle w:val="Heading2"/>
      </w:pPr>
      <w:r>
        <w:t>前置部分：关于本说明书</w:t>
      </w:r>
    </w:p>
    <w:p>
      <w:r>
        <w:t>不计入五个主章节；保留用途、阅读方法、提示符号和版本信息。</w:t>
      </w:r>
    </w:p>
    <w:p>
      <w:pPr>
        <w:pStyle w:val="Heading2"/>
      </w:pPr>
      <w:r>
        <w:t>1 产品概述</w:t>
      </w:r>
    </w:p>
    <w:p>
      <w:r>
        <w:t>1.1 产品简介；1.2 主要功能；1.3 预期用途与限制；1.4 配套应用与服务；1.5 包装内容；1.6 眼镜部件；1.7 充电盒部件；1.8 按键、触控与状态提示。</w:t>
      </w:r>
    </w:p>
    <w:p>
      <w:pPr>
        <w:pStyle w:val="Heading2"/>
      </w:pPr>
      <w:r>
        <w:t>2 技术规格</w:t>
      </w:r>
    </w:p>
    <w:p>
      <w:r>
        <w:t>2.1 尺寸、重量与材料；2.2 镜架与镜片选项；2.3 相机与影像；2.4 音频与无线连接；2.5 电池与充电；2.6 防护等级与环境；2.7 性能数据测试条件。</w:t>
      </w:r>
    </w:p>
    <w:p>
      <w:pPr>
        <w:pStyle w:val="Heading2"/>
      </w:pPr>
      <w:r>
        <w:t>3 操作指引</w:t>
      </w:r>
    </w:p>
    <w:p>
      <w:r>
        <w:t>3.1 首次使用；3.2 日常操作；3.3 充电与电池管理；3.4 隐私与数据使用；3.5 清洁、保养与更新；3.6 故障排查。</w:t>
      </w:r>
    </w:p>
    <w:p>
      <w:pPr>
        <w:pStyle w:val="Heading2"/>
      </w:pPr>
      <w:r>
        <w:t>4 安全警告</w:t>
      </w:r>
    </w:p>
    <w:p>
      <w:r>
        <w:t>4.1 一般安全；4.2 佩戴与镜片；4.3 听力；4.4 驾驶与注意力；4.5 电池与充电；4.6 防水、防尘与温度；4.7 儿童与小部件；4.8 损坏及异常处理。</w:t>
      </w:r>
    </w:p>
    <w:p>
      <w:pPr>
        <w:pStyle w:val="Heading2"/>
      </w:pPr>
      <w:r>
        <w:t>5 售后服务与保修条款</w:t>
      </w:r>
    </w:p>
    <w:p>
      <w:r>
        <w:t>5.1 适用范围；5.2 保修期限与覆盖；5.3 不予保修情形；5.4 服务申请流程；5.5 申请资料；5.6 服务渠道与地区限制。</w:t>
      </w:r>
    </w:p>
    <w:p>
      <w:pPr>
        <w:pStyle w:val="Heading2"/>
      </w:pPr>
      <w:r>
        <w:t>附录A、附录B</w:t>
      </w:r>
    </w:p>
    <w:p>
      <w:r>
        <w:t>保留操作速查表和中英文术语表。</w:t>
      </w:r>
    </w:p>
    <w:p>
      <w:pPr>
        <w:pStyle w:val="Heading1"/>
      </w:pPr>
      <w:r>
        <w:t>三、原章节搬到哪里：不删内容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原章节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新位置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旧第1章 关于本说明书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前置阅读说明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不删内容，取消主章序号；阅读导航按新目录更新。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旧第2章 产品概述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新第1章1.1—1.4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正文直接搬入。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旧第3章 部件与包装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新第1章1.5—1.8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正文、操作表和配图一起搬。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旧第4章 技术规格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新第2章2.1—2.7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参数表、数字、单位保留。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旧第6章 首次使用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新第3章3.1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原6.1—6.7成为3.1.1—3.1.7。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旧第7章 日常操作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新第3章3.2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原7.1—7.9成为3.2.1—3.2.9。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旧第8章 充电管理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新第3章3.3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原8.1—8.6成为3.3.1—3.3.6。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旧第9章 隐私与数据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新第3章3.4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原9.1—9.5成为3.4.1—3.4.5。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旧第10章 保养与更新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新第3章3.5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原10.1—10.4成为3.5.1—3.5.4。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旧第11章 故障排查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新第3章3.6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原11.1—11.7成为3.6.1—3.6.7。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旧第5章 安全警告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新第4章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原5.1—5.8成为4.1—4.8。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旧第12章 售后条款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新第5章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原12.1—12.6成为5.1—5.6。</w:t>
            </w:r>
          </w:p>
        </w:tc>
      </w:tr>
    </w:tbl>
    <w:p/>
    <w:p>
      <w:r>
        <w:t>重点：把旧6、7、8、9、10、11章变成“3 操作指引”下面六个二级小节，其内部再使用三级标题。不是把六章全文压成一个长段落。</w:t>
      </w:r>
    </w:p>
    <w:p>
      <w:pPr>
        <w:pStyle w:val="Heading1"/>
      </w:pPr>
      <w:r>
        <w:t>四、可直接替换的文字</w:t>
      </w:r>
    </w:p>
    <w:p>
      <w:r>
        <w:t>以下只列值得精简或修正的部分；未列出的正文、操作步骤、规格参数和表格继续保留。每段均给出新位置，便于网站编辑。</w:t>
      </w:r>
    </w:p>
    <w:p>
      <w:pPr>
        <w:pStyle w:val="Heading2"/>
      </w:pPr>
      <w:r>
        <w:t>前置阅读说明：如何阅读本说明书</w:t>
      </w:r>
    </w:p>
    <w:p>
      <w:r>
        <w:t>处理范围：替换旧1.2的阅读导航，清除旧页面引用。</w:t>
      </w:r>
    </w:p>
    <w:p>
      <w:r>
        <w:t>替换正文：</w:t>
      </w:r>
    </w:p>
    <w:p>
      <w:r>
        <w:t>首次使用前，请先阅读第4章“安全警告”，再按第3.1节完成充电、连接和佩戴检查。产品信息见第1章，技术参数见第2章，日常操作及故障排查见第3章，售后服务见第5章。常用手势可查阅附录A。</w:t>
      </w:r>
    </w:p>
    <w:p>
      <w:pPr>
        <w:pStyle w:val="Heading2"/>
      </w:pPr>
      <w:r>
        <w:t>3 操作指引：章首说明</w:t>
      </w:r>
    </w:p>
    <w:p>
      <w:r>
        <w:t>处理范围：新增一段短引导，取代各旧操作章反复出现的功能介绍。</w:t>
      </w:r>
    </w:p>
    <w:p>
      <w:r>
        <w:t>替换正文：</w:t>
      </w:r>
    </w:p>
    <w:p>
      <w:r>
        <w:t>本章按首次设置、日常操作、充电管理、隐私保护、清洁更新和故障排查的顺序提供使用指引。请按步骤操作；出现异常发热、异味、鼓包或结构损坏时，立即停止使用，并参照第4章处理。</w:t>
      </w:r>
    </w:p>
    <w:p>
      <w:pPr>
        <w:pStyle w:val="Heading2"/>
      </w:pPr>
      <w:r>
        <w:t>3.1.1 使用前准备</w:t>
      </w:r>
    </w:p>
    <w:p>
      <w:r>
        <w:t>处理范围：替换旧6.1，保留必要前提，不重复展开账号与权限详情。</w:t>
      </w:r>
    </w:p>
    <w:p>
      <w:r>
        <w:t>替换正文：</w:t>
      </w:r>
    </w:p>
    <w:p>
      <w:r>
        <w:t>检查眼镜及配件完好、镜片配置正确，并阅读第4章。准备兼容手机、有效账号和稳定网络。安装要求及地区服务可用性，以官方下载信息和App提示为准。</w:t>
      </w:r>
    </w:p>
    <w:p>
      <w:pPr>
        <w:pStyle w:val="Heading2"/>
      </w:pPr>
      <w:r>
        <w:t>3.2.3 录制视频</w:t>
      </w:r>
    </w:p>
    <w:p>
      <w:r>
        <w:t>处理范围：旧7.3中“单段上限41分钟”与规格表矛盾，需改。</w:t>
      </w:r>
    </w:p>
    <w:p>
      <w:r>
        <w:t>替换正文：</w:t>
      </w:r>
    </w:p>
    <w:p>
      <w:r>
        <w:t>确认电量及存储充足、隐私提示灯无遮挡。双击记录按键开始录像，再双击停止。录像时隐私提示灯白色常亮。单段最高3分钟；41分钟为视频录制总时长指标，不是单段上限。结束后在App中打开文件，确认保存完整。</w:t>
      </w:r>
    </w:p>
    <w:p>
      <w:pPr>
        <w:pStyle w:val="Heading2"/>
      </w:pPr>
      <w:r>
        <w:t>3.2.7 使用AI助手</w:t>
      </w:r>
    </w:p>
    <w:p>
      <w:r>
        <w:t>处理范围：替换旧7.7的重复风险说明；详细限制移到3.4.4。</w:t>
      </w:r>
    </w:p>
    <w:p>
      <w:r>
        <w:t>替换正文：</w:t>
      </w:r>
    </w:p>
    <w:p>
      <w:r>
        <w:t>确认眼镜连接正常，账号、网络和AI服务可用。说出“理想同学”或长按触控板唤醒，清晰提出问题；双击触控板退出。视觉问答时保持目标在镜头视野内，避免采集无关人员或敏感内容。通过语音或App获取回复，使用限制见第3.4.4节。</w:t>
      </w:r>
    </w:p>
    <w:p>
      <w:pPr>
        <w:pStyle w:val="Heading2"/>
      </w:pPr>
      <w:r>
        <w:t>3.3.4 查看电量与充电状态</w:t>
      </w:r>
    </w:p>
    <w:p>
      <w:r>
        <w:t>处理范围：替换旧8.4，保留行动指引，不重复整张故障表。</w:t>
      </w:r>
    </w:p>
    <w:p>
      <w:r>
        <w:t>替换正文：</w:t>
      </w:r>
    </w:p>
    <w:p>
      <w:r>
        <w:t>在App眼镜专区或设备页面查看电量与充电状态。电量不足时及时补能；指示灯含义以产品实际提示和随附说明为准。无法正常充电时，按第3.6.2节检查电源、线缆、触点及放置情况；持续异常时联系售后支持。</w:t>
      </w:r>
    </w:p>
    <w:p>
      <w:pPr>
        <w:pStyle w:val="Heading2"/>
      </w:pPr>
      <w:r>
        <w:t>3.4.2 应用权限与个人数据</w:t>
      </w:r>
    </w:p>
    <w:p>
      <w:r>
        <w:t>处理范围：与3.1.5权限设置区分：这里强调数据处理与管理。</w:t>
      </w:r>
    </w:p>
    <w:p>
      <w:r>
        <w:t>替换正文：</w:t>
      </w:r>
    </w:p>
    <w:p>
      <w:r>
        <w:t>可在手机设置中管理App权限，关闭权限可能影响对应功能。账号、云服务、AI记忆和转写数据的处理、保存与删除，以适用隐私政策及App说明为准。适用的数据访问、更正、删除或退出处理权利，可通过政策列明的渠道申请。</w:t>
      </w:r>
    </w:p>
    <w:p>
      <w:pPr>
        <w:pStyle w:val="Heading2"/>
      </w:pPr>
      <w:r>
        <w:t>3.4.3 分享与删除内容</w:t>
      </w:r>
    </w:p>
    <w:p>
      <w:r>
        <w:t>处理范围：删去与转让前准备重复的解除绑定流程，只讲日常分享删除。</w:t>
      </w:r>
    </w:p>
    <w:p>
      <w:r>
        <w:t>替换正文：</w:t>
      </w:r>
    </w:p>
    <w:p>
      <w:r>
        <w:t>分享照片、视频、录音或AI总结前，检查是否包含他人隐私、商业秘密或受保护资料。删除前确认所需内容已备份。手机副本、眼镜文件及云端记录可能分别保存，删除一处不代表全部删除；转让设备前按第3.4.5节处理。</w:t>
      </w:r>
    </w:p>
    <w:p>
      <w:pPr>
        <w:pStyle w:val="Heading2"/>
      </w:pPr>
      <w:r>
        <w:t>3.4.4 AI输出的使用限制</w:t>
      </w:r>
    </w:p>
    <w:p>
      <w:r>
        <w:t>处理范围：将重复分散于功能介绍的AI风险说明集中在此，其他地方只交叉引用。</w:t>
      </w:r>
    </w:p>
    <w:p>
      <w:r>
        <w:t>替换正文：</w:t>
      </w:r>
    </w:p>
    <w:p>
      <w:r>
        <w:t>AI回答、识别、转写和总结可能出现错误或遗漏，重要事实应通过可靠来源核实。医疗、法律、金融及驾驶安全事项应以专业意见和正式指引为准；车辆指令结果以实际状态确认。请按实际版本核对语言、账号及地区支持。</w:t>
      </w:r>
    </w:p>
    <w:p>
      <w:pPr>
        <w:pStyle w:val="Heading2"/>
      </w:pPr>
      <w:r>
        <w:t>3.5.1 镜片与镜架清洁</w:t>
      </w:r>
    </w:p>
    <w:p>
      <w:r>
        <w:t>处理范围：保留实际清洁方法和禁忌，减少重复引言。</w:t>
      </w:r>
    </w:p>
    <w:p>
      <w:r>
        <w:t>替换正文：</w:t>
      </w:r>
    </w:p>
    <w:p>
      <w:r>
        <w:t>移开电源后，用干净柔软的镜布轻除浮尘；有颗粒时不要用力干擦。镜片污渍按适用镜片护理说明处理，电子镜架用干软布擦拭，保持开孔与接口干燥。不要冲洗、浸泡、喷液或自行拆卸；避免研磨材料及强腐蚀性清洁剂。含酒精用品是否适用，以厂家指引为准。</w:t>
      </w:r>
    </w:p>
    <w:p>
      <w:pPr>
        <w:pStyle w:val="Heading2"/>
      </w:pPr>
      <w:r>
        <w:t>3.6 故障排查：总提示</w:t>
      </w:r>
    </w:p>
    <w:p>
      <w:r>
        <w:t>处理范围：替换旧11章前重复说明，表格和每节复测要求保留。</w:t>
      </w:r>
    </w:p>
    <w:p>
      <w:r>
        <w:t>替换正文：</w:t>
      </w:r>
    </w:p>
    <w:p>
      <w:r>
        <w:t>先排除异常发热、鼓包、异味、进液及明显损坏；出现这些情况时停止使用，参照第4.8节联系支持。普通功能问题按下表逐项检查，每处理一项即复测。未经诊断，不反复删除账号或恢复出厂。</w:t>
      </w:r>
    </w:p>
    <w:p>
      <w:pPr>
        <w:pStyle w:val="Heading2"/>
      </w:pPr>
      <w:r>
        <w:t>5.2 保修期限与覆盖内容</w:t>
      </w:r>
    </w:p>
    <w:p>
      <w:r>
        <w:t>处理范围：旧12.2“不得从竞赛资料推定”是写作者口吻，应改为用户说明。</w:t>
      </w:r>
    </w:p>
    <w:p>
      <w:r>
        <w:t>替换正文：</w:t>
      </w:r>
    </w:p>
    <w:p>
      <w:r>
        <w:t>保修期限、起算日期、覆盖部件及维修或更换方式，以购买时适用的书面保修条款和当地法律为准。请保留购买凭证、订单及保修文件。商业保修不影响适用法律赋予消费者的权利。</w:t>
      </w:r>
    </w:p>
    <w:p>
      <w:pPr>
        <w:pStyle w:val="Heading1"/>
      </w:pPr>
      <w:r>
        <w:t>五、只需搬移和保留，不用重写的内容</w:t>
      </w:r>
    </w:p>
    <w:p>
      <w:r>
        <w:t>保留首次充电、App安装、连接配对、佩戴调整、文件传输和更新等分步骤操作，不因合并章节省掉必要步骤。</w:t>
      </w:r>
    </w:p>
    <w:p>
      <w:r>
        <w:t>保留4032×3024、1080p/30 fps、IP54、电池容量和充电时间等参数及限定条件；不能为压字数删除“仅镜架”“典型值”等限制。</w:t>
      </w:r>
    </w:p>
    <w:p>
      <w:r>
        <w:t>故障排查表和操作速查表继续保留。表格与正文表达完全相同时，可删重复长段，但保留处理后如何复测。</w:t>
      </w:r>
    </w:p>
    <w:p>
      <w:r>
        <w:t>5.3不予保修情形和5.6服务地区限制，沿用最新中文PDF中已经修改的正式说明口吻，不恢复以前编辑备注式文字。</w:t>
      </w:r>
    </w:p>
    <w:p>
      <w:r>
        <w:t>封面、团队信息、现有16张正文配图及图注保留，不在本次修改单中新增、减少或重新生成图。合并章节后，图片随原主题搬移。</w:t>
      </w:r>
    </w:p>
    <w:p>
      <w:r>
        <w:t>图表解释保留一句用途或特点即可。安全、故障图说明风险和处理方法，不强加营销卖点。</w:t>
      </w:r>
    </w:p>
    <w:p>
      <w:pPr>
        <w:pStyle w:val="Heading1"/>
      </w:pPr>
      <w:r>
        <w:t>六、图文与交叉引用必须同步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项目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需要检查的地方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目录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目录页码、原12章编号及平台自动生成的重复编号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完成结构调整后重生成目录；不要保留“5.5.安全警告”等重复章节号。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常用引用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旧11.2充电排查、旧12.5售后资料、旧9.5转让准备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分别改为3.6.2、5.5、3.4.5。旧10.4更新改3.5.4。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图5操作图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图中双击播放/暂停，与正文单击冲突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图中应改为单击播放/暂停；正文和速查表保持一致。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图3、图9配对示意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独立配对按键、长按3秒未获指定资料确认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避免作为确定操作指令，采用App当前配对提示；不改变整套插图风格。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图12、图13 AI反馈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原图声称在视野中显示，与语音/App反馈不一致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图中文字改成通过语音或App获取回复。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图15灯色与阈值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概念图灯色及百分比未独立核实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不当作确认的技术规格；正文继续以实际提示和正式说明为准。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英文对应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新目录、正文精简、数字和图注</w:t>
            </w:r>
          </w:p>
        </w:tc>
        <w:tc>
          <w:tcPr>
            <w:tcW w:type="dxa" w:w="3324"/>
          </w:tcPr>
          <w:p>
            <w:pPr>
              <w:ind w:firstLine="0"/>
            </w:pPr>
            <w:r>
              <w:rPr>
                <w:sz w:val="18"/>
              </w:rPr>
              <w:t>中文确认后逐项同步英文；两种语言不能各自使用不同目录。</w:t>
            </w:r>
          </w:p>
        </w:tc>
      </w:tr>
    </w:tbl>
    <w:p/>
    <w:p>
      <w:r>
        <w:t>章节移动会影响图片顺序。先保留现有图文件与主题对应关系，完成新目录后再由网站统一更新连续图号、表号及交叉引用，不凭旧号判断图已缺失。</w:t>
      </w:r>
    </w:p>
    <w:p>
      <w:pPr>
        <w:pStyle w:val="Heading1"/>
      </w:pPr>
      <w:r>
        <w:t>七、字数：精简重复，不删必要信息</w:t>
      </w:r>
    </w:p>
    <w:p>
      <w:r>
        <w:t>最新中文PDF可提取全文约10651个汉字；去掉目录及重复页眉页脚后，正文约9483字。统计未包含封面和图片内文字，不等同于赛事最终认定字数。由此看，不需要大幅删内容，更适合先精简重复说明、目录展示和编辑口吻。</w:t>
      </w:r>
    </w:p>
    <w:p>
      <w:r>
        <w:t>建议中文成稿控制在官方建议的1万字以内，并留适当余量。英文按“单词”统计，参考官方约6000词建议，不按中文字符数直接换算。老师截图中的6000—10000“字”未明确计量单位，尚不能理解为必须达到10000英文词。</w:t>
      </w:r>
    </w:p>
    <w:p>
      <w:r>
        <w:t>本修改单未将全部替换段落应用到原PDF，所以不能声称整本已完成精简或得到新的总字数。中文调整确认后再更新英文。</w:t>
      </w:r>
    </w:p>
    <w:p>
      <w:pPr>
        <w:pStyle w:val="Heading1"/>
      </w:pPr>
      <w:r>
        <w:t>八、在Xmanual里按什么顺序改</w:t>
      </w:r>
    </w:p>
    <w:p>
      <w:r>
        <w:t>1. 保留现有版本或导出备份，再调整大纲；平台是否可拖动/重挂章节，以实际功能为准，不先删除已有主题。</w:t>
      </w:r>
    </w:p>
    <w:p>
      <w:r>
        <w:t>2. 新建或使用“3 操作指引”父主题，把首次使用、日常操作、充电、隐私、保养、排查移为子主题；其正文、图片、表格一起保留。</w:t>
      </w:r>
    </w:p>
    <w:p>
      <w:r>
        <w:t>3. 把产品部件与包装放到产品概述下；规格、安全、售后分别保留为主章节。</w:t>
      </w:r>
    </w:p>
    <w:p>
      <w:r>
        <w:t>4. 只替换本文件第四部分列出的正文；未列正文不动。</w:t>
      </w:r>
    </w:p>
    <w:p>
      <w:r>
        <w:t>5. 更新标题级别、章节引用及图表编号，重生成目录后预览PDF；检查有无漏图、漏表及孤立标题。</w:t>
      </w:r>
    </w:p>
    <w:p>
      <w:r>
        <w:t>6. 以确认后的中文稿同步英文，分别导出两份说明书；AI使用报告及原创性声明仍使用官方模板。</w:t>
      </w:r>
    </w:p>
    <w:p>
      <w:pPr>
        <w:pStyle w:val="Heading1"/>
      </w:pPr>
      <w:r>
        <w:t>九、提交前核对清单</w:t>
      </w:r>
    </w:p>
    <w:p>
      <w:r>
        <w:t>□ 五个必备主章节清楚，操作相关内容归于同一主章。</w:t>
      </w:r>
    </w:p>
    <w:p>
      <w:r>
        <w:t>□ 中英文分别成册，结构、数字、操作及图注一致。</w:t>
      </w:r>
    </w:p>
    <w:p>
      <w:r>
        <w:t>□ 正文缩进、标题层级和图表版式保留老师此前要求。</w:t>
      </w:r>
    </w:p>
    <w:p>
      <w:r>
        <w:t>□ 封面作品名、团队、选手、教师、队长电话和邮箱齐全；不出现学校名。</w:t>
      </w:r>
    </w:p>
    <w:p>
      <w:r>
        <w:t>□ 原16张正文图未因移动目录而丢失，图文冲突已核对。</w:t>
      </w:r>
    </w:p>
    <w:p>
      <w:r>
        <w:t>□ 字数按最终导出版本重新统计，不为凑字数扩写。</w:t>
      </w:r>
    </w:p>
    <w:p>
      <w:r>
        <w:t>□ 全部修改经团队人工校对，保留真实AI使用记录。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视界随行 · 教师意见修改单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  <w:ind w:firstLine="440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 w:eastAsia="微软雅黑"/>
      <w:b/>
      <w:bCs/>
      <w:color w:val="163A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eastAsia="微软雅黑"/>
      <w:b/>
      <w:bCs/>
      <w:color w:val="163A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ind w:firstLine="0"/>
      <w:contextualSpacing/>
    </w:pPr>
    <w:rPr>
      <w:rFonts w:asciiTheme="majorHAnsi" w:eastAsiaTheme="majorEastAsia" w:hAnsiTheme="majorHAnsi" w:cstheme="majorBidi" w:eastAsia="微软雅黑"/>
      <w:b/>
      <w:color w:val="163A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