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Livis 新版配图素材</w:t>
      </w:r>
    </w:p>
    <w:p>
      <w:r>
        <w:t>参考竞赛指定传播手册的产品摄影风格，采用柔和灰白背景、写实光影及统一构图。以下图片为AI生成概念图；准确的部件和操作图应优先使用官方图片。</w:t>
      </w:r>
    </w:p>
    <w:p>
      <w:pPr>
        <w:pStyle w:val="Heading1"/>
      </w:pPr>
      <w:r>
        <w:t>产品概览效果图 / Product overview illustration</w:t>
      </w:r>
    </w:p>
    <w:p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duct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适合第2章；AI生成效果图，不作为尺寸、部件位置或材料验证依据。</w:t>
      </w:r>
    </w:p>
    <w:p>
      <w:pPr>
        <w:pStyle w:val="Heading1"/>
      </w:pPr>
      <w:r>
        <w:t>日常使用场景示意 / Everyday-use concepts</w:t>
      </w:r>
    </w:p>
    <w:p>
      <w:r>
        <w:drawing>
          <wp:inline xmlns:a="http://schemas.openxmlformats.org/drawingml/2006/main" xmlns:pic="http://schemas.openxmlformats.org/drawingml/2006/picture">
            <wp:extent cx="5760000" cy="2132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eryday_Sce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2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适合第2章或第7章；不表示美国地区服务已确认可用。</w:t>
      </w:r>
    </w:p>
    <w:p>
      <w:pPr>
        <w:pStyle w:val="Heading1"/>
      </w:pPr>
      <w:r>
        <w:t>收纳与充电概念示意 / Storage and charging concepts</w:t>
      </w:r>
    </w:p>
    <w:p>
      <w:r>
        <w:drawing>
          <wp:inline xmlns:a="http://schemas.openxmlformats.org/drawingml/2006/main" xmlns:pic="http://schemas.openxmlformats.org/drawingml/2006/picture"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arging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适合第8章；充电盒是概念道具，不能作为真实盒内结构、接口位置或放置方法的操作依据。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