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Livis 整合修改说明与提交前核对</w:t>
      </w:r>
    </w:p>
    <w:p>
      <w:r>
        <w:t>本次已补齐第1—4章与附录A—C；第5—12章保留原目录和主要内容，统一操作、参数和术语并补充英文。原始上传文件未覆盖。整合稿是团队审阅版本，封面信息尚需团队填写。</w:t>
      </w:r>
    </w:p>
    <w:p>
      <w:r>
        <w:t>5.6：IPX4改为手册确认的IP54；移除未提供的温度数值。</w:t>
      </w:r>
    </w:p>
    <w:p>
      <w:r>
        <w:t>6.1—6.4：移除未证实的最低手机系统版本、固定灯色与盒后配对键3秒流程；采用当前App指引，明确未公开细节。</w:t>
      </w:r>
    </w:p>
    <w:p>
      <w:r>
        <w:t>6.3 / 7.7：Livis App改为理想同学App；Hey Livis改为资料记录的“理想同学”；英文App名仅为描述性译名。</w:t>
      </w:r>
    </w:p>
    <w:p>
      <w:r>
        <w:t>7.1—7.6 / 11 / 附录A：记录键单击拍照、双击录像、长按录音；触控板单击播放暂停/接听，双击结束/拒接或下一首，三击上一首，长按唤醒。</w:t>
      </w:r>
    </w:p>
    <w:p>
      <w:r>
        <w:t>7.3：示例60秒改为手册单段最高3分钟；总录像41分钟单列为不同指标。</w:t>
      </w:r>
    </w:p>
    <w:p>
      <w:r>
        <w:t>8.2—8.4 / 10.2：确认Qi最高15W；删除“必须15W以上”；区分眼镜和充电盒充电时间；删除未证实的独立镜腿百分比和灯色。</w:t>
      </w:r>
    </w:p>
    <w:p>
      <w:r>
        <w:t>10.1：删除直接清水冲洗、揉洗整个电子镜架；采用温和干燥清洁并遵循镜片专用指引。</w:t>
      </w:r>
    </w:p>
    <w:p>
      <w:r>
        <w:t>11.1—11.6：保留原排查主题及多数检查项，表格置回对应小节，并增加复测和停止排查条件。</w:t>
      </w:r>
    </w:p>
    <w:p>
      <w:r>
        <w:t>12：保留售后六个小节；不编造美国期限、地址、电话及当地服务网络，不笼统宣称第三方配件使全部保修失效。</w:t>
      </w:r>
    </w:p>
    <w:p>
      <w:r>
        <w:t>配图：保留原佩戴示意；移除自行拆镜片图、假定配对键图、与错误手势关联图及AR悬浮界面图。加入来源产品尺寸/配色图和标明AI生成的概念流程图。</w:t>
      </w:r>
    </w:p>
    <w:p>
      <w:pPr>
        <w:pStyle w:val="Heading1"/>
      </w:pPr>
      <w:r>
        <w:t>来源内部差异如何处理</w:t>
      </w:r>
    </w:p>
    <w:p>
      <w:r>
        <w:t>1.pdf第7页旧段落含眼镜满充70分钟、0–80%约30分钟等；2.pdf第4页专门电池章节给眼镜满充60分钟，充电盒有线满充90分钟（标注刷新信息）。整合稿采用专门章节，并在4.7披露差异。不是自行保证厂家最终参数。</w:t>
      </w:r>
    </w:p>
    <w:p>
      <w:r>
        <w:t>18.8小时、41分钟、充电盒约4次补能属于不同指标；没有完整工况，不使用“全天无忧”“行业第一”“全球最轻”等绝对宣传，也不自行将指标相加为连续96小时。</w:t>
      </w:r>
    </w:p>
    <w:p>
      <w:pPr>
        <w:pStyle w:val="Heading1"/>
      </w:pPr>
      <w:r>
        <w:t>需由团队完成的核对</w:t>
      </w:r>
    </w:p>
    <w:p>
      <w:pPr>
        <w:pStyle w:val="ListBullet"/>
      </w:pPr>
      <w:r>
        <w:t>填写封面团队、选手、教师和联系方式，封面及正文不出现学校名称。</w:t>
      </w:r>
    </w:p>
    <w:p>
      <w:pPr>
        <w:pStyle w:val="ListBullet"/>
      </w:pPr>
      <w:r>
        <w:t>按比赛要求在Xmanual完成内容与版式设计；当前Word与PDF是整合工作稿及参考排版，未代替平台操作。</w:t>
      </w:r>
    </w:p>
    <w:p>
      <w:pPr>
        <w:pStyle w:val="ListBullet"/>
      </w:pPr>
      <w:r>
        <w:t>人工编辑、校对中英文；本次没有实机测试。首次配对、传输和权限界面应尽量实机走查，并补入真实界面图。</w:t>
      </w:r>
    </w:p>
    <w:p>
      <w:pPr>
        <w:pStyle w:val="ListBullet"/>
      </w:pPr>
      <w:r>
        <w:t>确认美国地区App下载、账号和AI/音乐服务、语言、车控可用性；不要由“出口美国”的比赛设定推定已经可用。</w:t>
      </w:r>
    </w:p>
    <w:p>
      <w:pPr>
        <w:pStyle w:val="ListBullet"/>
      </w:pPr>
      <w:r>
        <w:t>向厂家或购买渠道核实美国商业保修、服务资格、费用及支持联系信息；如取得书面政策再替换第12章相应内容。</w:t>
      </w:r>
    </w:p>
    <w:p>
      <w:pPr>
        <w:pStyle w:val="ListBullet"/>
      </w:pPr>
      <w:r>
        <w:t>若加入FCC等合规声明或认证标识，必须先获得适用型号正式文件，不以普通安全建议替代证据。</w:t>
      </w:r>
    </w:p>
    <w:p>
      <w:pPr>
        <w:pStyle w:val="ListBullet"/>
      </w:pPr>
      <w:r>
        <w:t>核查原稿图6-1的来源和使用权；传播手册图片按赛方授权范围使用；新增AI概念图如保留，真实记录于AI报告。</w:t>
      </w:r>
    </w:p>
    <w:p>
      <w:pPr>
        <w:pStyle w:val="ListBullet"/>
      </w:pPr>
      <w:r>
        <w:t>最终对照官方模板制作AI使用说明报告和原创性声明；不能把本稿自动称作已人工审校或伪造Prompt。</w:t>
      </w:r>
    </w:p>
    <w:p>
      <w:pPr>
        <w:pStyle w:val="ListBullet"/>
      </w:pPr>
      <w:r>
        <w:t>如已晋级决赛，按细则保留既定作品名称和团队成员。</w:t>
      </w:r>
    </w:p>
    <w:p>
      <w:pPr>
        <w:pStyle w:val="Heading1"/>
      </w:pPr>
      <w:r>
        <w:t>整合版全文统计（不含图片内文字与重复页眉）</w:t>
      </w:r>
    </w:p>
    <w:p>
      <w:r>
        <w:t>中文汉字约9716字，英文约5625词（含封面、目录、表格、标题与图注，不含重复页眉和图片内文字）。最终Xmanual排版稿应重新统计全文，尤其核对图片内文字。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