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数经学院团学组织</w:t>
        <w:br/>
        <w:t>规章制度手册</w:t>
      </w:r>
    </w:p>
    <w:p>
      <w:r>
        <w:t>整合送审稿｜2026年10月19日</w:t>
      </w:r>
    </w:p>
    <w:p>
      <w:r>
        <w:t>编排：总则及通用制度 → 团委三个部门 → 学生会五个部门 → 青志队三个部门 → 统一加分细则及附件。重复要求归并于总则，各部门章节保留专属业务流程、时限和标准。</w:t>
      </w:r>
    </w:p>
    <w:p>
      <w:r>
        <w:t>本稿供学院审核和公示准备使用，不代表所有拟议计分及内部处理措施已获学校批准。部门材料与学校规定或统一口径存在冲突的，见配套《整合去重及学校依据核对报告》，未将冲突事项静默改写为确定规则。</w:t>
      </w:r>
    </w:p>
    <w:p>
      <w:pPr>
        <w:pStyle w:val="Heading2"/>
      </w:pPr>
      <w:r>
        <w:t>目录</w:t>
      </w:r>
    </w:p>
    <w:p>
      <w:r>
        <w:t>第一编 总则及通用制度</w:t>
      </w:r>
    </w:p>
    <w:p>
      <w:r>
        <w:t>第二编 团委：组织部、宣传部、实践部</w:t>
      </w:r>
    </w:p>
    <w:p>
      <w:r>
        <w:t>第三编 学生会：办公室、学习部、体育部、文艺部、权益部</w:t>
      </w:r>
    </w:p>
    <w:p>
      <w:r>
        <w:t>第四编 青志队：综合部、策划部、执行部</w:t>
      </w:r>
    </w:p>
    <w:p>
      <w:r>
        <w:t>第五编 考核推优与加分细则</w:t>
      </w:r>
    </w:p>
    <w:p>
      <w:r>
        <w:t>附件 体育部经费申请表、活动贡献登记字段</w:t>
      </w:r>
    </w:p>
    <w:p>
      <w:r>
        <w:br w:type="page"/>
      </w:r>
    </w:p>
    <w:p>
      <w:pPr>
        <w:pStyle w:val="Heading1"/>
      </w:pPr>
      <w:r>
        <w:t>第一编  总则及通用制度</w:t>
      </w:r>
    </w:p>
    <w:p>
      <w:r>
        <w:t>第1条【制定目的与适用范围】规范学院团委、学生会、青志队及其部门和所属队伍运行，明确工作职责，保障工作质量与成员权益。坚持党的领导和团的指导，以服务同学、团结协作、实事求是、公平公开为基本原则。</w:t>
      </w:r>
    </w:p>
    <w:p>
      <w:r>
        <w:t>第2条【组织架构】团委设组织部、宣传部、实践部；学生会设办公室、学习部、体育部、文艺部、权益部；青志队设综合部、策划部、执行部。体育项目队伍为体育部管理的二级队伍。文艺队伍按文艺部章节管理。</w:t>
      </w:r>
    </w:p>
    <w:p>
      <w:r>
        <w:t>第3条【岗位分工】部长统筹部门计划、工作安排、质量审核、人员培养及总结；副部长协助落实分管任务、指导干事、跟踪进度、汇总问题；干事完成具体任务、记录成果、及时反馈。部门业务分工和特殊安排在各部门章节列明。</w:t>
      </w:r>
    </w:p>
    <w:p>
      <w:r>
        <w:t>第4条【工作要求】任务应明确负责人、具体内容、完成时限和交付材料。成员按时保质完成，不推诿、敷衍或擅自搁置；出现困难、延期、信息错误及无法履职等情况，及时向负责人说明并申请协调。不得伪造台账、数据、签到或成果。</w:t>
      </w:r>
    </w:p>
    <w:p>
      <w:r>
        <w:t>第5条【会议纪律】按照通知参会，不无故迟到、早退或缺席，不代签；会议期间手机静音，不做无关事项，记录任务及要求。会议安排专人记录，归档后跟踪落实。部门例会频次和特殊请假时限见下表。</w:t>
      </w:r>
    </w:p>
    <w:p>
      <w:r>
        <w:t>第6条【请假与紧急情况】因课程冲突、疾病、家庭紧急事项等无法参加，应按部门要求及时请假。突发情况无法提前申请的，及时告知并补充合理说明；负责人核实原因，不把确有紧急事由简单作为无故缺勤处理。</w:t>
      </w:r>
    </w:p>
    <w:p>
      <w:r>
        <w:t>第7条【活动审批与方案】活动按策划、审批、筹备、执行、收尾复盘的程序进行；方案明确主题、对象、流程、人员分工、预算、物资、场地、时间节点和注意事项，经部长审核、按权限报批后实施。跨组织合作明确各方责任及对接人。</w:t>
      </w:r>
    </w:p>
    <w:p>
      <w:r>
        <w:t>第8条【岗前培训与分工】大型线下活动、迎新、竞赛和展演等，活动前完成培训和书面分工，明确岗位、场地点位、物资及突发情况处理人，不到场后才临时确定基本任务。培训记录和分工表纳入活动档案。</w:t>
      </w:r>
    </w:p>
    <w:p>
      <w:r>
        <w:t>第9条【现场执行与协作】成员按分工履职、相互配合，遵守现场调度；活动中做好签到、秩序维护、摄影和必要记录。异常和突发状况及时报告，有关人员及时协调处理；不得擅离岗位或隐瞒问题。</w:t>
      </w:r>
    </w:p>
    <w:p>
      <w:r>
        <w:t>第10条【跨部门联动】主办部门提出协作任务、时间节点和联系人，协办部门明确人员及本部门任务，工作人员对接主办部门负责人；完成后反馈结果，相关材料归档。权限或职责不清及时上报，不自行推诿或重复安排。</w:t>
      </w:r>
    </w:p>
    <w:p>
      <w:r>
        <w:t>第11条【收尾复盘】活动后清场、回收物资、移交资料，在例会或专项会议复盘，记录问题、原因及整改措施。各部门专属交稿、总结和复盘时限按部门章节执行，不以总则重新统一改写。</w:t>
      </w:r>
    </w:p>
    <w:p>
      <w:r>
        <w:t>第12条【档案与交接】实行一事一档，定期核查并整理台账；团务、活动、协作资料分类管理，必要时同步纸质与电子记录。人员交接包含业务台账、历史活动方案及复盘、重要联系、待办事项和常见问题，交接双方确认留痕。</w:t>
      </w:r>
    </w:p>
    <w:p>
      <w:r>
        <w:t>第13条【业务培训】开展基础业务及活动策划、执行、协作培训，明确模板与常见问题；采用副部长带干事等方式帮助成员熟悉工作，根据复盘结果改进。</w:t>
      </w:r>
    </w:p>
    <w:p>
      <w:r>
        <w:t>第14条【经费与物资纪律】公私分明、勤俭办事，不虚报冒领、挪用经费或物资；支出按审批要求办理。办公室负责的报销、奖状制作流程和体育队专项经费流程，按对应部门章节执行，不以总则删减其具体材料要求。</w:t>
      </w:r>
    </w:p>
    <w:p>
      <w:r>
        <w:t>第15条【信息与服务作风】对接师生、班级、志愿者和服务对象时礼貌耐心，客观传递信息，不利用部门身份谋私。权益诉求、成员资料和相关数据按工作需要妥善保管，不擅自泄露。</w:t>
      </w:r>
    </w:p>
    <w:p>
      <w:r>
        <w:t>第16条【考核与问题处理】依据实际工作、成果和记录评价，认真负责、贡献突出的可纳入推优。一般工作问题及时提醒、整改，情节严重按学院及学校权限处理；不由部门自行作出学校纪律处分。考勤、评价及加分争议应可核实、可申诉。</w:t>
      </w:r>
    </w:p>
    <w:p>
      <w:r>
        <w:t>第17条【制度依据与适用顺序】学校现行管理、操行、团体、荣誉及第二课堂规定为相关事项依据。本手册不得代替学校处分、综测审批或平台认证权限。加分按第五编统一汇总，部门材料中的旧上限、职位加分等冲突不并列执行，核对报告列明待审事项。</w:t>
      </w:r>
    </w:p>
    <w:tbl>
      <w:tblPr>
        <w:tblStyle w:val="TableGrid"/>
        <w:tblW w:type="auto" w:w="0"/>
        <w:tblLook w:firstColumn="1" w:firstRow="1" w:lastColumn="0" w:lastRow="0" w:noHBand="0" w:noVBand="1" w:val="04A0"/>
      </w:tblPr>
      <w:tblGrid>
        <w:gridCol w:w="3202"/>
        <w:gridCol w:w="3202"/>
        <w:gridCol w:w="3202"/>
      </w:tblGrid>
      <w:tr>
        <w:trPr>
          <w:tblHeader/>
          <w:cantSplit/>
        </w:trPr>
        <w:tc>
          <w:tcPr>
            <w:tcW w:type="dxa" w:w="3202"/>
          </w:tcPr>
          <w:p>
            <w:r>
              <w:rPr>
                <w:sz w:val="18"/>
              </w:rPr>
              <w:t>部门</w:t>
            </w:r>
          </w:p>
        </w:tc>
        <w:tc>
          <w:tcPr>
            <w:tcW w:type="dxa" w:w="3202"/>
          </w:tcPr>
          <w:p>
            <w:r>
              <w:rPr>
                <w:sz w:val="18"/>
              </w:rPr>
              <w:t>例会及特殊安排</w:t>
            </w:r>
          </w:p>
        </w:tc>
        <w:tc>
          <w:tcPr>
            <w:tcW w:type="dxa" w:w="3202"/>
          </w:tcPr>
          <w:p>
            <w:r>
              <w:rPr>
                <w:sz w:val="18"/>
              </w:rPr>
              <w:t>请假／时限</w:t>
            </w:r>
          </w:p>
        </w:tc>
      </w:tr>
      <w:tr>
        <w:trPr>
          <w:cantSplit/>
        </w:trPr>
        <w:tc>
          <w:tcPr>
            <w:tcW w:type="dxa" w:w="3202"/>
          </w:tcPr>
          <w:p>
            <w:r>
              <w:rPr>
                <w:sz w:val="18"/>
              </w:rPr>
              <w:t>组织部、实践部</w:t>
            </w:r>
          </w:p>
        </w:tc>
        <w:tc>
          <w:tcPr>
            <w:tcW w:type="dxa" w:w="3202"/>
          </w:tcPr>
          <w:p>
            <w:r>
              <w:rPr>
                <w:sz w:val="18"/>
              </w:rPr>
              <w:t>每周例会；工作高峰期按需增设；副部长主持工作复盘、任务安排和培训</w:t>
            </w:r>
          </w:p>
        </w:tc>
        <w:tc>
          <w:tcPr>
            <w:tcW w:type="dxa" w:w="3202"/>
          </w:tcPr>
          <w:p>
            <w:r>
              <w:rPr>
                <w:sz w:val="18"/>
              </w:rPr>
              <w:t>会议原则上提前1小时向部长说明</w:t>
            </w:r>
          </w:p>
        </w:tc>
      </w:tr>
      <w:tr>
        <w:trPr>
          <w:cantSplit/>
        </w:trPr>
        <w:tc>
          <w:tcPr>
            <w:tcW w:type="dxa" w:w="3202"/>
          </w:tcPr>
          <w:p>
            <w:r>
              <w:rPr>
                <w:sz w:val="18"/>
              </w:rPr>
              <w:t>宣传部</w:t>
            </w:r>
          </w:p>
        </w:tc>
        <w:tc>
          <w:tcPr>
            <w:tcW w:type="dxa" w:w="3202"/>
          </w:tcPr>
          <w:p>
            <w:r>
              <w:rPr>
                <w:sz w:val="18"/>
              </w:rPr>
              <w:t>无活动时每两周例会；有活动时在活动前部署、彩排及结束后沟通</w:t>
            </w:r>
          </w:p>
        </w:tc>
        <w:tc>
          <w:tcPr>
            <w:tcW w:type="dxa" w:w="3202"/>
          </w:tcPr>
          <w:p>
            <w:r>
              <w:rPr>
                <w:sz w:val="18"/>
              </w:rPr>
              <w:t>特殊情况提前向部长或副部长报备</w:t>
            </w:r>
          </w:p>
        </w:tc>
      </w:tr>
      <w:tr>
        <w:trPr>
          <w:cantSplit/>
        </w:trPr>
        <w:tc>
          <w:tcPr>
            <w:tcW w:type="dxa" w:w="3202"/>
          </w:tcPr>
          <w:p>
            <w:r>
              <w:rPr>
                <w:sz w:val="18"/>
              </w:rPr>
              <w:t>办公室</w:t>
            </w:r>
          </w:p>
        </w:tc>
        <w:tc>
          <w:tcPr>
            <w:tcW w:type="dxa" w:w="3202"/>
          </w:tcPr>
          <w:p>
            <w:r>
              <w:rPr>
                <w:sz w:val="18"/>
              </w:rPr>
              <w:t>参加团学全体例会，部门内部按需工作小会</w:t>
            </w:r>
          </w:p>
        </w:tc>
        <w:tc>
          <w:tcPr>
            <w:tcW w:type="dxa" w:w="3202"/>
          </w:tcPr>
          <w:p>
            <w:r>
              <w:rPr>
                <w:sz w:val="18"/>
              </w:rPr>
              <w:t>有事提前向部门负责人请假</w:t>
            </w:r>
          </w:p>
        </w:tc>
      </w:tr>
      <w:tr>
        <w:trPr>
          <w:cantSplit/>
        </w:trPr>
        <w:tc>
          <w:tcPr>
            <w:tcW w:type="dxa" w:w="3202"/>
          </w:tcPr>
          <w:p>
            <w:r>
              <w:rPr>
                <w:sz w:val="18"/>
              </w:rPr>
              <w:t>文艺部</w:t>
            </w:r>
          </w:p>
        </w:tc>
        <w:tc>
          <w:tcPr>
            <w:tcW w:type="dxa" w:w="3202"/>
          </w:tcPr>
          <w:p>
            <w:r>
              <w:rPr>
                <w:sz w:val="18"/>
              </w:rPr>
              <w:t>活动前分配工作，活动后集中总结；筹备期按活动进度开推进会</w:t>
            </w:r>
          </w:p>
        </w:tc>
        <w:tc>
          <w:tcPr>
            <w:tcW w:type="dxa" w:w="3202"/>
          </w:tcPr>
          <w:p>
            <w:r>
              <w:rPr>
                <w:sz w:val="18"/>
              </w:rPr>
              <w:t>按部门任务安排报备</w:t>
            </w:r>
          </w:p>
        </w:tc>
      </w:tr>
      <w:tr>
        <w:trPr>
          <w:cantSplit/>
        </w:trPr>
        <w:tc>
          <w:tcPr>
            <w:tcW w:type="dxa" w:w="3202"/>
          </w:tcPr>
          <w:p>
            <w:r>
              <w:rPr>
                <w:sz w:val="18"/>
              </w:rPr>
              <w:t>权益部</w:t>
            </w:r>
          </w:p>
        </w:tc>
        <w:tc>
          <w:tcPr>
            <w:tcW w:type="dxa" w:w="3202"/>
          </w:tcPr>
          <w:p>
            <w:r>
              <w:rPr>
                <w:sz w:val="18"/>
              </w:rPr>
              <w:t>部门例会及班级学生代表例会分别开展</w:t>
            </w:r>
          </w:p>
        </w:tc>
        <w:tc>
          <w:tcPr>
            <w:tcW w:type="dxa" w:w="3202"/>
          </w:tcPr>
          <w:p>
            <w:r>
              <w:rPr>
                <w:sz w:val="18"/>
              </w:rPr>
              <w:t>无法参会提前请假</w:t>
            </w:r>
          </w:p>
        </w:tc>
      </w:tr>
      <w:tr>
        <w:trPr>
          <w:cantSplit/>
        </w:trPr>
        <w:tc>
          <w:tcPr>
            <w:tcW w:type="dxa" w:w="3202"/>
          </w:tcPr>
          <w:p>
            <w:r>
              <w:rPr>
                <w:sz w:val="18"/>
              </w:rPr>
              <w:t>青志队各部门</w:t>
            </w:r>
          </w:p>
        </w:tc>
        <w:tc>
          <w:tcPr>
            <w:tcW w:type="dxa" w:w="3202"/>
          </w:tcPr>
          <w:p>
            <w:r>
              <w:rPr>
                <w:sz w:val="18"/>
              </w:rPr>
              <w:t>例会、任务及活动按通知参加；记录考勤及工作情况</w:t>
            </w:r>
          </w:p>
        </w:tc>
        <w:tc>
          <w:tcPr>
            <w:tcW w:type="dxa" w:w="3202"/>
          </w:tcPr>
          <w:p>
            <w:r>
              <w:rPr>
                <w:sz w:val="18"/>
              </w:rPr>
              <w:t>原则上至少提前1天；突发情况核实处理</w:t>
            </w:r>
          </w:p>
        </w:tc>
      </w:tr>
    </w:tbl>
    <w:p>
      <w:r>
        <w:br w:type="page"/>
      </w:r>
    </w:p>
    <w:p>
      <w:pPr>
        <w:pStyle w:val="Heading1"/>
      </w:pPr>
      <w:r>
        <w:t>第二编  学院团委部门制度</w:t>
      </w:r>
    </w:p>
    <w:p>
      <w:pPr>
        <w:pStyle w:val="Heading2"/>
      </w:pPr>
      <w:r>
        <w:t>第一章  组织部</w:t>
      </w:r>
    </w:p>
    <w:p>
      <w:r>
        <w:t>一、团务职责与岗位业务分工</w:t>
      </w:r>
    </w:p>
    <w:p>
      <w:r>
        <w:t>（一）部长业务职责</w:t>
      </w:r>
    </w:p>
    <w:p>
      <w:r>
        <w:t>1. 统筹全局工作：全面负责组织部整体工作规划、学期工作计划制定、工作总结撰写，对接上级团委、主席团，落实各项团学工作部署；统筹协调部门团务、团建、评优推优等专项工作，对接团学其他部门完成联合承办活动。</w:t>
      </w:r>
    </w:p>
    <w:p>
      <w:r>
        <w:t>2. 把控工作质量：审核部门所有对外文件、活动方案、考核结果、推优名单等核心材料，排查工作漏洞，纠正工作失误；牵头负责组织部承办的宪法知识竞赛、中国近现代史纲要展演两项重点活动，把控活动整体方向与质量。迎新等大型活动前，统筹前置培训、任务拆解与场地分工，杜绝临场临时分派工作。</w:t>
      </w:r>
    </w:p>
    <w:p>
      <w:r>
        <w:t>4. 对接基层支部：统筹全校（院/系）团支部管理工作，对接各班级团支书，监督各团支部“三会两制一课”、主题团日、团籍管理等工作落实情况，统筹支部量化考核、评优评先工作；在团学大型活动中做好人员协调、配合支援。</w:t>
      </w:r>
    </w:p>
    <w:p>
      <w:r>
        <w:t>（二）副部长业务职责</w:t>
      </w:r>
    </w:p>
    <w:p>
      <w:r>
        <w:t>1. 协助统筹工作：协助部长落实各项工作部署，分管团籍管理、团费收缴、团日活动、推优入党等专项板块工作，细化工作流程，跟进工作进度；协助筹备组织部承办的大型活动，落实活动具体执行环节。迎新、大型活动开展前必须参加前置业务与分工培训，提前熟悉场地、人员分工、岗位职责。</w:t>
      </w:r>
    </w:p>
    <w:p>
      <w:r>
        <w:t>3. 落实专项工作：牵头组织青马工程学员选拔、团支部量化考核、优秀团员团干评选等专项工作；整理归档各类团务资料，完善部门工作台账；配合其他部门完成团学联合活动任务。</w:t>
      </w:r>
    </w:p>
    <w:p>
      <w:r>
        <w:t>（三）干事业务职责</w:t>
      </w:r>
    </w:p>
    <w:p>
      <w:r>
        <w:t>1. 落实基础团务：严格按照工作要求，完成团员信息录入、团籍转接、团费统计收缴、团员档案整理归档等基础性工作，保证信息真实、数据准确、资料完整。</w:t>
      </w:r>
    </w:p>
    <w:p>
      <w:r>
        <w:t>2. 配合专项活动：协助部长、副部长开展主题团日、“三会两制一课”督导、推优入党、青马选拔、支部考核、评优评先等各项工作；参与宪法知识竞赛、中国近现代史纲要展演的活动筹备、现场执行、材料整理；积极支援团学其他部门的协同活动；认真参加活动前期培训，明确自身岗位任务。</w:t>
      </w:r>
    </w:p>
    <w:p>
      <w:r>
        <w:t>3. 做好沟通对接：对接各班团支书，及时传达团委及部门工作通知，收集团支部工作材料，解答基层团务基础问题，反馈基层工作难点。</w:t>
      </w:r>
    </w:p>
    <w:p>
      <w:r>
        <w:t>二、宪法知识竞赛、纲要展演工作流程</w:t>
      </w:r>
    </w:p>
    <w:p>
      <w:r>
        <w:t>&gt; 参考上一学年时间节点：宪法知识竞赛参考12月开展；中国近现代史纲要展演参考第二学期6月开展。以上为历史参考时间，实际以本学期团委通知为准。</w:t>
      </w:r>
    </w:p>
    <w:p>
      <w:r>
        <w:t>1. 前期筹备：接到活动任务后成立专项工作小组，确定总负责人、文案组、宣传对接组、现场执行组；撰写完整活动方案，明确活动主题、流程、分工、物资、时间节点，部长审核后上报团委审批；联合合作社团/部门（如法学社）做好对接沟通。活动开展前组织全员专项培训，下发书面分工表，明确场地点位、岗位职责、应急处置，禁止到达现场再临时分配任务。</w:t>
      </w:r>
    </w:p>
    <w:p>
      <w:r>
        <w:t>2. 宣传报名阶段：发布活动通知与宣传物料，开放报名渠道；收集报名信息，做好信息登记与资格审核，建立参赛人员台账。</w:t>
      </w:r>
    </w:p>
    <w:p>
      <w:r>
        <w:t>3. 活动落地执行：提前完成场地申请、物资准备、人员分工；活动当天工作人员提前到场布置，落实签到、现场秩序维护、摄影记录、计分统分等工作；及时处置现场突发状况。</w:t>
      </w:r>
    </w:p>
    <w:p>
      <w:r>
        <w:t>4. 赛后收尾复盘：活动结束后清理场地；24小时内完成活动总结、素材整理、新闻材料报送；归档全套活动资料；部门例会开展复盘，总结问题，形成经验留存。</w:t>
      </w:r>
    </w:p>
    <w:p>
      <w:r>
        <w:t>三、支部指导与业务台账</w:t>
      </w:r>
    </w:p>
    <w:p>
      <w:r>
        <w:t>2. 完善台账归档体系：设立专人专项负责资料归档，实行“一事一档、一月一整理”制度，团务、承办活动、协同活动资料分别归类存档；同步更新电子、纸质双台账，定期核查资料完整性，杜绝资料遗漏；活动培训记录、分工表一并归入对应活动档案。</w:t>
      </w:r>
    </w:p>
    <w:p>
      <w:r>
        <w:t>4. 细化基层督导工作：实行干事分组包班制度，一对一对接团支部，不仅核查工作结果，全程指导活动开展、材料撰写，对不合格的工作要求限期整改，全程跟进落实，杜绝形式化工作；做好校级各类团委活动的支部动员。</w:t>
      </w:r>
    </w:p>
    <w:p>
      <w:r>
        <w:t>周例会、活动前培训与分工、跨部门协作、日常纪律及交接按照总则执行。</w:t>
      </w:r>
    </w:p>
    <w:p>
      <w:pPr>
        <w:pStyle w:val="Heading2"/>
      </w:pPr>
      <w:r>
        <w:t>第二章  宣传部</w:t>
      </w:r>
    </w:p>
    <w:p>
      <w:r>
        <w:t>一、宣传业务与审稿分工</w:t>
      </w:r>
    </w:p>
    <w:p>
      <w:r>
        <w:t>（一）部长业务职责</w:t>
      </w:r>
    </w:p>
    <w:p>
      <w:r>
        <w:t>1.统筹全局工作：全面负责宣传部整体工作规划，统筹部门推文、新闻稿、海报制作等全部宣传业务；对接指导老师，确认宣传选题，确定推文制作任务，排布推文发布时间表；对接团学其他部门，配合完成联合活动宣传工作。</w:t>
      </w:r>
    </w:p>
    <w:p>
      <w:r>
        <w:t>2.把控工作质量：审核副部长提交的推文、新闻稿等各类文稿材料，严格把控内容质量；落实部门例会组织工作，收集汇总部门写稿、排版、海报制作等各类工作问题，定期组织部门业务培训会，针对性解决工作痛点。</w:t>
      </w:r>
    </w:p>
    <w:p>
      <w:r>
        <w:t>4.对外工作统筹：对接各部门活动宣传需求，合理分配拍照、撰稿、海报制作任务，统筹各类活动宣传全流程，保障宣传产出按时保质完成。</w:t>
      </w:r>
    </w:p>
    <w:p>
      <w:r>
        <w:t>（二）副部长业务职责</w:t>
      </w:r>
    </w:p>
    <w:p>
      <w:r>
        <w:t>1.协助统筹工作：协助部长落实部门各项宣传工作，跟进推文、新闻稿、海报的制作进度；接收干事提交的文稿、海报素材，完成初审校对后提交部长进行终审；自身承担撰稿、活动现场拍照、海报制作等实际业务工作。</w:t>
      </w:r>
    </w:p>
    <w:p>
      <w:r>
        <w:t>2.负责培训与日常管理：牵头开展新生干事业务培训，围绕写稿、推文排版、拍照、海报制作开展实操教学；按时参与部门例会、业务培训会，做好部门内部信息上传下达。</w:t>
      </w:r>
    </w:p>
    <w:p>
      <w:r>
        <w:t>3.落实专项宣传任务：配合各类活动开展现场宣传记录，跟进活动推文、新闻稿从初稿、校对到终稿的全流程，整理留存推文、新闻稿、海报、活动照片等宣传素材资料，做好部门宣传资料归档。</w:t>
      </w:r>
    </w:p>
    <w:p>
      <w:r>
        <w:t>4.对接干事工作：分配干事撰稿、现场拍照、海报制作等工作任务，指导干事开展宣传业务，指出干事文稿、排版、制图中存在的问题，帮助干事提升业务能力，工作中遇到疑难问题及时向部长汇报。</w:t>
      </w:r>
    </w:p>
    <w:p>
      <w:r>
        <w:t>（三）干事业务职责</w:t>
      </w:r>
    </w:p>
    <w:p>
      <w:r>
        <w:t>2.积极参与部门学习：按时参加部门例会与业务培训会，认真学习推文撰写、排版、摄影、海报制作相关技能，总结自身工作问题，根据反馈修改文稿与作品，不断提升宣传业务水平。</w:t>
      </w:r>
    </w:p>
    <w:p>
      <w:r>
        <w:t>3.做好工作沟通反馈：接收部长、副部长下达的工作任务，有困难或疑问及时向上反馈；按要求提交初稿、校对凭证、终稿等相关材料，服从部门工作分工。</w:t>
      </w:r>
    </w:p>
    <w:p>
      <w:r>
        <w:t>4.配合协同宣传工作：配合团学其他部门开展联合活动的宣传工作，完成分配的拍照、撰稿、制图任务；妥善保存自己产出的照片、文稿、海报素材，配合部门完成资料归档。</w:t>
      </w:r>
    </w:p>
    <w:p>
      <w:r>
        <w:t>二、选题、交稿、校对和归档流程</w:t>
      </w:r>
    </w:p>
    <w:p>
      <w:r>
        <w:t>1.前期任务分配：部长对接老师确定宣传选题，排布推文发布时间表；部长、副部长根据活动情况分配撰稿、拍照、海报制作任务。</w:t>
      </w:r>
    </w:p>
    <w:p>
      <w:r>
        <w:t>2.初稿及校对环节：干事完成推文、新闻稿初稿，完成校对并留存校对凭证，提交给副部长；副部长初审后连同初稿、校对凭证一并交由部长审核；根据审核意见反复修改，直至部长确认无误。</w:t>
      </w:r>
    </w:p>
    <w:p>
      <w:r>
        <w:t>3.产出终稿交付：推文终稿需在发布当日下午六点前提交部长；新闻稿需在活动当天提交终稿。</w:t>
      </w:r>
    </w:p>
    <w:p>
      <w:r>
        <w:t>4.素材归档：推文、新闻稿发布完成后，将校对凭证、终稿、现场照片、海报等全套素材统一上传至群文件。</w:t>
      </w:r>
    </w:p>
    <w:p>
      <w:r>
        <w:t>三、对接其他部门的宣传任务</w:t>
      </w:r>
    </w:p>
    <w:p>
      <w:r>
        <w:t>1.收到协同宣传需求后，部长与副部明确本次宣传任务、时间节点，分配拍照、撰稿、海报制作工作，交代工作要求。</w:t>
      </w:r>
    </w:p>
    <w:p>
      <w:r>
        <w:t>2.承接任务的干事按照分工完成现场拍摄、文稿撰写、制图等工作，遇到问题及时向副部长、部长反馈，不得无故拖延。</w:t>
      </w:r>
    </w:p>
    <w:p>
      <w:r>
        <w:t>3.任务完成后提交全部宣传产出，相关素材统一归入宣传部档案。</w:t>
      </w:r>
    </w:p>
    <w:p>
      <w:r>
        <w:t>例会频次及共同纪律见总则。宣传部专项奖励标准见第五编第一表，按部门报送原文保留，不另改分值。</w:t>
      </w:r>
    </w:p>
    <w:p>
      <w:pPr>
        <w:pStyle w:val="Heading2"/>
      </w:pPr>
      <w:r>
        <w:t>第三章  实践部</w:t>
      </w:r>
    </w:p>
    <w:p>
      <w:r>
        <w:t>一、业务范围及专项分工</w:t>
      </w:r>
    </w:p>
    <w:p>
      <w:r>
        <w:t>围绕学院社会实践、志愿服务、科创赛事培育、基层团务实践四大核心模块，明确部门干部、干事权责边界，做到分工清晰、责任到人、协同高效。</w:t>
      </w:r>
    </w:p>
    <w:p>
      <w:r>
        <w:t>（一）部长业务职责</w:t>
      </w:r>
    </w:p>
    <w:p>
      <w:r>
        <w:t>1. 统筹部门全局：负责部门学期工作计划制定与工作总结撰写，对接学院团委老师与校团委实践部，落实各项团学工作部署。统筹寒暑假“三下乡”社会实践、学院志愿服务管理、“挑战杯”“互联网+”等科创赛事院内培育、校外实践基地对接等重点工作，配合学院其他团学部门完成联合活动。</w:t>
      </w:r>
    </w:p>
    <w:p>
      <w:r>
        <w:t>2. 把控工作质量：审核部门对外报送的实践立项材料、志愿时长认证名单、赛事申报材料、部门工作文件等核心资料，排查工作漏洞，纠正工作偏差。迎新、实践出征等大型活动前，牵头完成人员培训、任务拆解与分工，严禁现场临时派活。</w:t>
      </w:r>
    </w:p>
    <w:p>
      <w:r>
        <w:t>4. 对接基层与校级：对接各班级团支书，督促班级层面实践、志愿工作落地；对接校团委实践部，跟进校级工作要求，报送学院各类材料；大型团学活动中统筹部门人力做好支援配合。</w:t>
      </w:r>
    </w:p>
    <w:p>
      <w:r>
        <w:t>（二）副部长业务职责</w:t>
      </w:r>
    </w:p>
    <w:p>
      <w:r>
        <w:t>1. 协助业务统筹：协助部长落实各项工作，实行板块分工制，分别分管社会实践、志愿服务、科创赛事、基层团务工作，细化工作流程，跟进任务进度。参与部门各类活动筹备，落实具体执行环节。迎新及大型活动必须参加前置培训，提前熟悉分工与岗位职责。</w:t>
      </w:r>
    </w:p>
    <w:p>
      <w:r>
        <w:t>3. 落实专项工作：牵头组织三下乡队伍申报遴选、志愿项目培育与时长复核、科创赛事院内动员与材料初审、实践成果整理汇总；建立部门工作台账，分类归档各类资料；配合完成跨部门协同任务。</w:t>
      </w:r>
    </w:p>
    <w:p>
      <w:r>
        <w:t>（三）干事业务职责</w:t>
      </w:r>
    </w:p>
    <w:p>
      <w:r>
        <w:t>1. 完成基础业务：按要求完成三下乡材料收集、志愿活动信息登记、志愿时长初步录入、科创赛事报名统计、实践资料归档等基础性工作，确保数据真实、材料完整。</w:t>
      </w:r>
    </w:p>
    <w:p>
      <w:r>
        <w:t>2. 配合活动开展：协助干部完成社会实践立项结项、志愿活动落地、赛事答疑、成果报送等工作；参与迎新等大型活动筹备与执行；主动配合跨部门协同任务，参加活动前置培训，明确自身岗位。</w:t>
      </w:r>
    </w:p>
    <w:p>
      <w:r>
        <w:t>3. 做好基层对接：对接各班团支书，及时传达通知，收集班级材料，解答基础问题，反馈基层难点；对接学院实践队伍、志愿队伍，做好通知传达与过程跟进。</w:t>
      </w:r>
    </w:p>
    <w:p>
      <w:r>
        <w:t>二、“三下乡”社会实践流程</w:t>
      </w:r>
    </w:p>
    <w:p>
      <w:r>
        <w:t>时间参考：寒假、暑假前启动，具体以校团委通知为准。</w:t>
      </w:r>
    </w:p>
    <w:p>
      <w:r>
        <w:t>1. 动员部署：接到校级通知后，部门内部消化要求，制定学院实施方案，召开班级团支书动员大会，发布申报通知。</w:t>
      </w:r>
    </w:p>
    <w:p>
      <w:r>
        <w:t>2. 申报立项：收集班级、团队申报材料，组织院内初审，确定立项队伍，上报校团委。</w:t>
      </w:r>
    </w:p>
    <w:p>
      <w:r>
        <w:t>3. 过程跟进：实践期间跟进各队伍动态，做好安全提醒，收集中期素材，督促队伍按计划开展实践。</w:t>
      </w:r>
    </w:p>
    <w:p>
      <w:r>
        <w:t>4. 结项评优：收集实践总结、调研报告、成果材料，组织院内结项评审，推荐优秀队伍、优秀个人参评校级表彰，整理归档全部材料。</w:t>
      </w:r>
    </w:p>
    <w:p>
      <w:r>
        <w:t>三、志愿服务项目流程</w:t>
      </w:r>
    </w:p>
    <w:p>
      <w:r>
        <w:t>1. 项目培育：孵化学院特色志愿服务项目，指导班级、志愿队伍申报志愿活动。</w:t>
      </w:r>
    </w:p>
    <w:p>
      <w:r>
        <w:t>2. 活动开展：审核志愿活动方案，监督活动开展过程，核实活动真实性与参与人数。</w:t>
      </w:r>
    </w:p>
    <w:p>
      <w:r>
        <w:t>3. 时长认证：收集志愿活动记录表，干事初审、副部长复审，统一录入志愿时长系统，公示无异议后完成认证。</w:t>
      </w:r>
    </w:p>
    <w:p>
      <w:r>
        <w:t>4. 档案留存：每期志愿活动方案、签到表、现场照片、时长明细统一归档，建立学院志愿工作台账。</w:t>
      </w:r>
    </w:p>
    <w:p>
      <w:r>
        <w:t>四、科创赛事流程</w:t>
      </w:r>
    </w:p>
    <w:p>
      <w:r>
        <w:t>学院层面不举办线下赛事，核心为宣传动员、院内培育、材料初审、推荐上报。</w:t>
      </w:r>
    </w:p>
    <w:p>
      <w:r>
        <w:t>1. 宣传动员：接到校级赛事通知后，通过团支书、班级群、公众号多渠道发布赛事信息，开展院内宣讲动员，解答参赛疑问。</w:t>
      </w:r>
    </w:p>
    <w:p>
      <w:r>
        <w:t>2. 院内培育：组建院内参赛队伍库，对重点项目进行跟踪指导，组织院内模拟评审，打磨参赛材料。</w:t>
      </w:r>
    </w:p>
    <w:p>
      <w:r>
        <w:t>3. 材料初审：收集参赛作品与申报材料，组织院内初审，筛选优秀项目，按名额推荐上报校团委。</w:t>
      </w:r>
    </w:p>
    <w:p>
      <w:r>
        <w:t>4. 跟进服务：跟进校级赛事进度，及时传达通知，协助参赛团队完成材料修改、校级报送等后续工作，赛后整理获奖成果并归档。</w:t>
      </w:r>
    </w:p>
    <w:p>
      <w:r>
        <w:t>五、活动收尾要求</w:t>
      </w:r>
    </w:p>
    <w:p>
      <w:r>
        <w:t>3. 活动收尾：活动结束及时清理场地、清点物资；24小时内完成活动总结、素材整理与材料归档。志愿活动完成时长核算，社会实践完成成果收集，赛事完成材料报送。</w:t>
      </w:r>
    </w:p>
    <w:p>
      <w:r>
        <w:t>每周例会、跨部门协作、前置培训、纪律、台账和复盘统一执行总则。</w:t>
      </w:r>
    </w:p>
    <w:p>
      <w:r>
        <w:br w:type="page"/>
      </w:r>
    </w:p>
    <w:p>
      <w:pPr>
        <w:pStyle w:val="Heading1"/>
      </w:pPr>
      <w:r>
        <w:t>第三编  学院学生会部门制度</w:t>
      </w:r>
    </w:p>
    <w:p>
      <w:pPr>
        <w:pStyle w:val="Heading2"/>
      </w:pPr>
      <w:r>
        <w:t>第四章  办公室</w:t>
      </w:r>
    </w:p>
    <w:p>
      <w:r>
        <w:t>一、部门业务职责</w:t>
      </w:r>
    </w:p>
    <w:p>
      <w:r>
        <w:t>物资采购管理：负责学院团学各类活动的物资统计、预算核对、采购对接，做好物资出入库登记，按需分配活动物资，严控经费，杜绝浪费。</w:t>
      </w:r>
    </w:p>
    <w:p>
      <w:r>
        <w:t>发票报销工作：整理采购票据，核对票据信息，按照报销规范完成报销材料归集、提交，做好账目记录，保证票据完整、账目清晰。</w:t>
      </w:r>
    </w:p>
    <w:p>
      <w:r>
        <w:t>奖状证书制作：承担换届大会、表彰大会等各类活动奖状、证书的信息核对、排版制作，仔细校对姓名、奖项，避免文字错误，按时交付成品。</w:t>
      </w:r>
    </w:p>
    <w:p>
      <w:r>
        <w:t>大型活动承办：牵头组织开展换届大会、团学总结大会暨表彰大会、金融岗位技能大赛；负责活动前期筹备、物资落实、现场后勤保障，配合其他部门完成活动落地。</w:t>
      </w:r>
    </w:p>
    <w:p>
      <w:r>
        <w:t>综合事务：配合团学整体工作安排，完成通知传达、资料整理归档，协助其他部门开展各项团学工作。本部门无下设队伍。</w:t>
      </w:r>
    </w:p>
    <w:p>
      <w:r>
        <w:t>二、业务办理流程（按报送原文保留）</w:t>
      </w:r>
    </w:p>
    <w:p>
      <w:r>
        <w:t>（一）物资采购流程</w:t>
      </w:r>
    </w:p>
    <w:p>
      <w:r>
        <w:t>收到活动物资需求，统计物资清单，初步核算预算；</w:t>
      </w:r>
    </w:p>
    <w:p>
      <w:r>
        <w:t>向负责人确认预算审批，再开展采购；</w:t>
      </w:r>
    </w:p>
    <w:p>
      <w:r>
        <w:t>采购完成，核对物资数量质量，保管好发票小票，登记物资台账；</w:t>
      </w:r>
    </w:p>
    <w:p>
      <w:r>
        <w:t>物资移交活动负责人，剩余物资做好入库保管。</w:t>
      </w:r>
    </w:p>
    <w:p>
      <w:r>
        <w:t>（二）报销流程</w:t>
      </w:r>
    </w:p>
    <w:p>
      <w:r>
        <w:t>报销流程概述：报销分为线上、线下两种采购渠道，需先填写电子经费申请表，严格规范发票抬头、税号、金额、物品用途等信息，纸质发票补充填报相关文字信息，经签字审批，按金额附加对应佐证材料，全部材料核验无误后上交办公室完成报销，全程做好票据留存与账目登记。</w:t>
      </w:r>
    </w:p>
    <w:p>
      <w:r>
        <w:t>收集完整正规票据，核对票据时间、金额、抬头——线上采购需下载电子发票PDF打印纸质版；线下（商业街仅吖滴吖滴和水果店能开发票）采购按学校要求规范开具发票，超市采购上交小票统一开票；</w:t>
      </w:r>
    </w:p>
    <w:p>
      <w:r>
        <w:t>纸质版发票背面正中手写填写</w:t>
      </w:r>
    </w:p>
    <w:p>
      <w:r>
        <w:t>“首次报销”</w:t>
      </w:r>
    </w:p>
    <w:p>
      <w:r>
        <w:t>“采购部门及负责人”</w:t>
      </w:r>
    </w:p>
    <w:p>
      <w:r>
        <w:t>“物品用途”，</w:t>
      </w:r>
    </w:p>
    <w:p>
      <w:r>
        <w:t>物品用途描述须详实，禁止笼统填写礼品；核对发票抬头：江西农业大学南昌商学院，纳税人识别号：12360000775852209K，保证发票金额与实际支付金额一致；</w:t>
      </w:r>
    </w:p>
    <w:p>
      <w:r>
        <w:t>金额超过200元需拍照打印，制作入库单，写明数量金额，打印相关推文随同提交；金额超1000元，额外提供订单截图、支付记录截图一并上交；</w:t>
      </w:r>
    </w:p>
    <w:p>
      <w:r>
        <w:t>按活动整理报销单据，按学校报销要求填写材料，统一交由张博老师完成签字审批；</w:t>
      </w:r>
    </w:p>
    <w:p>
      <w:r>
        <w:t>提交报销至办公室，做好登记记录，跟进报销进度。</w:t>
      </w:r>
    </w:p>
    <w:p>
      <w:r>
        <w:t>（三）奖状制作流程</w:t>
      </w:r>
    </w:p>
    <w:p>
      <w:r>
        <w:t>收集获奖人员名单与奖项信息，双人核对信息，规避错字漏字；</w:t>
      </w:r>
    </w:p>
    <w:p>
      <w:r>
        <w:t>完成奖状排版制作，再次校验内容；</w:t>
      </w:r>
    </w:p>
    <w:p>
      <w:r>
        <w:t>打印制作完成，清点数量，交付对应活动使用。</w:t>
      </w:r>
    </w:p>
    <w:p>
      <w:r>
        <w:t>（四）大型活动流程（换届大会/表彰大会/金融岗位技能大赛）</w:t>
      </w:r>
    </w:p>
    <w:p>
      <w:r>
        <w:t>前期：对接活动需求，确定物资、证书需求，落实采购；</w:t>
      </w:r>
    </w:p>
    <w:p>
      <w:r>
        <w:t>中期：活动现场负责物资分发、后勤保障，处理突发物资问题；</w:t>
      </w:r>
    </w:p>
    <w:p>
      <w:r>
        <w:t>后期：落实奖状制作，剩余物资回收，整理票据，完成后续报销，归档活动资料。</w:t>
      </w:r>
    </w:p>
    <w:p>
      <w:r>
        <w:t>三、采购、报销及证书质量要求</w:t>
      </w:r>
    </w:p>
    <w:p>
      <w:r>
        <w:t>对待采购、报销、奖状制作严谨细心，票据妥善保管，杜绝账目出错，奖状等信息数据反复核对，减少失误。</w:t>
      </w:r>
    </w:p>
    <w:p>
      <w:r>
        <w:t>经费物资恪守原则，公私分明，不挪用物资经费。</w:t>
      </w:r>
    </w:p>
    <w:p>
      <w:r>
        <w:t>部门例会、工作反馈、日常协作及复盘不重复列写，统一执行总则。</w:t>
      </w:r>
    </w:p>
    <w:p>
      <w:pPr>
        <w:pStyle w:val="Heading2"/>
      </w:pPr>
      <w:r>
        <w:t>第五章  学习部</w:t>
      </w:r>
    </w:p>
    <w:p>
      <w:pPr>
        <w:pStyle w:val="Heading2"/>
      </w:pPr>
      <w:r>
        <w:t>一、岗位职责</w:t>
      </w:r>
    </w:p>
    <w:p>
      <w:r>
        <w:t>（一）部长：统筹学风建设、查课专项方案和学期计划，管理部门分工与例会；对接老师，审核、汇总和报送考勤数据，协调课堂出勤问题，组织学术讲座、朋辈帮扶及专业赛事，监督工作质量和纪律。</w:t>
      </w:r>
    </w:p>
    <w:p>
      <w:r>
        <w:t>（二）副部长：负责排班、调班和临时缺岗协调，收集查课登记表，统计周、月度考勤及任课教师被抽查次数，核查并归档原始资料；做好例会记录和定期汇报，协助活动，部长不在岗时处理相关事务。</w:t>
      </w:r>
    </w:p>
    <w:p>
      <w:r>
        <w:t>（三）干事：按排班查课，现场清点人数，如实登记迟到、缺勤及异常情况，按时提交登记表并向副部长反馈；参与学术讲座、朋辈帮扶、专业赛事和部门例会，完成分配任务。</w:t>
      </w:r>
    </w:p>
    <w:p>
      <w:pPr>
        <w:pStyle w:val="Heading2"/>
      </w:pPr>
      <w:r>
        <w:t>二、查课工作流程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1）查课安排：排课小组内，每周轮流当三个年级小组长，负责查课安排表，小组长做好查课表后，及时转发到群聊里面供其他干事参考。</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临近查课时，查课干事需要在上课前至少20分钟，在学委群里面提醒学委查课消息，言辞要有礼貌。（参考模板：请xxxx班学委核对xxx节《xxxxx》课程到课情况@学委（查24、25级可以加上学长/学姐收到请回复））该班学委也需要在群里及时回复“收到”。</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default"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注意事项：</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①要注意查课安排表的重命名问题（例：24级10月份第七周查课安排）</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②需要格外注意表格格式的规范性，安排表要按照查课干事、班级、课程名称、老师姓名、教室地点为表头（统一模板）</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③合理安排组员的查课时间，让学习与工作互不耽误</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④做完查课安排表后，需要细心核对，认真检查</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⑤当组员遇到突发情况时需尽快解决（eg.某一组员遇到临时补课，又与查课时间相冲突，组长需要立即与其他组员沟通，解决该情况）</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⑥尽量不要一直查同一个老师的课（有些老师的课如钟利民，吕飞老师不查）</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⑦查课同学尽量调换，不要一直查同一班级（不能自己查自己班）</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⑧安排查课次数安排尽量合理，干事查课每周至少两次，每次两名干事一起查。</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⑨英语，大课，体育，选修课，AW奇数不查</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b/>
          <w:bCs/>
          <w:sz w:val="21"/>
          <w:szCs w:val="21"/>
          <w:lang w:val="en-US" w:eastAsia="zh-CN"/>
        </w:rPr>
        <w:t>⑩一个班查课三周两次，查同一班级至少隔三天</w:t>
      </w:r>
      <w:r>
        <w:rPr>
          <w:rFonts w:hint="eastAsia" w:ascii="仿宋_GB2312" w:hAnsi="仿宋_GB2312" w:eastAsia="仿宋_GB2312" w:cs="仿宋_GB2312"/>
          <w:sz w:val="24"/>
          <w:szCs w:val="24"/>
          <w:lang w:val="en-US" w:eastAsia="zh-CN"/>
        </w:rPr>
        <w:cr/>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2）查课方式：</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b/>
          <w:bCs/>
          <w:i/>
          <w:iCs/>
          <w:sz w:val="24"/>
          <w:szCs w:val="24"/>
          <w:lang w:val="en-US" w:eastAsia="zh-CN"/>
        </w:rPr>
      </w:pPr>
      <w:r>
        <w:rPr>
          <w:rFonts w:hint="eastAsia" w:ascii="仿宋_GB2312" w:hAnsi="仿宋_GB2312" w:eastAsia="仿宋_GB2312" w:cs="仿宋_GB2312"/>
          <w:b/>
          <w:bCs/>
          <w:i/>
          <w:iCs/>
          <w:sz w:val="24"/>
          <w:szCs w:val="24"/>
          <w:lang w:val="en-US" w:eastAsia="zh-CN"/>
        </w:rPr>
        <w:t>一、学委点名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1、查课前</w:t>
      </w:r>
    </w:p>
    <w:p>
      <w:pPr>
        <w:keepNext w:val="0"/>
        <w:keepLines w:val="0"/>
        <w:pageBreakBefore w:val="0"/>
        <w:widowControl w:val="0"/>
        <w:kinsoku/>
        <w:wordWrap/>
        <w:overflowPunct/>
        <w:topLinePunct w:val="0"/>
        <w:autoSpaceDE/>
        <w:autoSpaceDN/>
        <w:bidi w:val="0"/>
        <w:adjustRightInd/>
        <w:snapToGrid/>
        <w:spacing w:line="440" w:lineRule="exact"/>
        <w:ind w:firstLine="420" w:firstLineChars="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查课干事需佩戴工作牌、带笔和所查班级花名册提前抵达教室，与班级学委和老师完成对接。一是明确学委需至讲台开展点名工作，二是协调学委向授课教师确认本节课是否允许查课及学习部到场清点人数。</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default"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注意事项：</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①查课干事需提前熟悉名单、班级人数以及查课流程，可以将查课术语写在名单空白处，以免慌张；</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②查课前不能在班级附近流荡，防止他们通风报信；</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b/>
          <w:bCs/>
          <w:sz w:val="21"/>
          <w:szCs w:val="21"/>
          <w:lang w:val="en-US" w:eastAsia="zh-CN"/>
        </w:rPr>
        <w:t>③提前3-5分钟到教室门口，查看教室门口的课表，确认班级课程是否正确</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2、查课中（铃响进门先敲门）：</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（1）人员分工：两名查课干事分别驻守前门与后门。前门干事需对照班级名单，核对学委点名结果；后门干事同步统计教室内实际人数（多班上课也只要确认总数）。</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（2）特殊沟通：若教师询问是否需使用话筒，需简洁说明“当前采用学委点名、学习部清点人数的模式，无需话筒”。</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（3）数据核验：以班级名单为核心依据，若实际人数超出名单人数，需及时向学委核实，避免因非本班人员随堂导致统计偏差。</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4）收尾：查课结束后，前门干事需向教师及班级同学致以“打扰了”等礼貌用语，再有序离开教室。如若学委一直未在学委群中反映该课程的到课情况，要及时在当天联系该学委，督促学委及时反馈出勤情况。</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3、查课后：</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（1）信息确认：发现缺勤情况时，需与学委同步核对，明确缺勤人员姓名并在班级门口复核一下出勤人数，请假旷课的情况。</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微软雅黑" w:hAnsi="微软雅黑" w:eastAsia="微软雅黑" w:cs="微软雅黑"/>
          <w:sz w:val="28"/>
          <w:u w:color="auto"/>
          <w:lang w:val="en-US" w:eastAsia="zh-CN"/>
        </w:rPr>
      </w:pPr>
      <w:r>
        <w:rPr>
          <w:rFonts w:hint="eastAsia" w:ascii="仿宋_GB2312" w:hAnsi="仿宋_GB2312" w:eastAsia="仿宋_GB2312" w:cs="仿宋_GB2312"/>
          <w:sz w:val="24"/>
          <w:szCs w:val="24"/>
          <w:lang w:val="en-US" w:eastAsia="zh-CN"/>
        </w:rPr>
        <w:t>（2）分类处理：若缺勤原因是临时如厕等课前突发状况，需在教室门口等候5分钟，如若还没有来，及时联系学委该同学的出勤情况；若为旷课或已请假，需准确记录相关信息，并提醒学委在一周内完成假条上传。</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b/>
          <w:bCs/>
          <w:i/>
          <w:iCs/>
          <w:sz w:val="24"/>
          <w:szCs w:val="24"/>
          <w:lang w:val="en-US" w:eastAsia="zh-CN"/>
        </w:rPr>
      </w:pPr>
      <w:bookmarkStart w:id="0" w:name="_Toc721"/>
      <w:bookmarkStart w:id="1" w:name="_Toc9647"/>
      <w:r>
        <w:rPr>
          <w:rFonts w:hint="eastAsia" w:ascii="仿宋_GB2312" w:hAnsi="仿宋_GB2312" w:eastAsia="仿宋_GB2312" w:cs="仿宋_GB2312"/>
          <w:b/>
          <w:bCs/>
          <w:i/>
          <w:iCs/>
          <w:sz w:val="24"/>
          <w:szCs w:val="24"/>
          <w:lang w:val="en-US" w:eastAsia="zh-CN"/>
        </w:rPr>
        <w:t>二、干事抽查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1、查课前</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（1）事先做好查课安排（注意：把需要查课的名单上的难以确定名字的读音，提前标注好或者念顺）</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（2）上课前3-5分钟和查课搭档来到查课教室前，一名查课人员进去教室并询问老师是否可以进行查课。</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注意事项:</w:t>
      </w:r>
    </w:p>
    <w:p>
      <w:pPr>
        <w:keepNext w:val="0"/>
        <w:keepLines w:val="0"/>
        <w:pageBreakBefore w:val="0"/>
        <w:widowControl w:val="0"/>
        <w:kinsoku/>
        <w:wordWrap/>
        <w:overflowPunct/>
        <w:topLinePunct w:val="0"/>
        <w:autoSpaceDE/>
        <w:autoSpaceDN/>
        <w:bidi w:val="0"/>
        <w:adjustRightInd/>
        <w:snapToGrid/>
        <w:spacing w:line="440" w:lineRule="exact"/>
        <w:ind w:firstLine="843" w:firstLineChars="4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①不要过早地待在查课教室前，以免被察觉。（上课前5分钟到教室门口即可）</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 xml:space="preserve">    ②来到查课教室前再核对一遍课程名及上课班级等信息是否正确。(尤其是第一次查那节课)。</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b/>
          <w:bCs/>
          <w:sz w:val="21"/>
          <w:szCs w:val="21"/>
          <w:lang w:val="en-US" w:eastAsia="zh-CN"/>
        </w:rPr>
        <w:t xml:space="preserve">    ③一般来说，老师都会同意上课后进行查课，如果老师不希望查课人员查这节课，那就取消计划不查了。</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2、查课中</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（1）上课铃响之后，敲门进去查课教室，礼貌地向老师借取话筒以后回到讲台进行查课工作。</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（2）在开始念名单查课之前，要先说:“同学们/学长学姐们(同一年级/高年级)不好意思打扰了，学习部查课请念到名字的同学举手示意并答到，谢谢！”方可进行查课。</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（3）查课念名单时，如遇念到名字未到的同学用记号笔于名单未到人员处先划“×”暂记录为旷课，如遇请假则划“⚪”。全部名字念完之后须再确认一遍未到名单，若此时未到人员已到则将标记擦去。</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（4）未到名单确认完毕以后将查课情况报告给任课老师记录。老师记录完毕以后，查课人员走至讲台说:“不好意思打扰了！”，鞠躬之后有序离开教室并轻关门。</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注意事项:①如果念到某个人名字时，有人在台下说"马上就来"，"上厕所"或者其他开玩笑之类的话，一律先记录为旷课，之后再确认未到名单即可。</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 xml:space="preserve">        ②如遇请假，先询问一下是否有请假条。如有请假条则请学委将该同学假条发至学习部及学委交流群。如果没有假条或者有人说假条候补，也将情况记录为请假(假条未看到)。记号记为一个圈加一横。</w:t>
      </w:r>
    </w:p>
    <w:p>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rPr>
          <w:rFonts w:hint="eastAsia"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 xml:space="preserve">        ③如果在查课过程中发现代到的或者疑似代到的，此时可令该人员举手示意。如果该人员不再举手，则记被代到人员旷课并对代到人员说出:"请不要代到。"以警告代到人员。如果该人员继续举手并且为本人则继续念下一个名字，如若确认非本人或者疑似非本人则对其说:"请把学号完整报一遍。"如若该人员不能流利地或者不能报出学号，则记被代到人员旷课并对代到人员说出:"请不要代到。"以警告代到人员。如若是本人则对其致以歉意说声"不好意思"。</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3、查课后</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（1）信息确认：发现缺勤情况时，需与学委同步核对，明确缺勤人员姓名并在班级门口复核一下出勤人数，请假旷课的情况。</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微软雅黑" w:hAnsi="微软雅黑" w:eastAsia="微软雅黑" w:cs="微软雅黑"/>
          <w:sz w:val="28"/>
          <w:u w:color="auto"/>
          <w:lang w:val="en-US" w:eastAsia="zh-CN"/>
        </w:rPr>
      </w:pPr>
      <w:r>
        <w:rPr>
          <w:rFonts w:hint="eastAsia" w:ascii="仿宋_GB2312" w:hAnsi="仿宋_GB2312" w:eastAsia="仿宋_GB2312" w:cs="仿宋_GB2312"/>
          <w:sz w:val="24"/>
          <w:szCs w:val="24"/>
          <w:lang w:val="en-US" w:eastAsia="zh-CN"/>
        </w:rPr>
        <w:t>（2）分类处理：若缺勤原因是临时如厕等课前突发状况，需在教室门口等候5分钟，如若还没有来，及时联系学委该同学的出勤情况；若为旷课或已请假，需准确记录相关信息，并提醒学委在</w:t>
      </w:r>
      <w:r>
        <w:rPr>
          <w:rFonts w:hint="eastAsia" w:ascii="仿宋_GB2312" w:hAnsi="仿宋_GB2312" w:eastAsia="仿宋_GB2312" w:cs="仿宋_GB2312"/>
          <w:b/>
          <w:bCs/>
          <w:sz w:val="24"/>
          <w:szCs w:val="24"/>
          <w:lang w:val="en-US" w:eastAsia="zh-CN"/>
        </w:rPr>
        <w:t>一周内</w:t>
      </w:r>
      <w:r>
        <w:rPr>
          <w:rFonts w:hint="eastAsia" w:ascii="仿宋_GB2312" w:hAnsi="仿宋_GB2312" w:eastAsia="仿宋_GB2312" w:cs="仿宋_GB2312"/>
          <w:sz w:val="24"/>
          <w:szCs w:val="24"/>
          <w:lang w:val="en-US" w:eastAsia="zh-CN"/>
        </w:rPr>
        <w:t>完成假条上传。</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3）旷课处理办法：</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惩罚扣分</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上课迟到扣0.5操行分/次，旷课扣1操行分/学时。</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违纪处分</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旷课者，视其情节给予以下处分：</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一学期连续旷课5学时或累计旷课10学时者，给予警告处分。</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一学期连续旷课6⁓10学时或累计旷课11⁓20学时者，给予严重警告处分。</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一学期连续旷课11⁓20学时或累计旷课21⁓30学时者，给予记过处分。</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一学期连续旷课超过20学时或累计旷课超过30学时者，给予留校察看处分。</w:t>
      </w:r>
    </w:p>
    <w:p>
      <w:pPr>
        <w:pStyle w:val="Heading2"/>
      </w:pPr>
      <w:r>
        <w:t>三、例会管理及荣誉称号评选工作</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例会管理：</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每三周一次的周三18：15开会（无特殊情况不得缺席）</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b w:val="0"/>
          <w:bCs w:val="0"/>
          <w:color w:val="auto"/>
          <w:kern w:val="2"/>
          <w:sz w:val="24"/>
          <w:szCs w:val="24"/>
          <w:lang w:val="en-US" w:eastAsia="zh-CN" w:bidi="ar-SA"/>
        </w:rPr>
      </w:pPr>
      <w:r>
        <w:rPr>
          <w:rFonts w:hint="eastAsia" w:ascii="仿宋_GB2312" w:hAnsi="仿宋_GB2312" w:eastAsia="仿宋_GB2312" w:cs="仿宋_GB2312"/>
          <w:b w:val="0"/>
          <w:bCs w:val="0"/>
          <w:color w:val="auto"/>
          <w:kern w:val="2"/>
          <w:sz w:val="24"/>
          <w:szCs w:val="24"/>
          <w:lang w:val="en-US" w:eastAsia="zh-CN" w:bidi="ar-SA"/>
        </w:rPr>
        <w:t>荣誉称号评选工作：（未定）</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仿宋_GB2312" w:hAnsi="仿宋_GB2312" w:eastAsia="仿宋_GB2312" w:cs="仿宋_GB2312"/>
          <w:b w:val="0"/>
          <w:bCs w:val="0"/>
          <w:color w:val="auto"/>
          <w:kern w:val="2"/>
          <w:sz w:val="24"/>
          <w:szCs w:val="24"/>
          <w:lang w:val="en-US" w:eastAsia="zh-CN" w:bidi="ar-SA"/>
        </w:rPr>
      </w:pPr>
      <w:bookmarkStart w:id="2" w:name="_Toc129977478"/>
      <w:bookmarkStart w:id="3" w:name="_Toc21413"/>
      <w:bookmarkStart w:id="4" w:name="_Toc326"/>
      <w:r>
        <w:rPr>
          <w:rFonts w:hint="eastAsia" w:ascii="仿宋_GB2312" w:hAnsi="仿宋_GB2312" w:eastAsia="仿宋_GB2312" w:cs="仿宋_GB2312"/>
          <w:b w:val="0"/>
          <w:bCs w:val="0"/>
          <w:color w:val="auto"/>
          <w:kern w:val="2"/>
          <w:sz w:val="24"/>
          <w:szCs w:val="24"/>
          <w:lang w:val="en-US" w:eastAsia="zh-CN" w:bidi="ar-SA"/>
        </w:rPr>
        <w:t>（一）荣誉称号类别</w:t>
      </w:r>
      <w:bookmarkEnd w:id="2"/>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b w:val="0"/>
          <w:bCs w:val="0"/>
          <w:color w:val="auto"/>
          <w:kern w:val="2"/>
          <w:sz w:val="24"/>
          <w:szCs w:val="24"/>
          <w:lang w:val="en-US" w:eastAsia="zh-CN" w:bidi="ar-SA"/>
        </w:rPr>
        <w:t>三好学生、</w:t>
      </w:r>
      <w:r>
        <w:rPr>
          <w:rFonts w:hint="eastAsia" w:ascii="仿宋_GB2312" w:hAnsi="仿宋_GB2312" w:eastAsia="仿宋_GB2312" w:cs="仿宋_GB2312"/>
          <w:sz w:val="24"/>
          <w:szCs w:val="24"/>
        </w:rPr>
        <w:t>优秀学生干部、优秀毕业生、优秀学生标兵、创新创业标兵、公益服务标兵、自强之星、优秀寝室、优秀班集体。（9种）</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szCs w:val="24"/>
        </w:rPr>
      </w:pPr>
      <w:bookmarkStart w:id="5" w:name="_Toc129977479"/>
      <w:bookmarkStart w:id="6" w:name="_Toc26685"/>
      <w:r>
        <w:rPr>
          <w:rFonts w:hint="eastAsia" w:ascii="仿宋_GB2312" w:hAnsi="仿宋_GB2312" w:eastAsia="仿宋_GB2312" w:cs="仿宋_GB2312"/>
          <w:sz w:val="24"/>
          <w:szCs w:val="24"/>
        </w:rPr>
        <w:t>（二）评选比例和名额（根据文件要求首先算好名额）</w:t>
      </w:r>
      <w:bookmarkEnd w:id="5"/>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1、院级三好学生的评选比例不超过学生人数的3%；系级三好学生的评选比例不超过学生人数的7%。</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2、院级优秀学生干部的评选比例不超过学生干部人数的5%；系级优秀学生干部的评选比例不超过学生干部人数的10%。</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3、优秀毕业生评选名额：不超过毕业生总数的10%。</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4、优秀学生标兵评选名额：每学年评选不超过10名。</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5、创新创业标兵评选名额：每学年评选不超过10名。</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6、公益服务标兵评选名额：每学年评选不超过10名。</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7、自强之星评选名额：每学年评选不超过10名。</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8、优秀寝室评选名额：不超过全院寝室总数的6%。</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9、优秀班集体评选名额：学生班级总数的10%。</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szCs w:val="24"/>
        </w:rPr>
      </w:pPr>
      <w:bookmarkStart w:id="7" w:name="_Toc129977480"/>
      <w:bookmarkStart w:id="8" w:name="_Toc29072"/>
      <w:r>
        <w:rPr>
          <w:rFonts w:hint="eastAsia" w:ascii="仿宋_GB2312" w:hAnsi="仿宋_GB2312" w:eastAsia="仿宋_GB2312" w:cs="仿宋_GB2312"/>
          <w:sz w:val="24"/>
          <w:szCs w:val="24"/>
        </w:rPr>
        <w:t>（三）评选条件和程序</w:t>
      </w:r>
      <w:bookmarkEnd w:id="7"/>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1、参评基本条件</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（1）坚持四项基本原则，具有正确的政治方向，热爱社会主义祖国，拥护中国共产党的领导，遵纪守法，有良好的道德修养。</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（2）在校期间未受任何违纪处分，且每学期操行成绩不低于80分（优秀班集体评选除外）。</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（3）本学年未出现课程不及格现象（优秀班集体评选除外）。</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2、评选程序</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学生自主申请，各系组织评选，按比例推荐，报院学生工作领导小组审定。</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3、具体评选条件</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三好学生</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（1）学习目的明确，学习刻苦，有钻研精神和独立思考、分析、解决问题的能力。</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（2）有良好的生活习惯，积极参加体育锻炼，达到国家体育锻炼合格标准。</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（3）在本学年内均获二等及以上专业奖学金；参评院级三好学生至少获得一次一等奖学金。</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（4）能认真完成院(系)布置的工作。</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t>优秀学生干部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（1）在院系学生组织中担任职务的学生、社团主要负责人、新生辅导员助理、班委委员及学生工作</w:t>
      </w:r>
      <w:r>
        <w:rPr>
          <w:rFonts w:hint="eastAsia" w:ascii="仿宋_GB2312" w:hAnsi="仿宋_GB2312" w:eastAsia="仿宋_GB2312" w:cs="仿宋_GB2312"/>
          <w:sz w:val="24"/>
          <w:szCs w:val="24"/>
          <w:lang w:val="en-US" w:eastAsia="zh-CN"/>
        </w:rPr>
        <w:t>处</w:t>
      </w:r>
      <w:r>
        <w:rPr>
          <w:rFonts w:hint="eastAsia" w:ascii="仿宋_GB2312" w:hAnsi="仿宋_GB2312" w:eastAsia="仿宋_GB2312" w:cs="仿宋_GB2312"/>
          <w:sz w:val="24"/>
          <w:szCs w:val="24"/>
        </w:rPr>
        <w:t>认定的其他学生组织的主要学生干部。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（2）学习成绩良好，院级优秀学生干部在本学年获两次专业奖学金；系级优秀学生干部在本学年获一次专业奖学金。</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（3）担任学生干部工作不少于一年，工作认真负责，较好地发挥学生干部的模范带头作用，赢得广大学生的信任与支持。</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（4）有良好的生活习惯，积极参加体育锻炼，达到国家体育锻炼合格标准。</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lang w:val="en-US" w:eastAsia="zh-CN"/>
        </w:rPr>
        <w:t>3）</w:t>
      </w:r>
      <w:r>
        <w:rPr>
          <w:rFonts w:hint="eastAsia" w:ascii="仿宋_GB2312" w:hAnsi="仿宋_GB2312" w:eastAsia="仿宋_GB2312" w:cs="仿宋_GB2312"/>
          <w:sz w:val="24"/>
          <w:szCs w:val="24"/>
        </w:rPr>
        <w:t>优秀毕业生</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（1）具有毕业资格和学位授予资格。</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（2）在校期间获得</w:t>
      </w: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rPr>
        <w:t>次专业奖学金。</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（3）在校期间获得</w:t>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t>次院级及以上个人荣誉。</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（4）在校期间获得院级及以上竞赛奖励不低于三等奖。</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rPr>
        <w:t>优秀学生标兵</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（1）积极帮助身边学习困难、生活困难、就业困难的学生。</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（2）获得院级三好学生称号。</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（3）代表学院参加校外各项活动或竞赛，取得较好成绩。</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（4）获得国家奖学金或国家励志奖学金者优先。</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rPr>
        <w:t>创新创业标兵</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（1）思想政治素质过硬，学习成绩优良，综合测评成绩位列同年级同专业前50%。</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（2）在科技创新、自主创业等方面有突出的事迹或成就，且在学院范围内有较大影响。</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公益服务标兵</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（1）拥护中国共产党领导，积极践行社会主义核心价值观，大力弘扬“奉献、友爱、互助、进步”的志愿精神，有强烈的社会责任感。</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（2）在江西志愿服务网正式注册，志愿服务时间不少于</w:t>
      </w: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年</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业绩突出，服务成效显著，做出积极贡献</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具有良好的社会影响。</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（3）积极参加各项公益活动，参与志愿团队工作决策，协调社会资源，在团队志愿服务过程中发挥重要作用。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（4）在组织活动中，无安全事故及影响团队荣誉事件发生。</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lang w:val="en-US" w:eastAsia="zh-CN"/>
        </w:rPr>
        <w:t>7）</w:t>
      </w:r>
      <w:r>
        <w:rPr>
          <w:rFonts w:hint="eastAsia" w:ascii="仿宋_GB2312" w:hAnsi="仿宋_GB2312" w:eastAsia="仿宋_GB2312" w:cs="仿宋_GB2312"/>
          <w:sz w:val="24"/>
          <w:szCs w:val="24"/>
        </w:rPr>
        <w:t>自强之星</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（1）具有良好的思想政治素质，学业成绩优良，品行端正，乐观向上。</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（2）综合测评成绩位列同年级同专业前30%。</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（3）树立远大理想，虽然身处逆境，但自强不息、顽强拼搏、勇于进取。</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（4）有较长时间的勤工俭学经历，在经济上追求自助，或在压力、挫折和困难面前表现出顽强的毅力，事迹突出。</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lang w:val="en-US" w:eastAsia="zh-CN"/>
        </w:rPr>
        <w:t>8）</w:t>
      </w:r>
      <w:r>
        <w:rPr>
          <w:rFonts w:hint="eastAsia" w:ascii="仿宋_GB2312" w:hAnsi="仿宋_GB2312" w:eastAsia="仿宋_GB2312" w:cs="仿宋_GB2312"/>
          <w:sz w:val="24"/>
          <w:szCs w:val="24"/>
        </w:rPr>
        <w:t>优秀寝室</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（1）寝室成员互帮互助，关系和谐。</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（2）寝室内学习风气浓厚，寝室所有成员在上一学年综合测评成绩在同年级同专业前50%。</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（3）寝室成员积极参加学习、科技、社会实践等活动取得一定成绩或在院系学生组织承担较多工作，表现较好。</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（4）在寝室文明创建、寝室卫生评比中有较好表现。</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lang w:val="en-US" w:eastAsia="zh-CN"/>
        </w:rPr>
        <w:t>9）</w:t>
      </w:r>
      <w:r>
        <w:rPr>
          <w:rFonts w:hint="eastAsia" w:ascii="仿宋_GB2312" w:hAnsi="仿宋_GB2312" w:eastAsia="仿宋_GB2312" w:cs="仿宋_GB2312"/>
          <w:sz w:val="24"/>
          <w:szCs w:val="24"/>
        </w:rPr>
        <w:t>优秀班集体</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（1）政治觉悟高。政治上要求上进，拥护党的路线、方针、政策，自觉遵守学院各项规章制度，一学年内没有学生受处分，两学期平均操行成绩均不低于75分，在社会主义精神文明建设中成绩显著。</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（2）学习氛围浓。学生学习努力刻苦，互帮互助，在注重课程学习的同时，积极开展第二课堂和社会实践活动，全班两学期考试通过率均高于90%，且未有学生留级。</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3）班委建设好。班委会干部积极上进，出色完成辅导员交办的各项任务，主动配合院系各项工作，在学生中具有较高威信；积极参加校内外社会实践活动；积极开展健康向上、丰富多彩的课外活动，集体和个人在院系组织的各项活动中成绩突出；认真执行《大学生体育合格标准实施办法》，全班学生国家体育锻炼标准达标率在95%以上。</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4"/>
        </w:rPr>
      </w:pPr>
      <w:r>
        <w:rPr>
          <w:rFonts w:hint="eastAsia" w:ascii="仿宋_GB2312" w:hAnsi="仿宋_GB2312" w:eastAsia="仿宋_GB2312" w:cs="仿宋_GB2312"/>
          <w:sz w:val="24"/>
          <w:szCs w:val="24"/>
        </w:rPr>
        <w:t>（4）班级活动精。班级举办的活动能结合专业学习，有利于增强班级凝聚力，提高学生对专业学习的兴趣，提升班级在院系的影响力。</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4"/>
          <w:szCs w:val="24"/>
        </w:rPr>
        <w:t>4、注意：荣誉评选各荣誉称号申请表格式要求。</w:t>
      </w:r>
    </w:p>
    <w:p>
      <w:pPr>
        <w:pStyle w:val="Heading2"/>
      </w:pPr>
      <w:r>
        <w:t>四、活动及比赛开展</w:t>
      </w:r>
    </w:p>
    <w:p>
      <w:r>
        <w:t>活动前制定方案、人员分工、应急预案，明确流程、物资和时间；活动中认真履职、服从统筹、主动补位，不消极敷衍或擅自离岗。活动后复盘问题、梳理人员工作情况。</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在活动结束后及时完成复盘，关于此次活动的一些纰漏，要及时做好总结以及人员工作情况进行梳理。完成“六要素”的整理，即比赛通知的红头文件（word+pdf）、比赛策划书、比赛工作总结、推文或新闻稿（链接/jpg)、比赛照片、获奖名单、</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国贸精英挑战赛</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lang w:val="en-US" w:eastAsia="zh-CN"/>
        </w:rPr>
      </w:pPr>
      <w:r>
        <w:rPr>
          <w:rFonts w:hint="eastAsia" w:ascii="仿宋_GB2312" w:hAnsi="仿宋_GB2312" w:eastAsia="仿宋_GB2312" w:cs="仿宋_GB2312"/>
          <w:sz w:val="24"/>
          <w:szCs w:val="24"/>
        </w:rPr>
        <w:t>（一）</w:t>
      </w:r>
      <w:r>
        <w:rPr>
          <w:rFonts w:hint="eastAsia" w:ascii="仿宋_GB2312" w:hAnsi="仿宋_GB2312" w:eastAsia="仿宋_GB2312" w:cs="仿宋_GB2312"/>
          <w:sz w:val="24"/>
          <w:szCs w:val="24"/>
          <w:lang w:val="en-US" w:eastAsia="zh-CN"/>
        </w:rPr>
        <w:t>初赛工作</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lang w:val="en-US" w:eastAsia="zh-CN"/>
        </w:rPr>
        <w:t>初赛前期</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（1）做好通知工作，通过学委群发放通知</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（2）确定参赛团队，收集报名表（每支队伍3-5人）</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2、初赛中期</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（1）统一发布考试题库，参赛选手自行学习</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（2）组织所有参赛选手进行闭卷考试</w:t>
      </w:r>
    </w:p>
    <w:p>
      <w:pPr>
        <w:keepNext w:val="0"/>
        <w:keepLines w:val="0"/>
        <w:pageBreakBefore w:val="0"/>
        <w:widowControl w:val="0"/>
        <w:tabs>
          <w:tab w:val="left" w:pos="4830"/>
        </w:tabs>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3</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初赛后期</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（1）以每组平均成绩排名，取前六名进入决赛</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lang w:val="en-US" w:eastAsia="zh-CN"/>
        </w:rPr>
      </w:pPr>
      <w:r>
        <w:rPr>
          <w:rFonts w:hint="eastAsia" w:ascii="仿宋_GB2312" w:hAnsi="仿宋_GB2312" w:eastAsia="仿宋_GB2312" w:cs="仿宋_GB2312"/>
          <w:sz w:val="24"/>
          <w:szCs w:val="24"/>
        </w:rPr>
        <w:t>（3）</w:t>
      </w:r>
      <w:r>
        <w:rPr>
          <w:rFonts w:hint="eastAsia" w:ascii="仿宋_GB2312" w:hAnsi="仿宋_GB2312" w:eastAsia="仿宋_GB2312" w:cs="仿宋_GB2312"/>
          <w:sz w:val="24"/>
          <w:szCs w:val="24"/>
          <w:lang w:val="en-US" w:eastAsia="zh-CN"/>
        </w:rPr>
        <w:t>制作复赛入围名单，并通过学委转发至各班群。</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二</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决赛工作</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1、决赛前期</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lang w:val="en-US" w:eastAsia="zh-CN"/>
        </w:rPr>
        <w:t>做好观赛通知工作（通过学委群）。</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lang w:val="en-US" w:eastAsia="zh-CN"/>
        </w:rPr>
      </w:pP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建立决赛选手联络群。</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lang w:val="en-US" w:eastAsia="zh-CN"/>
        </w:rPr>
      </w:pP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3</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收集决赛团队作品PPT、音频、视频。</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借好一彩二彩三彩及比赛教室，发布彩排及正式比赛时间通知。</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与老师确定评委、嘉宾名单并发出邀请函。</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6</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联系文艺部邀请主持人、礼仪，审核主持稿。</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（7）建立工作群，对工作人员进行分组。</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（8）确定团队上场顺序（抽签）。</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（9）设置中场环节小游戏，开场、中场以及颁奖背景音乐。</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（10）提前购买国贸精英挑战赛所需物资，做好采购物品预算表。</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（11）联系办公室制作奖状。</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（12）发布第二课堂活动，征集观众。</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决赛中期工作</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现场布置（包括海报等装饰及评委席所需摆放的相关物品）。</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检查多媒体是否正常使用（选手PPT、音频、视频、话筒等）。</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确认主持人（检查活动流程）、礼仪人员（引导评委就坐）、参赛人员、机动人员（叫场、递话筒等机动人员）、统分人员、负责观众签到签退人员、宣传部拍照摄影人员以及维持秩序人员是否到位。</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主持人上台致辞、介绍本次大赛的内容、以及介绍到场各评委、嘉宾、介绍评分规则、串词、各参赛选手按照顺序进行</w:t>
      </w:r>
      <w:r>
        <w:rPr>
          <w:rFonts w:hint="eastAsia" w:ascii="仿宋_GB2312" w:hAnsi="仿宋_GB2312" w:eastAsia="仿宋_GB2312" w:cs="仿宋_GB2312"/>
          <w:sz w:val="24"/>
          <w:szCs w:val="24"/>
          <w:lang w:val="en-US" w:eastAsia="zh-CN"/>
        </w:rPr>
        <w:t>演讲并答辩</w:t>
      </w:r>
      <w:r>
        <w:rPr>
          <w:rFonts w:hint="eastAsia" w:ascii="仿宋_GB2312" w:hAnsi="仿宋_GB2312" w:eastAsia="仿宋_GB2312" w:cs="仿宋_GB2312"/>
          <w:sz w:val="24"/>
          <w:szCs w:val="24"/>
        </w:rPr>
        <w:t>，主持人每</w:t>
      </w:r>
      <w:r>
        <w:rPr>
          <w:rFonts w:hint="eastAsia" w:ascii="仿宋_GB2312" w:hAnsi="仿宋_GB2312" w:eastAsia="仿宋_GB2312" w:cs="仿宋_GB2312"/>
          <w:sz w:val="24"/>
          <w:szCs w:val="24"/>
          <w:lang w:val="en-US" w:eastAsia="zh-CN"/>
        </w:rPr>
        <w:t>三</w:t>
      </w:r>
      <w:r>
        <w:rPr>
          <w:rFonts w:hint="eastAsia" w:ascii="仿宋_GB2312" w:hAnsi="仿宋_GB2312" w:eastAsia="仿宋_GB2312" w:cs="仿宋_GB2312"/>
          <w:sz w:val="24"/>
          <w:szCs w:val="24"/>
        </w:rPr>
        <w:t>组公布一次分数。</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评委点评，统分组出分。</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主持人公布名次，颁奖并合影留念。</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主持人念闭幕词，邀请所有参赛选手及评委、嘉宾合影留念。</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决赛后期工作</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活动结束后清理场地。</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回收奖状并盖章。</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安排礼仪送评委及嘉宾离场。</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讨论活动的不足与问题，及时改进。</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总结材料，编写汇编。</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二、数字经济大赛</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lang w:val="en-US" w:eastAsia="zh-CN"/>
        </w:rPr>
      </w:pPr>
      <w:r>
        <w:rPr>
          <w:rFonts w:hint="eastAsia" w:ascii="仿宋_GB2312" w:hAnsi="仿宋_GB2312" w:eastAsia="仿宋_GB2312" w:cs="仿宋_GB2312"/>
          <w:sz w:val="24"/>
          <w:szCs w:val="24"/>
        </w:rPr>
        <w:t>（一）</w:t>
      </w:r>
      <w:r>
        <w:rPr>
          <w:rFonts w:hint="eastAsia" w:ascii="仿宋_GB2312" w:hAnsi="仿宋_GB2312" w:eastAsia="仿宋_GB2312" w:cs="仿宋_GB2312"/>
          <w:sz w:val="24"/>
          <w:szCs w:val="24"/>
          <w:lang w:val="en-US" w:eastAsia="zh-CN"/>
        </w:rPr>
        <w:t>初赛工作</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lang w:val="en-US" w:eastAsia="zh-CN"/>
        </w:rPr>
        <w:t>初赛前期</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（1）做好通知工作，通过学委群发放通知以及微信公众号推文宣传。</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（2）确定参赛团队，收集报名表（每支队伍2-4人）</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2、初赛中期</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（1）解答选手疑惑，帮助他们更好地完成作品。</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（2）检查进度，督促各队伍按时上交初赛作品。</w:t>
      </w:r>
    </w:p>
    <w:p>
      <w:pPr>
        <w:keepNext w:val="0"/>
        <w:keepLines w:val="0"/>
        <w:pageBreakBefore w:val="0"/>
        <w:widowControl w:val="0"/>
        <w:tabs>
          <w:tab w:val="left" w:pos="4830"/>
        </w:tabs>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lang w:eastAsia="zh-CN"/>
        </w:rPr>
      </w:pPr>
      <w:r>
        <w:rPr>
          <w:rFonts w:hint="eastAsia" w:ascii="仿宋_GB2312" w:hAnsi="仿宋_GB2312" w:eastAsia="仿宋_GB2312" w:cs="仿宋_GB2312"/>
          <w:sz w:val="24"/>
          <w:szCs w:val="24"/>
          <w:lang w:val="en-US" w:eastAsia="zh-CN"/>
        </w:rPr>
        <w:t>3</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初赛后期</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lang w:val="en-US" w:eastAsia="zh-CN"/>
        </w:rPr>
      </w:pP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lang w:val="en-US" w:eastAsia="zh-CN"/>
        </w:rPr>
        <w:t>收齐所有团队初赛作品。</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w:t>
      </w:r>
      <w:r>
        <w:rPr>
          <w:rFonts w:hint="eastAsia" w:ascii="仿宋_GB2312" w:hAnsi="仿宋_GB2312" w:eastAsia="仿宋_GB2312" w:cs="仿宋_GB2312"/>
          <w:sz w:val="24"/>
          <w:szCs w:val="24"/>
          <w:lang w:val="en-US" w:eastAsia="zh-CN"/>
        </w:rPr>
        <w:t>联系共同审稿人员，选出10份进入复赛。</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lang w:val="en-US" w:eastAsia="zh-CN"/>
        </w:rPr>
      </w:pPr>
      <w:r>
        <w:rPr>
          <w:rFonts w:hint="eastAsia" w:ascii="仿宋_GB2312" w:hAnsi="仿宋_GB2312" w:eastAsia="仿宋_GB2312" w:cs="仿宋_GB2312"/>
          <w:sz w:val="24"/>
          <w:szCs w:val="24"/>
        </w:rPr>
        <w:t>（3）</w:t>
      </w:r>
      <w:r>
        <w:rPr>
          <w:rFonts w:hint="eastAsia" w:ascii="仿宋_GB2312" w:hAnsi="仿宋_GB2312" w:eastAsia="仿宋_GB2312" w:cs="仿宋_GB2312"/>
          <w:sz w:val="24"/>
          <w:szCs w:val="24"/>
          <w:lang w:val="en-US" w:eastAsia="zh-CN"/>
        </w:rPr>
        <w:t>制作复赛入围名单，并通过学委转发至各班群。</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二</w:t>
      </w:r>
      <w:r>
        <w:rPr>
          <w:rFonts w:hint="eastAsia" w:ascii="仿宋_GB2312" w:hAnsi="仿宋_GB2312" w:eastAsia="仿宋_GB2312" w:cs="仿宋_GB2312"/>
          <w:sz w:val="24"/>
          <w:szCs w:val="24"/>
        </w:rPr>
        <w:t>）</w:t>
      </w:r>
      <w:r>
        <w:rPr>
          <w:rFonts w:hint="eastAsia" w:ascii="仿宋_GB2312" w:hAnsi="仿宋_GB2312" w:eastAsia="仿宋_GB2312" w:cs="仿宋_GB2312"/>
          <w:sz w:val="24"/>
          <w:szCs w:val="24"/>
          <w:lang w:val="en-US" w:eastAsia="zh-CN"/>
        </w:rPr>
        <w:t>决赛工作</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1、决赛前期工作</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lang w:val="en-US" w:eastAsia="zh-CN"/>
        </w:rPr>
      </w:pP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lang w:val="en-US" w:eastAsia="zh-CN"/>
        </w:rPr>
        <w:t>做好观赛通知工作（通过学委群）。</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lang w:val="en-US" w:eastAsia="zh-CN"/>
        </w:rPr>
      </w:pPr>
      <w:r>
        <w:rPr>
          <w:rFonts w:hint="eastAsia" w:ascii="仿宋_GB2312" w:hAnsi="仿宋_GB2312" w:eastAsia="仿宋_GB2312" w:cs="仿宋_GB2312"/>
          <w:sz w:val="24"/>
          <w:szCs w:val="24"/>
        </w:rPr>
        <w:t>（3）</w:t>
      </w:r>
      <w:r>
        <w:rPr>
          <w:rFonts w:hint="eastAsia" w:ascii="仿宋_GB2312" w:hAnsi="仿宋_GB2312" w:eastAsia="仿宋_GB2312" w:cs="仿宋_GB2312"/>
          <w:sz w:val="24"/>
          <w:szCs w:val="24"/>
          <w:lang w:val="en-US" w:eastAsia="zh-CN"/>
        </w:rPr>
        <w:t>建立决赛选手联络群。</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lang w:val="en-US" w:eastAsia="zh-CN"/>
        </w:rPr>
      </w:pPr>
      <w:r>
        <w:rPr>
          <w:rFonts w:hint="eastAsia" w:ascii="仿宋_GB2312" w:hAnsi="仿宋_GB2312" w:eastAsia="仿宋_GB2312" w:cs="仿宋_GB2312"/>
          <w:sz w:val="24"/>
          <w:szCs w:val="24"/>
        </w:rPr>
        <w:t>（4）</w:t>
      </w:r>
      <w:r>
        <w:rPr>
          <w:rFonts w:hint="eastAsia" w:ascii="仿宋_GB2312" w:hAnsi="仿宋_GB2312" w:eastAsia="仿宋_GB2312" w:cs="仿宋_GB2312"/>
          <w:sz w:val="24"/>
          <w:szCs w:val="24"/>
          <w:lang w:val="en-US" w:eastAsia="zh-CN"/>
        </w:rPr>
        <w:t>收集决赛团队学术论文（一式三份）、PPT、音频、视频。</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（5）</w:t>
      </w:r>
      <w:r>
        <w:rPr>
          <w:rFonts w:hint="eastAsia" w:ascii="仿宋_GB2312" w:hAnsi="仿宋_GB2312" w:eastAsia="仿宋_GB2312" w:cs="仿宋_GB2312"/>
          <w:sz w:val="24"/>
          <w:szCs w:val="24"/>
          <w:lang w:val="en-US" w:eastAsia="zh-CN"/>
        </w:rPr>
        <w:t>借好一彩二彩及比赛教室，发布彩排及正式比赛时间通知。</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（6）</w:t>
      </w:r>
      <w:r>
        <w:rPr>
          <w:rFonts w:hint="eastAsia" w:ascii="仿宋_GB2312" w:hAnsi="仿宋_GB2312" w:eastAsia="仿宋_GB2312" w:cs="仿宋_GB2312"/>
          <w:sz w:val="24"/>
          <w:szCs w:val="24"/>
          <w:lang w:val="en-US" w:eastAsia="zh-CN"/>
        </w:rPr>
        <w:t>与老师确定评委、嘉宾名单并发出邀请函。</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（7）</w:t>
      </w:r>
      <w:r>
        <w:rPr>
          <w:rFonts w:hint="eastAsia" w:ascii="仿宋_GB2312" w:hAnsi="仿宋_GB2312" w:eastAsia="仿宋_GB2312" w:cs="仿宋_GB2312"/>
          <w:sz w:val="24"/>
          <w:szCs w:val="24"/>
          <w:lang w:val="en-US" w:eastAsia="zh-CN"/>
        </w:rPr>
        <w:t>联系文艺部邀请主持人、礼仪，审核主持稿。</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（8）建立工作群，对工作人员进行分组。</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（9）确定团队上场顺序（抽签）。</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（10）设置中场环节小游戏，开场、中场以及颁奖背景音乐。</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（11）提前购买数字经济大赛所需物资，做好采购物品预算表。</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（12）联系办公室制作奖状。</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（13）发布第二课堂活动，征集观众。</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决赛中期工作</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现场布置（包括海报等装饰及评委席所需摆放的相关物品）。</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检查多媒体是否正常使用（选手PPT、音频、视频、话筒等）。</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确认主持人（检查活动流程）、礼仪人员（引导评委就坐）、参赛人员、机动人员（叫场、递话筒等机动人员）、统分人员、负责观众签到签退人员、宣传部拍照摄影人员以及维持秩序人员是否到位。</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主持人上台致辞、介绍本次大赛的内容、以及介绍到场各评委、嘉宾、介绍评分规则、串词、各参赛选手按照顺序进行</w:t>
      </w:r>
      <w:r>
        <w:rPr>
          <w:rFonts w:hint="eastAsia" w:ascii="仿宋_GB2312" w:hAnsi="仿宋_GB2312" w:eastAsia="仿宋_GB2312" w:cs="仿宋_GB2312"/>
          <w:sz w:val="24"/>
          <w:szCs w:val="24"/>
          <w:lang w:val="en-US" w:eastAsia="zh-CN"/>
        </w:rPr>
        <w:t>演讲并答辩</w:t>
      </w:r>
      <w:r>
        <w:rPr>
          <w:rFonts w:hint="eastAsia" w:ascii="仿宋_GB2312" w:hAnsi="仿宋_GB2312" w:eastAsia="仿宋_GB2312" w:cs="仿宋_GB2312"/>
          <w:sz w:val="24"/>
          <w:szCs w:val="24"/>
        </w:rPr>
        <w:t>，主持人每</w:t>
      </w:r>
      <w:r>
        <w:rPr>
          <w:rFonts w:hint="eastAsia" w:ascii="仿宋_GB2312" w:hAnsi="仿宋_GB2312" w:eastAsia="仿宋_GB2312" w:cs="仿宋_GB2312"/>
          <w:sz w:val="24"/>
          <w:szCs w:val="24"/>
          <w:lang w:val="en-US" w:eastAsia="zh-CN"/>
        </w:rPr>
        <w:t>五</w:t>
      </w:r>
      <w:r>
        <w:rPr>
          <w:rFonts w:hint="eastAsia" w:ascii="仿宋_GB2312" w:hAnsi="仿宋_GB2312" w:eastAsia="仿宋_GB2312" w:cs="仿宋_GB2312"/>
          <w:sz w:val="24"/>
          <w:szCs w:val="24"/>
        </w:rPr>
        <w:t>组公布一次分数。</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评委点评，统分组出分。</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主持人公布名次，颁奖并合影留念。</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主持人念闭幕词，邀请所有参赛选手及评委、嘉宾合影留念。</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决赛后期工作</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活动结束后清理场地。</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回收奖状并盖章。</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安排礼仪送评委及嘉宾离场。</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讨论活动的不足与问题，及时改进。</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总结材料，编写汇编。</w:t>
      </w:r>
    </w:p>
    <w:p>
      <w:pPr>
        <w:pStyle w:val="Heading2"/>
      </w:pPr>
      <w:r>
        <w:t>五、纪律要求</w:t>
      </w:r>
    </w:p>
    <w:p>
      <w:r>
        <w:t>1、认真负责、服从安排，按时保质完成查课、汇总、材料审核和活动协助等任务，不拖延、敷衍、推诿；活动中准时到岗、坚守岗位，服从调度，不嬉戏打闹或擅自离岗。</w:t>
      </w:r>
    </w:p>
    <w:p>
      <w:r>
        <w:t>2、例会、值班及工作活动按时参加，不无故迟到、早退、缺勤；特殊情况提前向部长或办公室老师报备请假，禁止事后补假、无故缺席。</w:t>
      </w:r>
    </w:p>
    <w:p>
      <w:r>
        <w:t>3、团结协作、以身作则，不消极懈怠、私自对外发布部门信息或滥用干部身份；表现优秀者优先参与评优，屡次违规或影响工作者内部批评教育，情节严重者将被部门强制请离。</w:t>
      </w:r>
    </w:p>
    <w:p>
      <w:pPr>
        <w:pStyle w:val="Heading2"/>
      </w:pPr>
      <w:r>
        <w:t>六、加分激励规定</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t>院级优秀工作者加操行分1分/次</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default" w:ascii="仿宋_GB2312" w:hAnsi="仿宋_GB2312" w:eastAsia="仿宋_GB2312" w:cs="仿宋_GB2312"/>
          <w:sz w:val="24"/>
          <w:szCs w:val="24"/>
          <w:lang w:val="en-US" w:eastAsia="zh-CN"/>
        </w:rPr>
        <w:t>院级比赛及活动工作人员加奖励分</w:t>
      </w:r>
      <w:r>
        <w:rPr>
          <w:rFonts w:hint="eastAsia" w:ascii="仿宋_GB2312" w:hAnsi="仿宋_GB2312" w:eastAsia="仿宋_GB2312" w:cs="仿宋_GB2312"/>
          <w:sz w:val="24"/>
          <w:szCs w:val="24"/>
          <w:lang w:val="en-US" w:eastAsia="zh-CN"/>
        </w:rPr>
        <w:t>，干事</w:t>
      </w:r>
      <w:r>
        <w:rPr>
          <w:rFonts w:hint="default" w:ascii="仿宋_GB2312" w:hAnsi="仿宋_GB2312" w:eastAsia="仿宋_GB2312" w:cs="仿宋_GB2312"/>
          <w:sz w:val="24"/>
          <w:szCs w:val="24"/>
          <w:lang w:val="en-US" w:eastAsia="zh-CN"/>
        </w:rPr>
        <w:t>2分/次</w:t>
      </w:r>
      <w:r>
        <w:rPr>
          <w:rFonts w:hint="eastAsia" w:ascii="仿宋_GB2312" w:hAnsi="仿宋_GB2312" w:eastAsia="仿宋_GB2312" w:cs="仿宋_GB2312"/>
          <w:sz w:val="24"/>
          <w:szCs w:val="24"/>
          <w:lang w:val="en-US" w:eastAsia="zh-CN"/>
        </w:rPr>
        <w:t>，副部及以上4分/次</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大型活动工作人员</w:t>
      </w:r>
      <w:r>
        <w:rPr>
          <w:rFonts w:hint="default" w:ascii="仿宋_GB2312" w:hAnsi="仿宋_GB2312" w:eastAsia="仿宋_GB2312" w:cs="仿宋_GB2312"/>
          <w:sz w:val="24"/>
          <w:szCs w:val="24"/>
          <w:lang w:val="en-US" w:eastAsia="zh-CN"/>
        </w:rPr>
        <w:t>加操行分1分/次</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firstLine="480" w:firstLineChars="200"/>
        <w:textAlignment w:val="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大型活动优秀工作者</w:t>
      </w:r>
      <w:r>
        <w:rPr>
          <w:rFonts w:hint="default" w:ascii="仿宋_GB2312" w:hAnsi="仿宋_GB2312" w:eastAsia="仿宋_GB2312" w:cs="仿宋_GB2312"/>
          <w:sz w:val="24"/>
          <w:szCs w:val="24"/>
          <w:lang w:val="en-US" w:eastAsia="zh-CN"/>
        </w:rPr>
        <w:t>加操行分1分/次</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干事</w:t>
      </w:r>
      <w:r>
        <w:rPr>
          <w:rFonts w:hint="default" w:ascii="仿宋_GB2312" w:hAnsi="仿宋_GB2312" w:eastAsia="仿宋_GB2312" w:cs="仿宋_GB2312"/>
          <w:sz w:val="24"/>
          <w:szCs w:val="24"/>
          <w:lang w:val="en-US" w:eastAsia="zh-CN"/>
        </w:rPr>
        <w:t>查课</w:t>
      </w:r>
      <w:r>
        <w:rPr>
          <w:rFonts w:hint="eastAsia" w:ascii="仿宋_GB2312" w:hAnsi="仿宋_GB2312" w:eastAsia="仿宋_GB2312" w:cs="仿宋_GB2312"/>
          <w:sz w:val="24"/>
          <w:szCs w:val="24"/>
          <w:lang w:val="en-US" w:eastAsia="zh-CN"/>
        </w:rPr>
        <w:t>工作</w:t>
      </w:r>
      <w:r>
        <w:rPr>
          <w:rFonts w:hint="default" w:ascii="仿宋_GB2312" w:hAnsi="仿宋_GB2312" w:eastAsia="仿宋_GB2312" w:cs="仿宋_GB2312"/>
          <w:sz w:val="24"/>
          <w:szCs w:val="24"/>
          <w:lang w:val="en-US" w:eastAsia="zh-CN"/>
        </w:rPr>
        <w:t>加奖励分</w:t>
      </w:r>
      <w:r>
        <w:rPr>
          <w:rFonts w:hint="eastAsia" w:ascii="仿宋_GB2312" w:hAnsi="仿宋_GB2312" w:eastAsia="仿宋_GB2312" w:cs="仿宋_GB2312"/>
          <w:sz w:val="24"/>
          <w:szCs w:val="24"/>
          <w:lang w:val="en-US" w:eastAsia="zh-CN"/>
        </w:rPr>
        <w:t>0.4分/次（现场查课）、0.2分/次（线上查课）</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干事排班工作</w:t>
      </w:r>
      <w:r>
        <w:rPr>
          <w:rFonts w:hint="default" w:ascii="仿宋_GB2312" w:hAnsi="仿宋_GB2312" w:eastAsia="仿宋_GB2312" w:cs="仿宋_GB2312"/>
          <w:sz w:val="24"/>
          <w:szCs w:val="24"/>
          <w:lang w:val="en-US" w:eastAsia="zh-CN"/>
        </w:rPr>
        <w:t>加奖励分</w:t>
      </w:r>
      <w:r>
        <w:rPr>
          <w:rFonts w:hint="eastAsia" w:ascii="仿宋_GB2312" w:hAnsi="仿宋_GB2312" w:eastAsia="仿宋_GB2312" w:cs="仿宋_GB2312"/>
          <w:sz w:val="24"/>
          <w:szCs w:val="24"/>
          <w:lang w:val="en-US" w:eastAsia="zh-CN"/>
        </w:rPr>
        <w:t>0.4分/次</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firstLine="480" w:firstLineChars="200"/>
        <w:textAlignment w:val="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副部长做月度汇总表，每月一次，加奖励分1分/次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仿宋_GB2312" w:hAnsi="仿宋_GB2312" w:eastAsia="仿宋_GB2312" w:cs="仿宋_GB2312"/>
          <w:b/>
          <w:bCs/>
          <w:sz w:val="21"/>
          <w:szCs w:val="21"/>
          <w:lang w:val="en-US" w:eastAsia="zh-CN"/>
        </w:rPr>
      </w:pPr>
      <w:r>
        <w:rPr>
          <w:rFonts w:hint="eastAsia" w:ascii="仿宋_GB2312" w:hAnsi="仿宋_GB2312" w:eastAsia="仿宋_GB2312" w:cs="仿宋_GB2312"/>
          <w:b/>
          <w:bCs/>
          <w:sz w:val="21"/>
          <w:szCs w:val="21"/>
          <w:lang w:val="en-US" w:eastAsia="zh-CN"/>
        </w:rPr>
        <w:t>注意：</w:t>
      </w:r>
      <w:bookmarkStart w:id="9" w:name="_GoBack"/>
      <w:bookmarkEnd w:id="9"/>
      <w:r>
        <w:rPr>
          <w:rFonts w:hint="eastAsia" w:ascii="仿宋_GB2312" w:hAnsi="仿宋_GB2312" w:eastAsia="仿宋_GB2312" w:cs="仿宋_GB2312"/>
          <w:b/>
          <w:bCs/>
          <w:sz w:val="21"/>
          <w:szCs w:val="21"/>
          <w:lang w:val="en-US" w:eastAsia="zh-CN"/>
        </w:rPr>
        <w:t>奖励</w:t>
      </w:r>
      <w:r>
        <w:rPr>
          <w:rFonts w:hint="eastAsia" w:ascii="仿宋_GB2312" w:hAnsi="仿宋_GB2312" w:eastAsia="仿宋_GB2312" w:cs="仿宋_GB2312"/>
          <w:b/>
          <w:bCs/>
          <w:sz w:val="21"/>
          <w:szCs w:val="21"/>
          <w:lang w:val="en-US" w:eastAsia="zh-CN"/>
        </w:rPr>
        <w:t>分的上限为6分</w:t>
      </w:r>
    </w:p>
    <w:p>
      <w:pPr>
        <w:pStyle w:val="Heading2"/>
      </w:pPr>
      <w:r>
        <w:t>第六章  体育部及下属二级体育队伍</w:t>
      </w:r>
    </w:p>
    <w:p>
      <w:r>
        <w:t>学院篮球、排球、足球、羽毛球等体育队伍属于体育部管理的二级队伍。下列训练、早检豁免、请假和经费要求按体育部报送材料列明；涉及学校考勤权限的事项按有权部门批准执行。</w:t>
      </w:r>
    </w:p>
    <w:p>
      <w:r>
        <w:t>一、适用范围与以训代检</w:t>
      </w:r>
    </w:p>
    <w:p>
      <w:r>
        <w:t>本制度适用于数经学院各体育项目在册运动队正式参赛、训练队员，所有体育队早检豁免、训练考勤管理工作均依照本制度执行。</w:t>
      </w:r>
    </w:p>
    <w:p>
      <w:r>
        <w:t>（一）为保障各类校级、院级体育赛事备赛质量，学院实行“以训代检”管理制度。赛事开赛前8周，由各体育队队长统计确定当期正式参赛队员名单，统一整理报备学院体育部，同步申请制作训练公假凭证。</w:t>
      </w:r>
    </w:p>
    <w:p>
      <w:r>
        <w:t>（二）备赛训练期间，队员日常训练时长统一通过“学习通”平台开启专属定位打卡核验，打卡记录作为训练考勤及早检豁免的核心依据。队员仅豁免对应时段训练的早检考核，非训练时段须严格遵守学院早检管理制度，正常参与早检，不得无故缺勤。</w:t>
      </w:r>
    </w:p>
    <w:p>
      <w:r>
        <w:t>备注：以训代检期间如遇特殊活动（如升国旗等）不享受以训代检权益，需正常参与活动。</w:t>
      </w:r>
    </w:p>
    <w:p>
      <w:r>
        <w:t>二、训练请假与违纪处理</w:t>
      </w:r>
    </w:p>
    <w:p>
      <w:r>
        <w:t>（一）队员因伤病、身体不适等特殊原因无法参与专项训练的，须主动提交相关证明等有效佐证材料，完成队内请假备案。</w:t>
      </w:r>
    </w:p>
    <w:p>
      <w:r>
        <w:t>（二）仅患轻微伤病、行动无碍但无法参与高强度训练的队员，不享有早检豁免资格，须正常参与学院统一早检。</w:t>
      </w:r>
    </w:p>
    <w:p>
      <w:r>
        <w:t>（三）队员无故缺席既定训练安排的，统一认定为旷训，违纪后果与日常早检旷检一致，由队内统计汇总后报送学院督导部备案。学年内无故旷训累计达3次及以上者，取消其本学年全院所有体育队早检豁免全部资格。</w:t>
      </w:r>
    </w:p>
    <w:p>
      <w:r>
        <w:t>三、获奖免早检标准</w:t>
      </w:r>
    </w:p>
    <w:p>
      <w:r>
        <w:t>学院体育队队员代表学院参赛并取得相应赛事荣誉的，可依据赛事获奖等级享受相应的早检豁免权益，具体标准如下：</w:t>
      </w:r>
    </w:p>
    <w:p>
      <w:r>
        <w:t>（一）二级学院比赛前三名，免早检2周；</w:t>
      </w:r>
    </w:p>
    <w:p>
      <w:r>
        <w:t>（二）校级赛事第一名，免早检6周；第二、三名，免早检5周；优胜奖，免早检4周。</w:t>
      </w:r>
    </w:p>
    <w:p>
      <w:r>
        <w:t>备注：免早检期间如遇特殊活动（如升国旗等）不享受免早检权益，需正常参与活动。</w:t>
      </w:r>
    </w:p>
    <w:p>
      <w:r>
        <w:t>四、体育队经费申请流程</w:t>
      </w:r>
    </w:p>
    <w:p>
      <w:r>
        <w:t>各体育队伍开展物资采购及赛事相关经费支出，须严格执行“先审批、后采购”原则，具体流程如下：</w:t>
      </w:r>
    </w:p>
    <w:p>
      <w:r>
        <w:t>（一）提交申请：队伍负责人填写经费电子申请表（格式见附件1），报送学院体育部。</w:t>
      </w:r>
    </w:p>
    <w:p>
      <w:r>
        <w:t>（二）审核反馈：由体育部对申请事项、预算进行审核，待审核反馈通过后方可开展采购；未获审批不得自行购置。</w:t>
      </w:r>
    </w:p>
    <w:p>
      <w:r>
        <w:t>（三）物资采购：队伍按照审批内容于主流购物平台完成采购，规范索取正规有效发票。</w:t>
      </w:r>
    </w:p>
    <w:p>
      <w:r>
        <w:t>（四）票据报送：采购完成后，整理归集发票，将完整票据材料提交体育部，按学院财务要求办理报销手续。</w:t>
      </w:r>
    </w:p>
    <w:p>
      <w:r>
        <w:t>备注：严禁先采购后补申请，票据须真实合规，否则不予受理报销。</w:t>
      </w:r>
    </w:p>
    <w:p>
      <w:r>
        <w:t>五、队长责任与纪律</w:t>
      </w:r>
    </w:p>
    <w:p>
      <w:r>
        <w:t>各队队长为本队伍第一责任人，负有监督管理职责。所有体育队队员须严格遵守本制度，规范训练及考勤行为，严禁虚报、瞒报以骗取早检豁免资格；一经发现，取消该队伍当期豁免权益并对本人予以通报批评。</w:t>
      </w:r>
    </w:p>
    <w:p>
      <w:pPr>
        <w:pStyle w:val="Heading2"/>
      </w:pPr>
      <w:r>
        <w:t>第七章  文艺部及所属队伍</w:t>
      </w:r>
    </w:p>
    <w:p>
      <w:r>
        <w:t>一、组织架构及灵活分工</w:t>
      </w:r>
    </w:p>
    <w:p>
      <w:r>
        <w:t>文艺部设部长一名、副部长若干名、干事若干名，统筹管理主持队、舞蹈队、声乐队、礼仪队、辩论队等下设队伍。</w:t>
      </w:r>
    </w:p>
    <w:p>
      <w:r>
        <w:t>部长、副部长及干事不设固定分工。日常事务由部长统筹安排；举办活动时，根据活动需要在活动筹备前临时分配工作、明确各岗位职责。</w:t>
      </w:r>
    </w:p>
    <w:p>
      <w:r>
        <w:t>二、部门与队伍职责边界</w:t>
      </w:r>
    </w:p>
    <w:p>
      <w:r>
        <w:t>部门层面仅负责以下事项，不干预队伍内部管理：</w:t>
      </w:r>
    </w:p>
    <w:p>
      <w:r>
        <w:t>（一）大型活动的整体策划、审批与现场总调度；</w:t>
      </w:r>
    </w:p>
    <w:p>
      <w:r>
        <w:t>（二）跨部门、跨队伍的沟通协调；</w:t>
      </w:r>
    </w:p>
    <w:p>
      <w:r>
        <w:t>（三）队伍负责人的备案确认与学期成果检验。</w:t>
      </w:r>
    </w:p>
    <w:p>
      <w:r>
        <w:t>三、队伍自治与演出对接</w:t>
      </w:r>
    </w:p>
    <w:p>
      <w:r>
        <w:t>各下设队伍实行自行管理，队伍内部的组织建设、训练安排、考勤考核、节目创作、日常事务等均由各队自主决定。文艺部起桥梁作用，负责传达任务、协调资源、搭建展示平台，不干预队伍内部管理。</w:t>
      </w:r>
    </w:p>
    <w:p>
      <w:r>
        <w:t>（一）文艺部举办活动时，向相关队伍下达演出任务，明确节目要求与时间节点。</w:t>
      </w:r>
    </w:p>
    <w:p>
      <w:r>
        <w:t>（二）队伍接到任务后自行确定参演人员与排练计划，按要求参加联排与彩排。</w:t>
      </w:r>
    </w:p>
    <w:p>
      <w:r>
        <w:t>四、文艺活动专属安排</w:t>
      </w:r>
    </w:p>
    <w:p>
      <w:r>
        <w:t>文艺活动按"策划→审批→筹备→执行→复盘"五阶段推进：</w:t>
      </w:r>
    </w:p>
    <w:p>
      <w:r>
        <w:t>（一）策划：活动前二至三周成立策划小组，撰写策划书（含主题、流程、预算、宣传、应急预案等），经部长审核后报上级审批。</w:t>
      </w:r>
    </w:p>
    <w:p>
      <w:r>
        <w:t>（二）分工：审批通过后，召开活动启动会，根据活动需要临时分配部长、副部长、干事的具体工作，明确各岗位职责与时间节点。</w:t>
      </w:r>
    </w:p>
    <w:p>
      <w:r>
        <w:t>（三）筹备：活动前一至两周，各岗位按分工推进工作，每周召开推进会协调进度。</w:t>
      </w:r>
    </w:p>
    <w:p>
      <w:r>
        <w:t>（四）执行：活动当天各岗位按职责履职提前进场准备</w:t>
      </w:r>
    </w:p>
    <w:p>
      <w:r>
        <w:t>（五）复盘：活动后一周内召开复盘会，总结亮点与不足。</w:t>
      </w:r>
    </w:p>
    <w:p>
      <w:r>
        <w:t>（一）所有活动须有策划书经讨论修改。</w:t>
      </w:r>
    </w:p>
    <w:p>
      <w:r>
        <w:t>（二）尽量提出创新点，避免照搬往年方案。</w:t>
      </w:r>
    </w:p>
    <w:p>
      <w:r>
        <w:t>（三）大型活动须组织至少一次全流程彩排，制定详细执行手册与安全预案。</w:t>
      </w:r>
    </w:p>
    <w:p>
      <w:r>
        <w:t>五、声乐队、舞蹈队、礼仪队、主持队的适用办法</w:t>
      </w:r>
    </w:p>
    <w:tbl>
      <w:tblPr>
        <w:tblStyle w:val="TableGrid"/>
        <w:tblW w:type="auto" w:w="0"/>
        <w:tblLook w:firstColumn="1" w:firstRow="1" w:lastColumn="0" w:lastRow="0" w:noHBand="0" w:noVBand="1" w:val="04A0"/>
      </w:tblPr>
      <w:tblGrid>
        <w:gridCol w:w="3202"/>
        <w:gridCol w:w="3202"/>
        <w:gridCol w:w="3202"/>
      </w:tblGrid>
      <w:tr>
        <w:trPr>
          <w:tblHeader/>
          <w:cantSplit/>
        </w:trPr>
        <w:tc>
          <w:tcPr>
            <w:tcW w:type="dxa" w:w="3202"/>
          </w:tcPr>
          <w:p>
            <w:r>
              <w:rPr>
                <w:sz w:val="18"/>
              </w:rPr>
              <w:t>队伍</w:t>
            </w:r>
          </w:p>
        </w:tc>
        <w:tc>
          <w:tcPr>
            <w:tcW w:type="dxa" w:w="3202"/>
          </w:tcPr>
          <w:p>
            <w:r>
              <w:rPr>
                <w:sz w:val="18"/>
              </w:rPr>
              <w:t>已有原文明确的管理范围</w:t>
            </w:r>
          </w:p>
        </w:tc>
        <w:tc>
          <w:tcPr>
            <w:tcW w:type="dxa" w:w="3202"/>
          </w:tcPr>
          <w:p>
            <w:r>
              <w:rPr>
                <w:sz w:val="18"/>
              </w:rPr>
              <w:t>已有计分口径</w:t>
            </w:r>
          </w:p>
        </w:tc>
      </w:tr>
      <w:tr>
        <w:trPr>
          <w:cantSplit/>
        </w:trPr>
        <w:tc>
          <w:tcPr>
            <w:tcW w:type="dxa" w:w="3202"/>
          </w:tcPr>
          <w:p>
            <w:r>
              <w:rPr>
                <w:sz w:val="18"/>
              </w:rPr>
              <w:t>声乐队</w:t>
            </w:r>
          </w:p>
        </w:tc>
        <w:tc>
          <w:tcPr>
            <w:tcW w:type="dxa" w:w="3202"/>
          </w:tcPr>
          <w:p>
            <w:r>
              <w:rPr>
                <w:sz w:val="18"/>
              </w:rPr>
              <w:t>适用队伍自治、负责人备案、队伍自行排练、节目对接、联排和彩排等共同办法</w:t>
            </w:r>
          </w:p>
        </w:tc>
        <w:tc>
          <w:tcPr>
            <w:tcW w:type="dxa" w:w="3202"/>
          </w:tcPr>
          <w:p>
            <w:r>
              <w:rPr>
                <w:sz w:val="18"/>
              </w:rPr>
              <w:t>未提供独立分值，不新增</w:t>
            </w:r>
          </w:p>
        </w:tc>
      </w:tr>
      <w:tr>
        <w:trPr>
          <w:cantSplit/>
        </w:trPr>
        <w:tc>
          <w:tcPr>
            <w:tcW w:type="dxa" w:w="3202"/>
          </w:tcPr>
          <w:p>
            <w:r>
              <w:rPr>
                <w:sz w:val="18"/>
              </w:rPr>
              <w:t>舞蹈队</w:t>
            </w:r>
          </w:p>
        </w:tc>
        <w:tc>
          <w:tcPr>
            <w:tcW w:type="dxa" w:w="3202"/>
          </w:tcPr>
          <w:p>
            <w:r>
              <w:rPr>
                <w:sz w:val="18"/>
              </w:rPr>
              <w:t>同上</w:t>
            </w:r>
          </w:p>
        </w:tc>
        <w:tc>
          <w:tcPr>
            <w:tcW w:type="dxa" w:w="3202"/>
          </w:tcPr>
          <w:p>
            <w:r>
              <w:rPr>
                <w:sz w:val="18"/>
              </w:rPr>
              <w:t>未提供独立分值，不新增</w:t>
            </w:r>
          </w:p>
        </w:tc>
      </w:tr>
      <w:tr>
        <w:trPr>
          <w:cantSplit/>
        </w:trPr>
        <w:tc>
          <w:tcPr>
            <w:tcW w:type="dxa" w:w="3202"/>
          </w:tcPr>
          <w:p>
            <w:r>
              <w:rPr>
                <w:sz w:val="18"/>
              </w:rPr>
              <w:t>礼仪队</w:t>
            </w:r>
          </w:p>
        </w:tc>
        <w:tc>
          <w:tcPr>
            <w:tcW w:type="dxa" w:w="3202"/>
          </w:tcPr>
          <w:p>
            <w:r>
              <w:rPr>
                <w:sz w:val="18"/>
              </w:rPr>
              <w:t>适用队伍自治、任务要求与时间节点对接、人员安排及活动协同</w:t>
            </w:r>
          </w:p>
        </w:tc>
        <w:tc>
          <w:tcPr>
            <w:tcW w:type="dxa" w:w="3202"/>
          </w:tcPr>
          <w:p>
            <w:r>
              <w:rPr>
                <w:sz w:val="18"/>
              </w:rPr>
              <w:t>正式服务1奖励分/次；详见第四表</w:t>
            </w:r>
          </w:p>
        </w:tc>
      </w:tr>
      <w:tr>
        <w:trPr>
          <w:cantSplit/>
        </w:trPr>
        <w:tc>
          <w:tcPr>
            <w:tcW w:type="dxa" w:w="3202"/>
          </w:tcPr>
          <w:p>
            <w:r>
              <w:rPr>
                <w:sz w:val="18"/>
              </w:rPr>
              <w:t>主持队</w:t>
            </w:r>
          </w:p>
        </w:tc>
        <w:tc>
          <w:tcPr>
            <w:tcW w:type="dxa" w:w="3202"/>
          </w:tcPr>
          <w:p>
            <w:r>
              <w:rPr>
                <w:sz w:val="18"/>
              </w:rPr>
              <w:t>适用队伍自治、任务要求与时间节点对接、人员安排及联排彩排</w:t>
            </w:r>
          </w:p>
        </w:tc>
        <w:tc>
          <w:tcPr>
            <w:tcW w:type="dxa" w:w="3202"/>
          </w:tcPr>
          <w:p>
            <w:r>
              <w:rPr>
                <w:sz w:val="18"/>
              </w:rPr>
              <w:t>正式主持3奖励分/次；详见第四表</w:t>
            </w:r>
          </w:p>
        </w:tc>
      </w:tr>
    </w:tbl>
    <w:p>
      <w:r>
        <w:t>四支队伍按本章已有自治与任务对接办法执行，队伍内部专属办法另行报备。辩论队等原件已列队伍沿用上述适用范围。</w:t>
      </w:r>
    </w:p>
    <w:p>
      <w:pPr>
        <w:pStyle w:val="Heading2"/>
      </w:pPr>
      <w:r>
        <w:t>第八章  权益部</w:t>
      </w:r>
    </w:p>
    <w:p>
      <w:r>
        <w:t>一、部门宗旨</w:t>
      </w:r>
    </w:p>
    <w:p>
      <w:r>
        <w:t>权益部是连接学院与全体同学的桥梁，以维护学生合理权益、倾听同学诉求为核心，搭建常态化意见反馈渠道，妥善处理同学们关于综测、宿舍管理、早晚检等校园问题，服务广大同学。</w:t>
      </w:r>
    </w:p>
    <w:p>
      <w:r>
        <w:t>1. 部长：统筹部门整体工作，对接学院老师与主席团，把控部门工作方向，组织例会，审核问题反馈方案，协调重大权益事件。</w:t>
      </w:r>
    </w:p>
    <w:p>
      <w:r>
        <w:t>2. 副部长：协助部长开展工作，负责例会组织、任务分配，跟进各项诉求处理进度，收集整理部门工作资料，监督干事工作落实。</w:t>
      </w:r>
    </w:p>
    <w:p>
      <w:r>
        <w:t>3. 干事：收集各班同学反馈的问题，做好记录归档；参与代表例会，整理会议记录；对接各班级代表，做好信息传递；协助开展权益宣传、意见回访工作。</w:t>
      </w:r>
    </w:p>
    <w:p>
      <w:r>
        <w:t>三、工作流程</w:t>
      </w:r>
    </w:p>
    <w:p>
      <w:r>
        <w:t>1. 意见收集：通过班级学生代表定期例会、线上反馈渠道收集同学们在宿舍、综测、早晚检等方面的意见与疑问。</w:t>
      </w:r>
    </w:p>
    <w:p>
      <w:r>
        <w:t>2. 汇总梳理：对收集到的诉求分类整理，核实信息，形成问题清单。</w:t>
      </w:r>
    </w:p>
    <w:p>
      <w:r>
        <w:t>3. 对接反馈：将整理好的问题提交学院相关部门，跟进处理进度。</w:t>
      </w:r>
    </w:p>
    <w:p>
      <w:r>
        <w:t>4. 结果公示：把处理结果及时反馈给班级代表与同学，做好回访记录。</w:t>
      </w:r>
    </w:p>
    <w:p>
      <w:r>
        <w:t>5. 资料存档：所有反馈记录、会议材料统一归档留存。</w:t>
      </w:r>
    </w:p>
    <w:p>
      <w:r>
        <w:t>2. 学生代表例会：定期组织各年级、各专业班级代表例会，收集学生诉求，开展交流研讨。</w:t>
      </w:r>
    </w:p>
    <w:p>
      <w:r>
        <w:t>1. 围绕学生权益主题开展宣传活动，科普综测、宿舍管理等相关制度，提升同学们的权益意识。</w:t>
      </w:r>
    </w:p>
    <w:p>
      <w:r>
        <w:t>1. 部门成员工作认真负责，对待同学诉求耐心真诚，保守同学个人信息。</w:t>
      </w:r>
    </w:p>
    <w:p>
      <w:r>
        <w:t>七、下设队伍管理（班级权益代表）</w:t>
      </w:r>
    </w:p>
    <w:p>
      <w:r>
        <w:t>1. 在各年级、各专业各班推选一名权益代表，建立常态化联络机制。</w:t>
      </w:r>
    </w:p>
    <w:p>
      <w:r>
        <w:t>2. 权益代表定期收集本班同学意见，参与代表例会，做好班级和权益部之间的信息传递。</w:t>
      </w:r>
    </w:p>
    <w:p>
      <w:r>
        <w:t>3. 权益代表需按时参会，及时传达信息，客观反映同学诉求。</w:t>
      </w:r>
    </w:p>
    <w:p>
      <w:r>
        <w:br w:type="page"/>
      </w:r>
    </w:p>
    <w:p>
      <w:pPr>
        <w:pStyle w:val="Heading1"/>
      </w:pPr>
      <w:r>
        <w:t>第四编  青年志愿者队部门制度</w:t>
      </w:r>
    </w:p>
    <w:p>
      <w:pPr>
        <w:pStyle w:val="Heading2"/>
      </w:pPr>
      <w:r>
        <w:t>第九章  综合部</w:t>
      </w:r>
    </w:p>
    <w:p>
      <w:r>
        <w:t>一、台账、考勤与服务材料统筹</w:t>
      </w:r>
    </w:p>
    <w:p>
      <w:r>
        <w:t>第四条 部门工作坚持严谨、高效、公平的原则，做好跨部门联动、考勤汇总、台账登记、后勤协调等相关工作。</w:t>
      </w:r>
    </w:p>
    <w:p>
      <w:r>
        <w:t>第五条 志愿时长以赣青二课平台签到签退记录及现场考勤记录为准，由执行部负责统计与核实。</w:t>
      </w:r>
    </w:p>
    <w:p>
      <w:r>
        <w:t>第六条 部门所有工作记录、台账文件统一存档，做到有据可查，工作记录公开透明。</w:t>
      </w:r>
    </w:p>
    <w:p>
      <w:r>
        <w:t>二、报名、退出与服务记录</w:t>
      </w:r>
    </w:p>
    <w:p>
      <w:r>
        <w:t>第三条 志愿服务坚持自愿、无偿原则，不以营利为目的。任何人不得利用志愿活动谋取个人私利。</w:t>
      </w:r>
    </w:p>
    <w:p>
      <w:r>
        <w:t>第七条 工作者入部后应按时参与部门工作、例会及志愿活动，服从统一安排；志愿者志愿服务报名成功后应按时参加活动，服从统一安排。</w:t>
      </w:r>
    </w:p>
    <w:p>
      <w:r>
        <w:t>第八条 确因特殊情况无法参与部门工作、例会或志愿活动的，须至少提前一天向负责人请假并说明原因，经同意后方可退出本次任务。</w:t>
      </w:r>
    </w:p>
    <w:p>
      <w:r>
        <w:t>第十五条 在承接部门任务或参加志愿活动前，应了解工作范围、工作内容和注意事项；工作者未经沟通确认不得独立承接重大工作任务；志愿者须在活动前参加志愿者培训，未经培训的不得独立承担服务任务。</w:t>
      </w:r>
    </w:p>
    <w:p>
      <w:r>
        <w:t>第十六条 严禁在工作中消极怠工、争吵、擅自中途离场。确需提前离开的，须向负责人说明并经同意。</w:t>
      </w:r>
    </w:p>
    <w:p>
      <w:r>
        <w:t>第十七条 处理部门工作、对接其他部门或服务对象时保持耐心礼貌，不可与其他部门成员、志愿者、服务对象或他人发生冲突。</w:t>
      </w:r>
    </w:p>
    <w:p>
      <w:r>
        <w:t>第十八条 不得伪造工作台账或志愿签到、虚报工作成果或服务时长及次数，不得委托他人代签到。</w:t>
      </w:r>
    </w:p>
    <w:p>
      <w:r>
        <w:t>第十九条 不得在工作过程中损坏公共物资、随意丢弃垃圾，破坏场地环境。</w:t>
      </w:r>
    </w:p>
    <w:p>
      <w:r>
        <w:t>第二十条 工作结束后要听从安排，做好收尾工作，包括资料整理、场地清理、物资清点回收归还等。</w:t>
      </w:r>
    </w:p>
    <w:p>
      <w:r>
        <w:t>三、考勤、公示和复核</w:t>
      </w:r>
    </w:p>
    <w:p>
      <w:r>
        <w:t>签到、签退与现场记录应相互核实；未经核实的时段不予确认。考勤记录、请假原因及异常情况统一登记。原件中的扣时、报名禁入、逾期不受理及额外赠送时长，与学校规则的适用关系见核对报告，未将其列为已批准的公示执行条款。</w:t>
      </w:r>
    </w:p>
    <w:p>
      <w:r>
        <w:t>第二十五条 本条例所称“特殊情况”指突发疾病、家庭紧急事务、不可抗力等，须经负责人核实确认。</w:t>
      </w:r>
    </w:p>
    <w:p>
      <w:r>
        <w:t>第三十三条 建立反馈机制，例会及任务或活动结束后组织简单复盘，可对工作组织、现场安排、考勤记录、考核加分或时长录入等提出意见和建议。</w:t>
      </w:r>
    </w:p>
    <w:p>
      <w:r>
        <w:t>第三十四条 对无故缺席的人员，由负责人私下沟通，了解原因；如果事实确属紧急（如突发疾病、家庭变故等，能提供相关证明或合理解释），可以考虑撤销相应惩罚。</w:t>
      </w:r>
    </w:p>
    <w:p>
      <w:r>
        <w:t>第三十五条 对考勤认定或惩罚决定有异议的，可在公示期内或决定作出后3天内向负责人提出申诉，由负责人核实后答复并处理。</w:t>
      </w:r>
    </w:p>
    <w:p>
      <w:r>
        <w:t>第三十六条 考勤与奖惩工作坚持公平公正、以事实为依据，所有记录公开透明。</w:t>
      </w:r>
    </w:p>
    <w:p>
      <w:r>
        <w:t>四、加分申报</w:t>
      </w:r>
    </w:p>
    <w:p>
      <w:r>
        <w:t>第二十九条 加分实行就高不重复原则：同一事项符合多项加分情形的，按最高标准加分一次，不重复累计。</w:t>
      </w:r>
    </w:p>
    <w:p>
      <w:r>
        <w:t>第三十条 所有加分须由本人或负责人在事项结束后一周内提交申请及证明材料，经综合部核实并公示（公示期24小时）无异议后录入。</w:t>
      </w:r>
    </w:p>
    <w:p>
      <w:r>
        <w:t>部门工作人员的统一奖励上限和活动工作人员分档执行第五编，不再并列列写原件4分奖励上限、10分操行上限或职位额外加分。</w:t>
      </w:r>
    </w:p>
    <w:p>
      <w:pPr>
        <w:pStyle w:val="Heading2"/>
      </w:pPr>
      <w:r>
        <w:t>第十章  策划部</w:t>
      </w:r>
    </w:p>
    <w:p>
      <w:r>
        <w:t>一、项目策划岗位分工</w:t>
      </w:r>
    </w:p>
    <w:p>
      <w:r>
        <w:t>部长：统筹志愿活动的整体构思、主题策划与立项申报，对接其他部门完成审批流程；把握招新、迎新、各类志愿活动中综合事务的整体方向</w:t>
      </w:r>
    </w:p>
    <w:p>
      <w:r>
        <w:t>副部：落实活动场地、人员、时间与志愿者资质审核，制定活动规活动策划部则、流程及应急预案；编制活动经费预算，跟进报销流程，控制活动成本；活动结束后撰写活动总结，记录人员考勤、志愿时长、活动数据，形成完整活动档案等工作</w:t>
      </w:r>
    </w:p>
    <w:p>
      <w:r>
        <w:t>干事：全程跟进所负责活动的落地执行，对接各部门配合工作，记录活动全程细节，及时反馈执行问题。按时参加部门例会、技能培训、团建活动，认真学习工作技能，主动积累策划、统筹、复盘经验。</w:t>
      </w:r>
    </w:p>
    <w:p>
      <w:r>
        <w:t>二、副部长带干事与分模块培训</w:t>
      </w:r>
    </w:p>
    <w:p>
      <w:r>
        <w:t>当接到工作安排时，部长先对工作进行统筹规划，进行工作任务细分分配给各个副部，责任到人，并对若干个干事进行分配，让副部带干事，由于干事对工作的不熟悉，在副部下派给干事任务时，应大体对任务工作有详细的框架并同步给干事</w:t>
      </w:r>
    </w:p>
    <w:p>
      <w:r>
        <w:t>任务核心：进行线下干事培训，让干事知道策划部是干什么的、自己要干什么。在活动开始前，遵循“副部带干事”机制，将活动策划细分为三个部分，每个副部负责一个部分，将各个干事合理分配给每个副部。每一个线下培训和活动参与都进行考勤记录，成为最后的评优考量之一。。</w:t>
      </w:r>
    </w:p>
    <w:p>
      <w:r>
        <w:t>例会、任务交付、共同纪律和推优执行总则及第五编，不重复设立日常分级惩罚或未经统一确认的职务加扣分。</w:t>
      </w:r>
    </w:p>
    <w:p>
      <w:pPr>
        <w:pStyle w:val="Heading2"/>
      </w:pPr>
      <w:r>
        <w:t>第十一章  执行部</w:t>
      </w:r>
    </w:p>
    <w:p>
      <w:r>
        <w:t>一、现场执行、物资和平台业务</w:t>
      </w:r>
    </w:p>
    <w:p>
      <w:r>
        <w:t>2.严格依照活动策划方案落地现场执行，布置活动场地、维护现场秩序；</w:t>
      </w:r>
    </w:p>
    <w:p>
      <w:r>
        <w:t>3.物资管理：负责活动物资清点、申领、现场分发、活动结束回收，建立物资台账，做好出入库登记，妥善保管物资；</w:t>
      </w:r>
    </w:p>
    <w:p>
      <w:r>
        <w:t>4.赣青二课活动签到、签退，保障签到签退准确无误。</w:t>
      </w:r>
    </w:p>
    <w:p>
      <w:r>
        <w:t>5.分级履职：副部长协助部长统筹部门工作，负责干事管理、任务分派、进度跟踪与考核记录；部长对执行部工作负总责，负责跨部门对接、考勤汇总与工作总结汇报。</w:t>
      </w:r>
    </w:p>
    <w:p>
      <w:r>
        <w:t>二、活动执行流程</w:t>
      </w:r>
    </w:p>
    <w:p>
      <w:r>
        <w:t>（一）活动前期准备</w:t>
      </w:r>
    </w:p>
    <w:p>
      <w:r>
        <w:t>1.收到策划部活动方案后，召开小会，明确各岗位人员分工；</w:t>
      </w:r>
    </w:p>
    <w:p>
      <w:r>
        <w:t>2.如果有物资，提前清点，核对清单，完成物资申领；确认场地进场时间、场地布置方案；</w:t>
      </w:r>
    </w:p>
    <w:p>
      <w:r>
        <w:t>3.提前熟悉赣青二课活动信息，测试签到签退设备，确认签到规则；</w:t>
      </w:r>
    </w:p>
    <w:p>
      <w:r>
        <w:t>4.告知志愿者现场工作要点、安全注意事项。</w:t>
      </w:r>
    </w:p>
    <w:p>
      <w:r>
        <w:t>（二）活动现场执行</w:t>
      </w:r>
    </w:p>
    <w:p>
      <w:r>
        <w:t>1.工作人员提前到场，完成场地搭建、物资摆放、设备调试；</w:t>
      </w:r>
    </w:p>
    <w:p>
      <w:r>
        <w:t>2.活动期间维持现场秩序，实时留意现场状况，突发问题第一时间上报；</w:t>
      </w:r>
    </w:p>
    <w:p>
      <w:r>
        <w:t>3.按规定开展赣青二课签到、签退，核对人员信息。</w:t>
      </w:r>
    </w:p>
    <w:p>
      <w:r>
        <w:t>（三）活动收尾复盘</w:t>
      </w:r>
    </w:p>
    <w:p>
      <w:r>
        <w:t>1.活动结束后，组织人员清理场地；</w:t>
      </w:r>
    </w:p>
    <w:p>
      <w:r>
        <w:t>2.汇总现场出现的问题，反馈给活动策划部；</w:t>
      </w:r>
    </w:p>
    <w:p>
      <w:r>
        <w:t>3.总结本次执行工作优缺点，更新工作注意事项。</w:t>
      </w:r>
    </w:p>
    <w:p>
      <w:r>
        <w:t>工作人员奖励、推优与考核按统一口径办理，实际志愿时长及平台认证按学校规定，不把日常全勤或超额奖励分自行换成时长。</w:t>
      </w:r>
    </w:p>
    <w:p>
      <w:r>
        <w:br w:type="page"/>
      </w:r>
    </w:p>
    <w:p>
      <w:pPr>
        <w:pStyle w:val="Heading1"/>
      </w:pPr>
      <w:r>
        <w:t>第五编  考核推优与加分细则</w:t>
      </w:r>
    </w:p>
    <w:p>
      <w:r>
        <w:t>一、活动工作人员操行分</w:t>
      </w:r>
    </w:p>
    <w:p>
      <w:r>
        <w:t>“重大活动工作人员”为申报项目名称，不是对每场活动另设的资格认定。学期约10场学院活动按个人实际组织工作场次分档；部长审核实际履职，跨部门协助但未工作者不计有效场次。</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有效工作场次</w:t>
            </w:r>
          </w:p>
        </w:tc>
        <w:tc>
          <w:tcPr>
            <w:tcW w:type="dxa" w:w="4802"/>
          </w:tcPr>
          <w:p>
            <w:r>
              <w:rPr>
                <w:sz w:val="18"/>
              </w:rPr>
              <w:t>学期操行分</w:t>
            </w:r>
          </w:p>
        </w:tc>
      </w:tr>
      <w:tr>
        <w:trPr>
          <w:cantSplit/>
        </w:trPr>
        <w:tc>
          <w:tcPr>
            <w:tcW w:type="dxa" w:w="4802"/>
          </w:tcPr>
          <w:p>
            <w:r>
              <w:rPr>
                <w:sz w:val="18"/>
              </w:rPr>
              <w:t>0场</w:t>
            </w:r>
          </w:p>
        </w:tc>
        <w:tc>
          <w:tcPr>
            <w:tcW w:type="dxa" w:w="4802"/>
          </w:tcPr>
          <w:p>
            <w:r>
              <w:rPr>
                <w:sz w:val="18"/>
              </w:rPr>
              <w:t>0分</w:t>
            </w:r>
          </w:p>
        </w:tc>
      </w:tr>
      <w:tr>
        <w:trPr>
          <w:cantSplit/>
        </w:trPr>
        <w:tc>
          <w:tcPr>
            <w:tcW w:type="dxa" w:w="4802"/>
          </w:tcPr>
          <w:p>
            <w:r>
              <w:rPr>
                <w:sz w:val="18"/>
              </w:rPr>
              <w:t>1—2场</w:t>
            </w:r>
          </w:p>
        </w:tc>
        <w:tc>
          <w:tcPr>
            <w:tcW w:type="dxa" w:w="4802"/>
          </w:tcPr>
          <w:p>
            <w:r>
              <w:rPr>
                <w:sz w:val="18"/>
              </w:rPr>
              <w:t>1分</w:t>
            </w:r>
          </w:p>
        </w:tc>
      </w:tr>
      <w:tr>
        <w:trPr>
          <w:cantSplit/>
        </w:trPr>
        <w:tc>
          <w:tcPr>
            <w:tcW w:type="dxa" w:w="4802"/>
          </w:tcPr>
          <w:p>
            <w:r>
              <w:rPr>
                <w:sz w:val="18"/>
              </w:rPr>
              <w:t>3—4场</w:t>
            </w:r>
          </w:p>
        </w:tc>
        <w:tc>
          <w:tcPr>
            <w:tcW w:type="dxa" w:w="4802"/>
          </w:tcPr>
          <w:p>
            <w:r>
              <w:rPr>
                <w:sz w:val="18"/>
              </w:rPr>
              <w:t>3分</w:t>
            </w:r>
          </w:p>
        </w:tc>
      </w:tr>
      <w:tr>
        <w:trPr>
          <w:cantSplit/>
        </w:trPr>
        <w:tc>
          <w:tcPr>
            <w:tcW w:type="dxa" w:w="4802"/>
          </w:tcPr>
          <w:p>
            <w:r>
              <w:rPr>
                <w:sz w:val="18"/>
              </w:rPr>
              <w:t>5场及以上</w:t>
            </w:r>
          </w:p>
        </w:tc>
        <w:tc>
          <w:tcPr>
            <w:tcW w:type="dxa" w:w="4802"/>
          </w:tcPr>
          <w:p>
            <w:r>
              <w:rPr>
                <w:sz w:val="18"/>
              </w:rPr>
              <w:t>5分</w:t>
            </w:r>
          </w:p>
        </w:tc>
      </w:tr>
    </w:tbl>
    <w:p>
      <w:r>
        <w:t>各档不叠加；预计5次上报是办理安排，不代表个人自动参加5场。申报应如实列活动和工作人员依据，具体录入按学校审核程序办理。</w:t>
      </w:r>
    </w:p>
    <w:p>
      <w:r>
        <w:t>二、优秀工作者推荐</w:t>
      </w:r>
    </w:p>
    <w:p>
      <w:r>
        <w:t>校级优秀工作者每学期上报1次、每次3操行分，按15%比例；院级每学期可报2次、每次1操行分，拟按50%比例。部长须提交具体任务、完成情况、实际贡献及佐证；名额分母、取整、重复入选及校院兼得按学校和学院批准通知明确。</w:t>
      </w:r>
    </w:p>
    <w:p>
      <w:r>
        <w:t>学校综测按学习70%、操行20%、奖励10%计算；操行基础75分、无扣分学期加5分、满分100分。对操行成绩认定有异议，可在公布后1周内依学校办法申请复核。</w:t>
      </w:r>
    </w:p>
    <w:p>
      <w:r>
        <w:t>三、奖励分共同口径</w:t>
      </w:r>
    </w:p>
    <w:p>
      <w:r>
        <w:t>第一至第三表按个人跨部门、跨职务累计，每学期最多6分；第四表二级队伍奖励单独累计，不受该6分上限限制、不占部门额度。同一工作不重复计算；宣传部、学习部不另计一般办活动奖励分。二级队伍不受部门6分限制，不等于突破学校奖励总分100分上限。</w:t>
      </w:r>
    </w:p>
    <w:p>
      <w:pPr>
        <w:pStyle w:val="Heading2"/>
      </w:pPr>
      <w:r>
        <w:t>表一  宣传部奖励分表（报送分值保留）</w:t>
      </w:r>
    </w:p>
    <w:tbl>
      <w:tblPr>
        <w:tblStyle w:val="TableGrid"/>
        <w:tblW w:type="auto" w:w="0"/>
        <w:tblLook w:firstColumn="1" w:firstRow="1" w:lastColumn="0" w:lastRow="0" w:noHBand="0" w:noVBand="1" w:val="04A0"/>
      </w:tblPr>
      <w:tblGrid>
        <w:gridCol w:w="9605"/>
      </w:tblGrid>
      <w:tr>
        <w:trPr>
          <w:tblHeader/>
          <w:cantSplit/>
        </w:trPr>
        <w:tc>
          <w:tcPr>
            <w:tcW w:type="dxa" w:w="9605"/>
          </w:tcPr>
          <w:p>
            <w:r>
              <w:rPr>
                <w:sz w:val="18"/>
              </w:rPr>
              <w:t>宣传部报送加分条文（完整原文）</w:t>
            </w:r>
          </w:p>
        </w:tc>
      </w:tr>
      <w:tr>
        <w:trPr>
          <w:cantSplit/>
        </w:trPr>
        <w:tc>
          <w:tcPr>
            <w:tcW w:type="dxa" w:w="9605"/>
          </w:tcPr>
          <w:p>
            <w:r>
              <w:rPr>
                <w:sz w:val="18"/>
              </w:rPr>
              <w:t>1.新闻稿：文案一篇1.5分/篇，拍照0.5分/篇</w:t>
            </w:r>
          </w:p>
        </w:tc>
      </w:tr>
      <w:tr>
        <w:trPr>
          <w:cantSplit/>
        </w:trPr>
        <w:tc>
          <w:tcPr>
            <w:tcW w:type="dxa" w:w="9605"/>
          </w:tcPr>
          <w:p>
            <w:r>
              <w:rPr>
                <w:sz w:val="18"/>
              </w:rPr>
              <w:t>2.推文：文案1分/篇，排版1分/篇（设计类推文：文案1分/篇，排版1.5分/篇），拍照0.5分/篇；点赞量超过25个，再加0.5分/篇。</w:t>
            </w:r>
          </w:p>
        </w:tc>
      </w:tr>
      <w:tr>
        <w:trPr>
          <w:cantSplit/>
        </w:trPr>
        <w:tc>
          <w:tcPr>
            <w:tcW w:type="dxa" w:w="9605"/>
          </w:tcPr>
          <w:p>
            <w:r>
              <w:rPr>
                <w:sz w:val="18"/>
              </w:rPr>
              <w:t>3.制图、绘图：0.25分/张，最高1.5分/篇</w:t>
            </w:r>
          </w:p>
        </w:tc>
      </w:tr>
      <w:tr>
        <w:trPr>
          <w:cantSplit/>
        </w:trPr>
        <w:tc>
          <w:tcPr>
            <w:tcW w:type="dxa" w:w="9605"/>
          </w:tcPr>
          <w:p>
            <w:r>
              <w:rPr>
                <w:sz w:val="18"/>
              </w:rPr>
              <w:t>4.校对/审核：0.25/篇</w:t>
            </w:r>
          </w:p>
        </w:tc>
      </w:tr>
      <w:tr>
        <w:trPr>
          <w:cantSplit/>
        </w:trPr>
        <w:tc>
          <w:tcPr>
            <w:tcW w:type="dxa" w:w="9605"/>
          </w:tcPr>
          <w:p>
            <w:r>
              <w:rPr>
                <w:sz w:val="18"/>
              </w:rPr>
              <w:t>5.大型宣传海报制作：2.5分/篇</w:t>
            </w:r>
          </w:p>
        </w:tc>
      </w:tr>
    </w:tbl>
    <w:p>
      <w:pPr>
        <w:pStyle w:val="Heading2"/>
      </w:pPr>
      <w:r>
        <w:t>表二  学习部奖励分表</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事项</w:t>
            </w:r>
          </w:p>
        </w:tc>
        <w:tc>
          <w:tcPr>
            <w:tcW w:type="dxa" w:w="4802"/>
          </w:tcPr>
          <w:p>
            <w:r>
              <w:rPr>
                <w:sz w:val="18"/>
              </w:rPr>
              <w:t>奖励分</w:t>
            </w:r>
          </w:p>
        </w:tc>
      </w:tr>
      <w:tr>
        <w:trPr>
          <w:cantSplit/>
        </w:trPr>
        <w:tc>
          <w:tcPr>
            <w:tcW w:type="dxa" w:w="4802"/>
          </w:tcPr>
          <w:p>
            <w:r>
              <w:rPr>
                <w:sz w:val="18"/>
              </w:rPr>
              <w:t>线上收查课材料</w:t>
            </w:r>
          </w:p>
        </w:tc>
        <w:tc>
          <w:tcPr>
            <w:tcW w:type="dxa" w:w="4802"/>
          </w:tcPr>
          <w:p>
            <w:r>
              <w:rPr>
                <w:sz w:val="18"/>
              </w:rPr>
              <w:t>0.2分/次</w:t>
            </w:r>
          </w:p>
        </w:tc>
      </w:tr>
      <w:tr>
        <w:trPr>
          <w:cantSplit/>
        </w:trPr>
        <w:tc>
          <w:tcPr>
            <w:tcW w:type="dxa" w:w="4802"/>
          </w:tcPr>
          <w:p>
            <w:r>
              <w:rPr>
                <w:sz w:val="18"/>
              </w:rPr>
              <w:t>去班上查课</w:t>
            </w:r>
          </w:p>
        </w:tc>
        <w:tc>
          <w:tcPr>
            <w:tcW w:type="dxa" w:w="4802"/>
          </w:tcPr>
          <w:p>
            <w:r>
              <w:rPr>
                <w:sz w:val="18"/>
              </w:rPr>
              <w:t>0.4分/次</w:t>
            </w:r>
          </w:p>
        </w:tc>
      </w:tr>
      <w:tr>
        <w:trPr>
          <w:cantSplit/>
        </w:trPr>
        <w:tc>
          <w:tcPr>
            <w:tcW w:type="dxa" w:w="4802"/>
          </w:tcPr>
          <w:p>
            <w:r>
              <w:rPr>
                <w:sz w:val="18"/>
              </w:rPr>
              <w:t>副部长安排班次</w:t>
            </w:r>
          </w:p>
        </w:tc>
        <w:tc>
          <w:tcPr>
            <w:tcW w:type="dxa" w:w="4802"/>
          </w:tcPr>
          <w:p>
            <w:r>
              <w:rPr>
                <w:sz w:val="18"/>
              </w:rPr>
              <w:t>0.4分/次</w:t>
            </w:r>
          </w:p>
        </w:tc>
      </w:tr>
      <w:tr>
        <w:trPr>
          <w:cantSplit/>
        </w:trPr>
        <w:tc>
          <w:tcPr>
            <w:tcW w:type="dxa" w:w="4802"/>
          </w:tcPr>
          <w:p>
            <w:r>
              <w:rPr>
                <w:sz w:val="18"/>
              </w:rPr>
              <w:t>制作月表</w:t>
            </w:r>
          </w:p>
        </w:tc>
        <w:tc>
          <w:tcPr>
            <w:tcW w:type="dxa" w:w="4802"/>
          </w:tcPr>
          <w:p>
            <w:r>
              <w:rPr>
                <w:sz w:val="18"/>
              </w:rPr>
              <w:t>1分/次</w:t>
            </w:r>
          </w:p>
        </w:tc>
      </w:tr>
    </w:tbl>
    <w:p>
      <w:pPr>
        <w:pStyle w:val="Heading2"/>
      </w:pPr>
      <w:r>
        <w:t>表三  其他所有部门奖励分表</w:t>
      </w:r>
    </w:p>
    <w:tbl>
      <w:tblPr>
        <w:tblStyle w:val="TableGrid"/>
        <w:tblW w:type="auto" w:w="0"/>
        <w:tblLook w:firstColumn="1" w:firstRow="1" w:lastColumn="0" w:lastRow="0" w:noHBand="0" w:noVBand="1" w:val="04A0"/>
      </w:tblPr>
      <w:tblGrid>
        <w:gridCol w:w="3202"/>
        <w:gridCol w:w="3202"/>
        <w:gridCol w:w="3202"/>
      </w:tblGrid>
      <w:tr>
        <w:trPr>
          <w:tblHeader/>
          <w:cantSplit/>
        </w:trPr>
        <w:tc>
          <w:tcPr>
            <w:tcW w:type="dxa" w:w="3202"/>
          </w:tcPr>
          <w:p>
            <w:r>
              <w:rPr>
                <w:sz w:val="18"/>
              </w:rPr>
              <w:t>适用对象</w:t>
            </w:r>
          </w:p>
        </w:tc>
        <w:tc>
          <w:tcPr>
            <w:tcW w:type="dxa" w:w="3202"/>
          </w:tcPr>
          <w:p>
            <w:r>
              <w:rPr>
                <w:sz w:val="18"/>
              </w:rPr>
              <w:t>事项</w:t>
            </w:r>
          </w:p>
        </w:tc>
        <w:tc>
          <w:tcPr>
            <w:tcW w:type="dxa" w:w="3202"/>
          </w:tcPr>
          <w:p>
            <w:r>
              <w:rPr>
                <w:sz w:val="18"/>
              </w:rPr>
              <w:t>奖励分</w:t>
            </w:r>
          </w:p>
        </w:tc>
      </w:tr>
      <w:tr>
        <w:trPr>
          <w:cantSplit/>
        </w:trPr>
        <w:tc>
          <w:tcPr>
            <w:tcW w:type="dxa" w:w="3202"/>
          </w:tcPr>
          <w:p>
            <w:r>
              <w:rPr>
                <w:sz w:val="18"/>
              </w:rPr>
              <w:t>团委、学生会除宣传部和学习部外的部门</w:t>
            </w:r>
          </w:p>
        </w:tc>
        <w:tc>
          <w:tcPr>
            <w:tcW w:type="dxa" w:w="3202"/>
          </w:tcPr>
          <w:p>
            <w:r>
              <w:rPr>
                <w:sz w:val="18"/>
              </w:rPr>
              <w:t>办活动</w:t>
            </w:r>
          </w:p>
        </w:tc>
        <w:tc>
          <w:tcPr>
            <w:tcW w:type="dxa" w:w="3202"/>
          </w:tcPr>
          <w:p>
            <w:r>
              <w:rPr>
                <w:sz w:val="18"/>
              </w:rPr>
              <w:t>2分/次</w:t>
            </w:r>
          </w:p>
        </w:tc>
      </w:tr>
      <w:tr>
        <w:trPr>
          <w:cantSplit/>
        </w:trPr>
        <w:tc>
          <w:tcPr>
            <w:tcW w:type="dxa" w:w="3202"/>
          </w:tcPr>
          <w:p>
            <w:r>
              <w:rPr>
                <w:sz w:val="18"/>
              </w:rPr>
              <w:t>青志队各部门</w:t>
            </w:r>
          </w:p>
        </w:tc>
        <w:tc>
          <w:tcPr>
            <w:tcW w:type="dxa" w:w="3202"/>
          </w:tcPr>
          <w:p>
            <w:r>
              <w:rPr>
                <w:sz w:val="18"/>
              </w:rPr>
              <w:t>自主承办志愿活动</w:t>
            </w:r>
          </w:p>
        </w:tc>
        <w:tc>
          <w:tcPr>
            <w:tcW w:type="dxa" w:w="3202"/>
          </w:tcPr>
          <w:p>
            <w:r>
              <w:rPr>
                <w:sz w:val="18"/>
              </w:rPr>
              <w:t>2分/次</w:t>
            </w:r>
          </w:p>
        </w:tc>
      </w:tr>
    </w:tbl>
    <w:p>
      <w:pPr>
        <w:pStyle w:val="Heading2"/>
      </w:pPr>
      <w:r>
        <w:t>表四  下属二级队伍奖励分表</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队伍</w:t>
            </w:r>
          </w:p>
        </w:tc>
        <w:tc>
          <w:tcPr>
            <w:tcW w:type="dxa" w:w="2401"/>
          </w:tcPr>
          <w:p>
            <w:r>
              <w:rPr>
                <w:sz w:val="18"/>
              </w:rPr>
              <w:t>事项</w:t>
            </w:r>
          </w:p>
        </w:tc>
        <w:tc>
          <w:tcPr>
            <w:tcW w:type="dxa" w:w="2401"/>
          </w:tcPr>
          <w:p>
            <w:r>
              <w:rPr>
                <w:sz w:val="18"/>
              </w:rPr>
              <w:t>奖励分</w:t>
            </w:r>
          </w:p>
        </w:tc>
        <w:tc>
          <w:tcPr>
            <w:tcW w:type="dxa" w:w="2401"/>
          </w:tcPr>
          <w:p>
            <w:r>
              <w:rPr>
                <w:sz w:val="18"/>
              </w:rPr>
              <w:t>累计规则</w:t>
            </w:r>
          </w:p>
        </w:tc>
      </w:tr>
      <w:tr>
        <w:trPr>
          <w:cantSplit/>
        </w:trPr>
        <w:tc>
          <w:tcPr>
            <w:tcW w:type="dxa" w:w="2401"/>
          </w:tcPr>
          <w:p>
            <w:r>
              <w:rPr>
                <w:sz w:val="18"/>
              </w:rPr>
              <w:t>主持队</w:t>
            </w:r>
          </w:p>
        </w:tc>
        <w:tc>
          <w:tcPr>
            <w:tcW w:type="dxa" w:w="2401"/>
          </w:tcPr>
          <w:p>
            <w:r>
              <w:rPr>
                <w:sz w:val="18"/>
              </w:rPr>
              <w:t>正式主持</w:t>
            </w:r>
          </w:p>
        </w:tc>
        <w:tc>
          <w:tcPr>
            <w:tcW w:type="dxa" w:w="2401"/>
          </w:tcPr>
          <w:p>
            <w:r>
              <w:rPr>
                <w:sz w:val="18"/>
              </w:rPr>
              <w:t>3分/次</w:t>
            </w:r>
          </w:p>
        </w:tc>
        <w:tc>
          <w:tcPr>
            <w:tcW w:type="dxa" w:w="2401"/>
          </w:tcPr>
          <w:p>
            <w:r>
              <w:rPr>
                <w:sz w:val="18"/>
              </w:rPr>
              <w:t>不受部门6分上限限制</w:t>
            </w:r>
          </w:p>
        </w:tc>
      </w:tr>
      <w:tr>
        <w:trPr>
          <w:cantSplit/>
        </w:trPr>
        <w:tc>
          <w:tcPr>
            <w:tcW w:type="dxa" w:w="2401"/>
          </w:tcPr>
          <w:p>
            <w:r>
              <w:rPr>
                <w:sz w:val="18"/>
              </w:rPr>
              <w:t>礼仪队</w:t>
            </w:r>
          </w:p>
        </w:tc>
        <w:tc>
          <w:tcPr>
            <w:tcW w:type="dxa" w:w="2401"/>
          </w:tcPr>
          <w:p>
            <w:r>
              <w:rPr>
                <w:sz w:val="18"/>
              </w:rPr>
              <w:t>礼仪服务</w:t>
            </w:r>
          </w:p>
        </w:tc>
        <w:tc>
          <w:tcPr>
            <w:tcW w:type="dxa" w:w="2401"/>
          </w:tcPr>
          <w:p>
            <w:r>
              <w:rPr>
                <w:sz w:val="18"/>
              </w:rPr>
              <w:t>1分/次</w:t>
            </w:r>
          </w:p>
        </w:tc>
        <w:tc>
          <w:tcPr>
            <w:tcW w:type="dxa" w:w="2401"/>
          </w:tcPr>
          <w:p>
            <w:r>
              <w:rPr>
                <w:sz w:val="18"/>
              </w:rPr>
              <w:t>不受部门6分上限限制</w:t>
            </w:r>
          </w:p>
        </w:tc>
      </w:tr>
    </w:tbl>
    <w:p>
      <w:r>
        <w:t>两队取消原每次工作人员操行分。声乐、舞蹈及体育队的其他奖励没有已提供标准的不另创设。</w:t>
      </w:r>
    </w:p>
    <w:p>
      <w:r>
        <w:t>四、申报、公示与纠错</w:t>
      </w:r>
    </w:p>
    <w:p>
      <w:r>
        <w:t>以任务、作品、活动记录及相关证明核实分值，部门汇总查重并核个人累计，指导老师按权限审核后公示报送。公示写明项目、分值、依据和异议受理渠道。对本人事实记录有疑问应可提出核查，确有错误的依程序更正。</w:t>
      </w:r>
    </w:p>
    <w:p>
      <w:r>
        <w:t>五、施行及修订</w:t>
      </w:r>
    </w:p>
    <w:p>
      <w:r>
        <w:t>本稿经学院审核、完成公示程序后，另行公布正式施行日期和适用学期。部门原件中的历史落款不作为本手册施行日期；涉及学校制度的按学校正式规则执行。</w:t>
      </w:r>
    </w:p>
    <w:p>
      <w:pPr>
        <w:pStyle w:val="Heading1"/>
      </w:pPr>
      <w:r>
        <w:t>附件  体育部经费申请表</w:t>
      </w:r>
    </w:p>
    <w:tbl>
      <w:tblPr>
        <w:tblStyle w:val="3"/>
        <w:tblpPr w:leftFromText="180" w:rightFromText="180" w:vertAnchor="text" w:horzAnchor="page" w:tblpXSpec="center" w:tblpY="13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1134"/>
        <w:gridCol w:w="992"/>
        <w:gridCol w:w="1730"/>
        <w:gridCol w:w="1843"/>
        <w:gridCol w:w="1667"/>
      </w:tblGrid>
      <w:tr w14:paraId="5D03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626A7B4B">
            <w:pPr>
              <w:jc w:val="center"/>
              <w:rPr>
                <w:color w:val="000000"/>
                <w:szCs w:val="21"/>
              </w:rPr>
            </w:pPr>
            <w:r>
              <w:rPr>
                <w:color w:val="000000"/>
                <w:szCs w:val="21"/>
              </w:rPr>
              <w:t>活动申报部门</w:t>
            </w:r>
          </w:p>
        </w:tc>
        <w:tc>
          <w:tcPr>
            <w:tcW w:w="7366" w:type="dxa"/>
            <w:gridSpan w:val="5"/>
            <w:vAlign w:val="center"/>
          </w:tcPr>
          <w:p w14:paraId="108CB019">
            <w:pPr>
              <w:jc w:val="center"/>
              <w:rPr>
                <w:color w:val="000000"/>
                <w:szCs w:val="21"/>
              </w:rPr>
            </w:pPr>
            <w:r>
              <w:rPr>
                <w:rFonts w:hint="eastAsia"/>
                <w:color w:val="000000"/>
                <w:szCs w:val="21"/>
              </w:rPr>
              <w:t>体育部</w:t>
            </w:r>
          </w:p>
        </w:tc>
      </w:tr>
      <w:tr w14:paraId="5F32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432BB27A">
            <w:pPr>
              <w:jc w:val="center"/>
              <w:rPr>
                <w:color w:val="000000"/>
                <w:szCs w:val="21"/>
              </w:rPr>
            </w:pPr>
            <w:r>
              <w:rPr>
                <w:color w:val="000000"/>
                <w:szCs w:val="21"/>
              </w:rPr>
              <w:t>活动名称</w:t>
            </w:r>
          </w:p>
        </w:tc>
        <w:tc>
          <w:tcPr>
            <w:tcW w:w="2126" w:type="dxa"/>
            <w:gridSpan w:val="2"/>
            <w:vAlign w:val="center"/>
          </w:tcPr>
          <w:p w14:paraId="38AF9807">
            <w:pPr>
              <w:jc w:val="center"/>
              <w:rPr>
                <w:rFonts w:hint="eastAsia" w:eastAsia="宋体"/>
                <w:color w:val="000000"/>
                <w:szCs w:val="21"/>
                <w:lang w:eastAsia="zh-CN"/>
              </w:rPr>
            </w:pPr>
          </w:p>
        </w:tc>
        <w:tc>
          <w:tcPr>
            <w:tcW w:w="1730" w:type="dxa"/>
            <w:vAlign w:val="center"/>
          </w:tcPr>
          <w:p w14:paraId="4AB67B13">
            <w:pPr>
              <w:jc w:val="center"/>
              <w:rPr>
                <w:color w:val="000000"/>
                <w:szCs w:val="21"/>
              </w:rPr>
            </w:pPr>
            <w:r>
              <w:rPr>
                <w:color w:val="000000"/>
                <w:szCs w:val="21"/>
              </w:rPr>
              <w:t>预算经费</w:t>
            </w:r>
          </w:p>
        </w:tc>
        <w:tc>
          <w:tcPr>
            <w:tcW w:w="3510" w:type="dxa"/>
            <w:gridSpan w:val="2"/>
            <w:vAlign w:val="center"/>
          </w:tcPr>
          <w:p w14:paraId="59D6F1C6">
            <w:pPr>
              <w:jc w:val="center"/>
              <w:rPr>
                <w:rFonts w:hint="eastAsia"/>
                <w:color w:val="000000"/>
                <w:szCs w:val="21"/>
              </w:rPr>
            </w:pPr>
          </w:p>
        </w:tc>
      </w:tr>
      <w:tr w14:paraId="42C7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939A970">
            <w:pPr>
              <w:jc w:val="center"/>
              <w:rPr>
                <w:color w:val="000000"/>
                <w:szCs w:val="21"/>
              </w:rPr>
            </w:pPr>
            <w:r>
              <w:rPr>
                <w:color w:val="000000"/>
                <w:szCs w:val="21"/>
              </w:rPr>
              <w:t>活动负责人</w:t>
            </w:r>
          </w:p>
        </w:tc>
        <w:tc>
          <w:tcPr>
            <w:tcW w:w="2126" w:type="dxa"/>
            <w:gridSpan w:val="2"/>
            <w:vAlign w:val="center"/>
          </w:tcPr>
          <w:p w14:paraId="2C1469E2">
            <w:pPr>
              <w:jc w:val="center"/>
              <w:rPr>
                <w:rFonts w:hint="eastAsia" w:eastAsia="宋体"/>
                <w:color w:val="000000"/>
                <w:szCs w:val="21"/>
                <w:lang w:eastAsia="zh-CN"/>
              </w:rPr>
            </w:pPr>
          </w:p>
        </w:tc>
        <w:tc>
          <w:tcPr>
            <w:tcW w:w="1730" w:type="dxa"/>
            <w:vAlign w:val="center"/>
          </w:tcPr>
          <w:p w14:paraId="030584D2">
            <w:pPr>
              <w:jc w:val="center"/>
              <w:rPr>
                <w:color w:val="000000"/>
                <w:szCs w:val="21"/>
              </w:rPr>
            </w:pPr>
            <w:r>
              <w:rPr>
                <w:color w:val="000000"/>
                <w:szCs w:val="21"/>
              </w:rPr>
              <w:t>联系方式</w:t>
            </w:r>
          </w:p>
        </w:tc>
        <w:tc>
          <w:tcPr>
            <w:tcW w:w="3510" w:type="dxa"/>
            <w:gridSpan w:val="2"/>
            <w:vAlign w:val="center"/>
          </w:tcPr>
          <w:p w14:paraId="59B4353C">
            <w:pPr>
              <w:jc w:val="center"/>
              <w:rPr>
                <w:rFonts w:hint="eastAsia" w:eastAsia="宋体"/>
                <w:color w:val="000000"/>
                <w:szCs w:val="21"/>
                <w:lang w:eastAsia="zh-CN"/>
              </w:rPr>
            </w:pPr>
          </w:p>
        </w:tc>
      </w:tr>
      <w:tr w14:paraId="52D1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jc w:val="center"/>
        </w:trPr>
        <w:tc>
          <w:tcPr>
            <w:tcW w:w="2093" w:type="dxa"/>
            <w:vAlign w:val="center"/>
          </w:tcPr>
          <w:p w14:paraId="0A5CC059">
            <w:pPr>
              <w:jc w:val="center"/>
              <w:rPr>
                <w:color w:val="000000"/>
                <w:szCs w:val="21"/>
              </w:rPr>
            </w:pPr>
            <w:r>
              <w:rPr>
                <w:color w:val="000000"/>
                <w:szCs w:val="21"/>
              </w:rPr>
              <w:t>活动内容</w:t>
            </w:r>
          </w:p>
        </w:tc>
        <w:tc>
          <w:tcPr>
            <w:tcW w:w="7366" w:type="dxa"/>
            <w:gridSpan w:val="5"/>
            <w:vAlign w:val="center"/>
          </w:tcPr>
          <w:p w14:paraId="1AC9A07B">
            <w:pPr>
              <w:jc w:val="center"/>
              <w:rPr>
                <w:color w:val="000000"/>
                <w:szCs w:val="21"/>
              </w:rPr>
            </w:pPr>
          </w:p>
        </w:tc>
      </w:tr>
      <w:tr w14:paraId="362C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093" w:type="dxa"/>
            <w:vAlign w:val="center"/>
          </w:tcPr>
          <w:p w14:paraId="1BBFA285">
            <w:pPr>
              <w:jc w:val="center"/>
              <w:rPr>
                <w:color w:val="000000"/>
                <w:szCs w:val="21"/>
              </w:rPr>
            </w:pPr>
            <w:r>
              <w:rPr>
                <w:color w:val="000000"/>
                <w:szCs w:val="21"/>
              </w:rPr>
              <w:t>有无赞助金额</w:t>
            </w:r>
          </w:p>
        </w:tc>
        <w:tc>
          <w:tcPr>
            <w:tcW w:w="2126" w:type="dxa"/>
            <w:gridSpan w:val="2"/>
            <w:vAlign w:val="center"/>
          </w:tcPr>
          <w:p w14:paraId="2D2902CE">
            <w:pPr>
              <w:jc w:val="center"/>
              <w:rPr>
                <w:color w:val="000000"/>
                <w:szCs w:val="21"/>
              </w:rPr>
            </w:pPr>
            <w:r>
              <w:rPr>
                <w:rFonts w:hint="eastAsia"/>
                <w:color w:val="000000"/>
                <w:szCs w:val="21"/>
              </w:rPr>
              <w:t>无</w:t>
            </w:r>
          </w:p>
        </w:tc>
        <w:tc>
          <w:tcPr>
            <w:tcW w:w="1730" w:type="dxa"/>
            <w:vAlign w:val="center"/>
          </w:tcPr>
          <w:p w14:paraId="6B729B6D">
            <w:pPr>
              <w:jc w:val="center"/>
              <w:rPr>
                <w:color w:val="000000"/>
                <w:szCs w:val="21"/>
              </w:rPr>
            </w:pPr>
            <w:r>
              <w:rPr>
                <w:color w:val="000000"/>
                <w:szCs w:val="21"/>
              </w:rPr>
              <w:t>有无</w:t>
            </w:r>
            <w:r>
              <w:rPr>
                <w:rFonts w:hint="eastAsia"/>
                <w:color w:val="000000"/>
                <w:szCs w:val="21"/>
              </w:rPr>
              <w:t>拨</w:t>
            </w:r>
            <w:r>
              <w:rPr>
                <w:color w:val="000000"/>
                <w:szCs w:val="21"/>
              </w:rPr>
              <w:t>款金额</w:t>
            </w:r>
          </w:p>
        </w:tc>
        <w:tc>
          <w:tcPr>
            <w:tcW w:w="3510" w:type="dxa"/>
            <w:gridSpan w:val="2"/>
            <w:vAlign w:val="center"/>
          </w:tcPr>
          <w:p w14:paraId="30D30914">
            <w:pPr>
              <w:jc w:val="center"/>
              <w:rPr>
                <w:color w:val="000000"/>
                <w:szCs w:val="21"/>
              </w:rPr>
            </w:pPr>
            <w:r>
              <w:rPr>
                <w:rFonts w:hint="eastAsia"/>
                <w:color w:val="000000"/>
                <w:szCs w:val="21"/>
              </w:rPr>
              <w:t>无</w:t>
            </w:r>
          </w:p>
        </w:tc>
      </w:tr>
      <w:tr w14:paraId="1697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7FA1868">
            <w:pPr>
              <w:jc w:val="center"/>
              <w:rPr>
                <w:color w:val="000000"/>
                <w:szCs w:val="21"/>
              </w:rPr>
            </w:pPr>
            <w:r>
              <w:rPr>
                <w:color w:val="000000"/>
                <w:szCs w:val="21"/>
              </w:rPr>
              <w:t>使用物品情况</w:t>
            </w:r>
          </w:p>
        </w:tc>
        <w:tc>
          <w:tcPr>
            <w:tcW w:w="1134" w:type="dxa"/>
            <w:vAlign w:val="center"/>
          </w:tcPr>
          <w:p w14:paraId="49B5ACB1">
            <w:pPr>
              <w:jc w:val="center"/>
              <w:rPr>
                <w:color w:val="000000"/>
                <w:szCs w:val="21"/>
              </w:rPr>
            </w:pPr>
            <w:r>
              <w:rPr>
                <w:color w:val="000000"/>
                <w:szCs w:val="21"/>
              </w:rPr>
              <w:t>单价</w:t>
            </w:r>
          </w:p>
        </w:tc>
        <w:tc>
          <w:tcPr>
            <w:tcW w:w="992" w:type="dxa"/>
            <w:vAlign w:val="center"/>
          </w:tcPr>
          <w:p w14:paraId="720E107D">
            <w:pPr>
              <w:jc w:val="center"/>
              <w:rPr>
                <w:color w:val="000000"/>
                <w:szCs w:val="21"/>
              </w:rPr>
            </w:pPr>
            <w:r>
              <w:rPr>
                <w:color w:val="000000"/>
                <w:szCs w:val="21"/>
              </w:rPr>
              <w:t>单位</w:t>
            </w:r>
          </w:p>
        </w:tc>
        <w:tc>
          <w:tcPr>
            <w:tcW w:w="1730" w:type="dxa"/>
            <w:vAlign w:val="center"/>
          </w:tcPr>
          <w:p w14:paraId="15D8F020">
            <w:pPr>
              <w:jc w:val="center"/>
              <w:rPr>
                <w:color w:val="000000"/>
                <w:szCs w:val="21"/>
              </w:rPr>
            </w:pPr>
            <w:r>
              <w:rPr>
                <w:color w:val="000000"/>
                <w:szCs w:val="21"/>
              </w:rPr>
              <w:t>规格</w:t>
            </w:r>
            <w:r>
              <w:rPr>
                <w:rFonts w:hint="eastAsia"/>
                <w:color w:val="000000"/>
                <w:szCs w:val="21"/>
              </w:rPr>
              <w:t>/数量</w:t>
            </w:r>
          </w:p>
        </w:tc>
        <w:tc>
          <w:tcPr>
            <w:tcW w:w="1843" w:type="dxa"/>
            <w:vAlign w:val="center"/>
          </w:tcPr>
          <w:p w14:paraId="7441C823">
            <w:pPr>
              <w:jc w:val="center"/>
              <w:rPr>
                <w:color w:val="000000"/>
                <w:szCs w:val="21"/>
              </w:rPr>
            </w:pPr>
            <w:r>
              <w:rPr>
                <w:color w:val="000000"/>
                <w:szCs w:val="21"/>
              </w:rPr>
              <w:t>总计</w:t>
            </w:r>
          </w:p>
        </w:tc>
        <w:tc>
          <w:tcPr>
            <w:tcW w:w="1667" w:type="dxa"/>
            <w:vAlign w:val="center"/>
          </w:tcPr>
          <w:p w14:paraId="6A3EDC53">
            <w:pPr>
              <w:jc w:val="center"/>
              <w:rPr>
                <w:color w:val="000000"/>
                <w:szCs w:val="21"/>
              </w:rPr>
            </w:pPr>
            <w:r>
              <w:rPr>
                <w:color w:val="000000"/>
                <w:szCs w:val="21"/>
              </w:rPr>
              <w:t>同意审批金额</w:t>
            </w:r>
          </w:p>
        </w:tc>
      </w:tr>
      <w:tr w14:paraId="506D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tcPr>
          <w:p w14:paraId="77ECC650">
            <w:pPr>
              <w:jc w:val="center"/>
              <w:rPr>
                <w:color w:val="000000"/>
                <w:szCs w:val="21"/>
              </w:rPr>
            </w:pPr>
          </w:p>
        </w:tc>
        <w:tc>
          <w:tcPr>
            <w:tcW w:w="1134" w:type="dxa"/>
            <w:shd w:val="clear" w:color="auto" w:fill="FFFFFF"/>
          </w:tcPr>
          <w:p w14:paraId="59656AB4">
            <w:pPr>
              <w:jc w:val="center"/>
              <w:rPr>
                <w:rFonts w:hint="eastAsia"/>
                <w:color w:val="000000"/>
                <w:szCs w:val="21"/>
              </w:rPr>
            </w:pPr>
          </w:p>
        </w:tc>
        <w:tc>
          <w:tcPr>
            <w:tcW w:w="992" w:type="dxa"/>
            <w:shd w:val="clear" w:color="auto" w:fill="FFFFFF"/>
          </w:tcPr>
          <w:p w14:paraId="126CCA72">
            <w:pPr>
              <w:jc w:val="both"/>
              <w:rPr>
                <w:color w:val="000000"/>
                <w:szCs w:val="21"/>
              </w:rPr>
            </w:pPr>
          </w:p>
        </w:tc>
        <w:tc>
          <w:tcPr>
            <w:tcW w:w="1730" w:type="dxa"/>
            <w:shd w:val="clear" w:color="auto" w:fill="FFFFFF"/>
          </w:tcPr>
          <w:p w14:paraId="2C58AA53">
            <w:pPr>
              <w:jc w:val="center"/>
              <w:rPr>
                <w:color w:val="000000"/>
                <w:szCs w:val="21"/>
              </w:rPr>
            </w:pPr>
          </w:p>
        </w:tc>
        <w:tc>
          <w:tcPr>
            <w:tcW w:w="1843" w:type="dxa"/>
            <w:vAlign w:val="center"/>
          </w:tcPr>
          <w:p w14:paraId="33A7214F">
            <w:pPr>
              <w:jc w:val="center"/>
              <w:rPr>
                <w:rFonts w:hint="eastAsia"/>
                <w:color w:val="000000"/>
                <w:szCs w:val="21"/>
              </w:rPr>
            </w:pPr>
          </w:p>
        </w:tc>
        <w:tc>
          <w:tcPr>
            <w:tcW w:w="1667" w:type="dxa"/>
            <w:vAlign w:val="center"/>
          </w:tcPr>
          <w:p w14:paraId="42428F25">
            <w:pPr>
              <w:jc w:val="center"/>
              <w:rPr>
                <w:color w:val="000000"/>
                <w:szCs w:val="21"/>
              </w:rPr>
            </w:pPr>
          </w:p>
        </w:tc>
      </w:tr>
      <w:tr w14:paraId="4B28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tcPr>
          <w:p w14:paraId="603077C0">
            <w:pPr>
              <w:jc w:val="center"/>
              <w:rPr>
                <w:color w:val="000000"/>
                <w:szCs w:val="21"/>
              </w:rPr>
            </w:pPr>
          </w:p>
        </w:tc>
        <w:tc>
          <w:tcPr>
            <w:tcW w:w="1134" w:type="dxa"/>
            <w:shd w:val="clear" w:color="auto" w:fill="FFFFFF"/>
          </w:tcPr>
          <w:p w14:paraId="62418404">
            <w:pPr>
              <w:jc w:val="both"/>
              <w:rPr>
                <w:rFonts w:hint="eastAsia"/>
                <w:color w:val="000000"/>
                <w:szCs w:val="21"/>
              </w:rPr>
            </w:pPr>
          </w:p>
        </w:tc>
        <w:tc>
          <w:tcPr>
            <w:tcW w:w="992" w:type="dxa"/>
            <w:shd w:val="clear" w:color="auto" w:fill="FFFFFF"/>
          </w:tcPr>
          <w:p w14:paraId="3EFF0C49">
            <w:pPr>
              <w:jc w:val="center"/>
              <w:rPr>
                <w:color w:val="000000"/>
                <w:szCs w:val="21"/>
              </w:rPr>
            </w:pPr>
          </w:p>
        </w:tc>
        <w:tc>
          <w:tcPr>
            <w:tcW w:w="1730" w:type="dxa"/>
            <w:shd w:val="clear" w:color="auto" w:fill="FFFFFF"/>
          </w:tcPr>
          <w:p w14:paraId="7153D9D0">
            <w:pPr>
              <w:jc w:val="center"/>
              <w:rPr>
                <w:color w:val="000000"/>
                <w:szCs w:val="21"/>
              </w:rPr>
            </w:pPr>
          </w:p>
        </w:tc>
        <w:tc>
          <w:tcPr>
            <w:tcW w:w="1843" w:type="dxa"/>
            <w:vAlign w:val="center"/>
          </w:tcPr>
          <w:p w14:paraId="25DAC71F">
            <w:pPr>
              <w:jc w:val="center"/>
              <w:rPr>
                <w:rFonts w:hint="eastAsia"/>
                <w:color w:val="000000"/>
                <w:szCs w:val="21"/>
              </w:rPr>
            </w:pPr>
          </w:p>
        </w:tc>
        <w:tc>
          <w:tcPr>
            <w:tcW w:w="1667" w:type="dxa"/>
            <w:vAlign w:val="center"/>
          </w:tcPr>
          <w:p w14:paraId="02FCEDE2">
            <w:pPr>
              <w:jc w:val="center"/>
              <w:rPr>
                <w:color w:val="000000"/>
                <w:szCs w:val="21"/>
              </w:rPr>
            </w:pPr>
          </w:p>
        </w:tc>
      </w:tr>
      <w:tr w14:paraId="10B6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2093" w:type="dxa"/>
            <w:shd w:val="clear" w:color="auto" w:fill="FFFFFF"/>
          </w:tcPr>
          <w:p w14:paraId="5A183367">
            <w:pPr>
              <w:jc w:val="center"/>
              <w:rPr>
                <w:color w:val="000000"/>
                <w:szCs w:val="21"/>
              </w:rPr>
            </w:pPr>
          </w:p>
        </w:tc>
        <w:tc>
          <w:tcPr>
            <w:tcW w:w="1134" w:type="dxa"/>
            <w:shd w:val="clear" w:color="auto" w:fill="FFFFFF"/>
          </w:tcPr>
          <w:p w14:paraId="1C02451A">
            <w:pPr>
              <w:jc w:val="center"/>
              <w:rPr>
                <w:rFonts w:hint="eastAsia"/>
                <w:color w:val="000000"/>
                <w:szCs w:val="21"/>
              </w:rPr>
            </w:pPr>
          </w:p>
        </w:tc>
        <w:tc>
          <w:tcPr>
            <w:tcW w:w="992" w:type="dxa"/>
            <w:shd w:val="clear" w:color="auto" w:fill="FFFFFF"/>
          </w:tcPr>
          <w:p w14:paraId="4A3239E7">
            <w:pPr>
              <w:jc w:val="center"/>
              <w:rPr>
                <w:color w:val="000000"/>
                <w:szCs w:val="21"/>
              </w:rPr>
            </w:pPr>
          </w:p>
        </w:tc>
        <w:tc>
          <w:tcPr>
            <w:tcW w:w="1730" w:type="dxa"/>
            <w:shd w:val="clear" w:color="auto" w:fill="FFFFFF"/>
          </w:tcPr>
          <w:p w14:paraId="17FBE6DA">
            <w:pPr>
              <w:jc w:val="center"/>
              <w:rPr>
                <w:rFonts w:hint="eastAsia"/>
                <w:color w:val="000000"/>
                <w:szCs w:val="21"/>
              </w:rPr>
            </w:pPr>
          </w:p>
        </w:tc>
        <w:tc>
          <w:tcPr>
            <w:tcW w:w="1843" w:type="dxa"/>
            <w:shd w:val="clear" w:color="auto" w:fill="FFFFFF"/>
          </w:tcPr>
          <w:p w14:paraId="7CD36CEF">
            <w:pPr>
              <w:jc w:val="center"/>
              <w:rPr>
                <w:rFonts w:hint="eastAsia"/>
                <w:color w:val="000000"/>
                <w:szCs w:val="21"/>
              </w:rPr>
            </w:pPr>
          </w:p>
        </w:tc>
        <w:tc>
          <w:tcPr>
            <w:tcW w:w="1667" w:type="dxa"/>
          </w:tcPr>
          <w:p w14:paraId="7CD405FD">
            <w:pPr>
              <w:jc w:val="center"/>
              <w:rPr>
                <w:color w:val="000000"/>
                <w:szCs w:val="21"/>
              </w:rPr>
            </w:pPr>
          </w:p>
        </w:tc>
      </w:tr>
      <w:tr w14:paraId="161F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2093" w:type="dxa"/>
            <w:shd w:val="clear" w:color="auto" w:fill="FFFFFF"/>
          </w:tcPr>
          <w:p w14:paraId="4C76FE92">
            <w:pPr>
              <w:jc w:val="center"/>
              <w:rPr>
                <w:color w:val="000000"/>
                <w:szCs w:val="21"/>
              </w:rPr>
            </w:pPr>
          </w:p>
        </w:tc>
        <w:tc>
          <w:tcPr>
            <w:tcW w:w="1134" w:type="dxa"/>
            <w:shd w:val="clear" w:color="auto" w:fill="FFFFFF"/>
          </w:tcPr>
          <w:p w14:paraId="0F0FDF37">
            <w:pPr>
              <w:jc w:val="center"/>
              <w:rPr>
                <w:color w:val="000000"/>
                <w:szCs w:val="21"/>
              </w:rPr>
            </w:pPr>
          </w:p>
        </w:tc>
        <w:tc>
          <w:tcPr>
            <w:tcW w:w="992" w:type="dxa"/>
            <w:shd w:val="clear" w:color="auto" w:fill="FFFFFF"/>
          </w:tcPr>
          <w:p w14:paraId="599066E7">
            <w:pPr>
              <w:jc w:val="center"/>
              <w:rPr>
                <w:color w:val="000000"/>
                <w:szCs w:val="21"/>
              </w:rPr>
            </w:pPr>
          </w:p>
        </w:tc>
        <w:tc>
          <w:tcPr>
            <w:tcW w:w="1730" w:type="dxa"/>
            <w:shd w:val="clear" w:color="auto" w:fill="FFFFFF"/>
          </w:tcPr>
          <w:p w14:paraId="133CA08C">
            <w:pPr>
              <w:jc w:val="center"/>
              <w:rPr>
                <w:color w:val="000000"/>
                <w:szCs w:val="21"/>
              </w:rPr>
            </w:pPr>
          </w:p>
        </w:tc>
        <w:tc>
          <w:tcPr>
            <w:tcW w:w="1843" w:type="dxa"/>
            <w:shd w:val="clear" w:color="auto" w:fill="FFFFFF"/>
          </w:tcPr>
          <w:p w14:paraId="5F5F22FC">
            <w:pPr>
              <w:jc w:val="center"/>
              <w:rPr>
                <w:color w:val="000000"/>
                <w:szCs w:val="21"/>
              </w:rPr>
            </w:pPr>
          </w:p>
        </w:tc>
        <w:tc>
          <w:tcPr>
            <w:tcW w:w="1667" w:type="dxa"/>
          </w:tcPr>
          <w:p w14:paraId="7457DF21">
            <w:pPr>
              <w:jc w:val="center"/>
              <w:rPr>
                <w:color w:val="000000"/>
                <w:szCs w:val="21"/>
              </w:rPr>
            </w:pPr>
          </w:p>
        </w:tc>
      </w:tr>
      <w:tr w14:paraId="2C51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tcPr>
          <w:p w14:paraId="4E7DFF4B">
            <w:pPr>
              <w:jc w:val="center"/>
              <w:rPr>
                <w:color w:val="000000"/>
                <w:szCs w:val="21"/>
              </w:rPr>
            </w:pPr>
          </w:p>
        </w:tc>
        <w:tc>
          <w:tcPr>
            <w:tcW w:w="1134" w:type="dxa"/>
            <w:shd w:val="clear" w:color="auto" w:fill="FFFFFF"/>
          </w:tcPr>
          <w:p w14:paraId="6A83AD3D">
            <w:pPr>
              <w:jc w:val="center"/>
              <w:rPr>
                <w:color w:val="000000"/>
                <w:szCs w:val="21"/>
              </w:rPr>
            </w:pPr>
          </w:p>
        </w:tc>
        <w:tc>
          <w:tcPr>
            <w:tcW w:w="992" w:type="dxa"/>
            <w:shd w:val="clear" w:color="auto" w:fill="FFFFFF"/>
          </w:tcPr>
          <w:p w14:paraId="2542047C">
            <w:pPr>
              <w:jc w:val="center"/>
              <w:rPr>
                <w:color w:val="000000"/>
                <w:szCs w:val="21"/>
              </w:rPr>
            </w:pPr>
          </w:p>
        </w:tc>
        <w:tc>
          <w:tcPr>
            <w:tcW w:w="1730" w:type="dxa"/>
            <w:shd w:val="clear" w:color="auto" w:fill="FFFFFF"/>
          </w:tcPr>
          <w:p w14:paraId="2BF04FFC">
            <w:pPr>
              <w:jc w:val="center"/>
              <w:rPr>
                <w:color w:val="000000"/>
                <w:szCs w:val="21"/>
              </w:rPr>
            </w:pPr>
          </w:p>
        </w:tc>
        <w:tc>
          <w:tcPr>
            <w:tcW w:w="1843" w:type="dxa"/>
            <w:shd w:val="clear" w:color="auto" w:fill="FFFFFF"/>
          </w:tcPr>
          <w:p w14:paraId="2740FAD2">
            <w:pPr>
              <w:jc w:val="center"/>
              <w:rPr>
                <w:color w:val="000000"/>
                <w:szCs w:val="21"/>
              </w:rPr>
            </w:pPr>
          </w:p>
        </w:tc>
        <w:tc>
          <w:tcPr>
            <w:tcW w:w="1667" w:type="dxa"/>
          </w:tcPr>
          <w:p w14:paraId="22AACD03">
            <w:pPr>
              <w:jc w:val="center"/>
              <w:rPr>
                <w:color w:val="000000"/>
                <w:szCs w:val="21"/>
              </w:rPr>
            </w:pPr>
          </w:p>
        </w:tc>
      </w:tr>
      <w:tr w14:paraId="286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vAlign w:val="center"/>
          </w:tcPr>
          <w:p w14:paraId="317D0B0F">
            <w:pPr>
              <w:jc w:val="center"/>
              <w:rPr>
                <w:color w:val="000000"/>
                <w:szCs w:val="21"/>
              </w:rPr>
            </w:pPr>
          </w:p>
        </w:tc>
        <w:tc>
          <w:tcPr>
            <w:tcW w:w="1134" w:type="dxa"/>
            <w:shd w:val="clear" w:color="auto" w:fill="FFFFFF"/>
            <w:vAlign w:val="center"/>
          </w:tcPr>
          <w:p w14:paraId="46CBA5FF">
            <w:pPr>
              <w:jc w:val="center"/>
              <w:rPr>
                <w:color w:val="000000"/>
                <w:szCs w:val="21"/>
              </w:rPr>
            </w:pPr>
          </w:p>
        </w:tc>
        <w:tc>
          <w:tcPr>
            <w:tcW w:w="992" w:type="dxa"/>
            <w:shd w:val="clear" w:color="auto" w:fill="FFFFFF"/>
            <w:vAlign w:val="center"/>
          </w:tcPr>
          <w:p w14:paraId="6B3D3A56">
            <w:pPr>
              <w:jc w:val="center"/>
              <w:rPr>
                <w:color w:val="000000"/>
                <w:szCs w:val="21"/>
              </w:rPr>
            </w:pPr>
          </w:p>
        </w:tc>
        <w:tc>
          <w:tcPr>
            <w:tcW w:w="1730" w:type="dxa"/>
            <w:shd w:val="clear" w:color="auto" w:fill="FFFFFF"/>
            <w:vAlign w:val="center"/>
          </w:tcPr>
          <w:p w14:paraId="6FEFC0A8">
            <w:pPr>
              <w:jc w:val="center"/>
              <w:rPr>
                <w:color w:val="000000"/>
                <w:szCs w:val="21"/>
              </w:rPr>
            </w:pPr>
          </w:p>
        </w:tc>
        <w:tc>
          <w:tcPr>
            <w:tcW w:w="1843" w:type="dxa"/>
            <w:shd w:val="clear" w:color="auto" w:fill="FFFFFF"/>
            <w:vAlign w:val="center"/>
          </w:tcPr>
          <w:p w14:paraId="68FE7A4C">
            <w:pPr>
              <w:jc w:val="center"/>
              <w:rPr>
                <w:color w:val="000000"/>
                <w:szCs w:val="21"/>
              </w:rPr>
            </w:pPr>
          </w:p>
        </w:tc>
        <w:tc>
          <w:tcPr>
            <w:tcW w:w="1667" w:type="dxa"/>
            <w:vAlign w:val="center"/>
          </w:tcPr>
          <w:p w14:paraId="47D8B655">
            <w:pPr>
              <w:jc w:val="center"/>
              <w:rPr>
                <w:color w:val="000000"/>
                <w:szCs w:val="21"/>
              </w:rPr>
            </w:pPr>
          </w:p>
        </w:tc>
      </w:tr>
      <w:tr w14:paraId="6561C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A78ED5B">
            <w:pPr>
              <w:jc w:val="center"/>
              <w:rPr>
                <w:color w:val="000000"/>
                <w:szCs w:val="21"/>
              </w:rPr>
            </w:pPr>
          </w:p>
        </w:tc>
        <w:tc>
          <w:tcPr>
            <w:tcW w:w="1134" w:type="dxa"/>
            <w:vAlign w:val="center"/>
          </w:tcPr>
          <w:p w14:paraId="3F65DCB4">
            <w:pPr>
              <w:jc w:val="center"/>
              <w:rPr>
                <w:color w:val="000000"/>
                <w:szCs w:val="21"/>
              </w:rPr>
            </w:pPr>
          </w:p>
        </w:tc>
        <w:tc>
          <w:tcPr>
            <w:tcW w:w="992" w:type="dxa"/>
            <w:vAlign w:val="center"/>
          </w:tcPr>
          <w:p w14:paraId="472EF621">
            <w:pPr>
              <w:jc w:val="center"/>
              <w:rPr>
                <w:color w:val="000000"/>
                <w:szCs w:val="21"/>
              </w:rPr>
            </w:pPr>
          </w:p>
        </w:tc>
        <w:tc>
          <w:tcPr>
            <w:tcW w:w="1730" w:type="dxa"/>
            <w:vAlign w:val="center"/>
          </w:tcPr>
          <w:p w14:paraId="6AE39AB9">
            <w:pPr>
              <w:jc w:val="center"/>
              <w:rPr>
                <w:color w:val="000000"/>
                <w:szCs w:val="21"/>
              </w:rPr>
            </w:pPr>
          </w:p>
        </w:tc>
        <w:tc>
          <w:tcPr>
            <w:tcW w:w="1843" w:type="dxa"/>
            <w:vAlign w:val="center"/>
          </w:tcPr>
          <w:p w14:paraId="25ED9722">
            <w:pPr>
              <w:jc w:val="center"/>
              <w:rPr>
                <w:color w:val="000000"/>
                <w:szCs w:val="21"/>
              </w:rPr>
            </w:pPr>
          </w:p>
        </w:tc>
        <w:tc>
          <w:tcPr>
            <w:tcW w:w="1667" w:type="dxa"/>
            <w:vAlign w:val="center"/>
          </w:tcPr>
          <w:p w14:paraId="38ACFFBE">
            <w:pPr>
              <w:jc w:val="center"/>
              <w:rPr>
                <w:color w:val="000000"/>
                <w:szCs w:val="21"/>
              </w:rPr>
            </w:pPr>
          </w:p>
        </w:tc>
      </w:tr>
      <w:tr w14:paraId="34D2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2960EBDA">
            <w:pPr>
              <w:jc w:val="center"/>
              <w:rPr>
                <w:color w:val="000000"/>
                <w:szCs w:val="21"/>
              </w:rPr>
            </w:pPr>
          </w:p>
        </w:tc>
        <w:tc>
          <w:tcPr>
            <w:tcW w:w="1134" w:type="dxa"/>
            <w:shd w:val="clear" w:color="auto" w:fill="FFFFFF"/>
            <w:vAlign w:val="center"/>
          </w:tcPr>
          <w:p w14:paraId="03173617">
            <w:pPr>
              <w:jc w:val="center"/>
              <w:rPr>
                <w:color w:val="000000"/>
                <w:szCs w:val="21"/>
              </w:rPr>
            </w:pPr>
          </w:p>
        </w:tc>
        <w:tc>
          <w:tcPr>
            <w:tcW w:w="992" w:type="dxa"/>
            <w:vAlign w:val="center"/>
          </w:tcPr>
          <w:p w14:paraId="3892DDB9">
            <w:pPr>
              <w:jc w:val="center"/>
              <w:rPr>
                <w:color w:val="000000"/>
                <w:szCs w:val="21"/>
              </w:rPr>
            </w:pPr>
          </w:p>
        </w:tc>
        <w:tc>
          <w:tcPr>
            <w:tcW w:w="1730" w:type="dxa"/>
            <w:vAlign w:val="center"/>
          </w:tcPr>
          <w:p w14:paraId="552DB3EE">
            <w:pPr>
              <w:jc w:val="center"/>
              <w:rPr>
                <w:color w:val="000000"/>
                <w:szCs w:val="21"/>
              </w:rPr>
            </w:pPr>
          </w:p>
        </w:tc>
        <w:tc>
          <w:tcPr>
            <w:tcW w:w="1843" w:type="dxa"/>
            <w:vAlign w:val="center"/>
          </w:tcPr>
          <w:p w14:paraId="1D0E8FD8">
            <w:pPr>
              <w:jc w:val="center"/>
              <w:rPr>
                <w:color w:val="000000"/>
                <w:szCs w:val="21"/>
              </w:rPr>
            </w:pPr>
          </w:p>
        </w:tc>
        <w:tc>
          <w:tcPr>
            <w:tcW w:w="1667" w:type="dxa"/>
            <w:vAlign w:val="center"/>
          </w:tcPr>
          <w:p w14:paraId="5DDA876C">
            <w:pPr>
              <w:jc w:val="center"/>
              <w:rPr>
                <w:color w:val="000000"/>
                <w:szCs w:val="21"/>
              </w:rPr>
            </w:pPr>
          </w:p>
        </w:tc>
      </w:tr>
      <w:tr w14:paraId="0B50E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2BC15123">
            <w:pPr>
              <w:jc w:val="center"/>
              <w:rPr>
                <w:color w:val="000000"/>
                <w:szCs w:val="21"/>
              </w:rPr>
            </w:pPr>
          </w:p>
        </w:tc>
        <w:tc>
          <w:tcPr>
            <w:tcW w:w="1134" w:type="dxa"/>
            <w:vAlign w:val="center"/>
          </w:tcPr>
          <w:p w14:paraId="70FB6ADB">
            <w:pPr>
              <w:jc w:val="center"/>
              <w:rPr>
                <w:color w:val="000000"/>
                <w:szCs w:val="21"/>
              </w:rPr>
            </w:pPr>
          </w:p>
        </w:tc>
        <w:tc>
          <w:tcPr>
            <w:tcW w:w="992" w:type="dxa"/>
            <w:vAlign w:val="center"/>
          </w:tcPr>
          <w:p w14:paraId="6E9E60F8">
            <w:pPr>
              <w:jc w:val="center"/>
              <w:rPr>
                <w:color w:val="000000"/>
                <w:szCs w:val="21"/>
              </w:rPr>
            </w:pPr>
          </w:p>
        </w:tc>
        <w:tc>
          <w:tcPr>
            <w:tcW w:w="1730" w:type="dxa"/>
            <w:vAlign w:val="center"/>
          </w:tcPr>
          <w:p w14:paraId="49F01B62">
            <w:pPr>
              <w:jc w:val="center"/>
              <w:rPr>
                <w:color w:val="000000"/>
                <w:szCs w:val="21"/>
              </w:rPr>
            </w:pPr>
          </w:p>
        </w:tc>
        <w:tc>
          <w:tcPr>
            <w:tcW w:w="1843" w:type="dxa"/>
            <w:vAlign w:val="center"/>
          </w:tcPr>
          <w:p w14:paraId="47900553">
            <w:pPr>
              <w:jc w:val="center"/>
              <w:rPr>
                <w:color w:val="000000"/>
                <w:szCs w:val="21"/>
              </w:rPr>
            </w:pPr>
          </w:p>
        </w:tc>
        <w:tc>
          <w:tcPr>
            <w:tcW w:w="1667" w:type="dxa"/>
            <w:vAlign w:val="center"/>
          </w:tcPr>
          <w:p w14:paraId="55F9E3A0">
            <w:pPr>
              <w:jc w:val="center"/>
              <w:rPr>
                <w:color w:val="000000"/>
                <w:szCs w:val="21"/>
              </w:rPr>
            </w:pPr>
          </w:p>
        </w:tc>
      </w:tr>
      <w:tr w14:paraId="4B9E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2469B2A">
            <w:pPr>
              <w:jc w:val="center"/>
              <w:rPr>
                <w:color w:val="000000"/>
                <w:szCs w:val="21"/>
              </w:rPr>
            </w:pPr>
          </w:p>
        </w:tc>
        <w:tc>
          <w:tcPr>
            <w:tcW w:w="1134" w:type="dxa"/>
            <w:vAlign w:val="center"/>
          </w:tcPr>
          <w:p w14:paraId="1CE0FAC4">
            <w:pPr>
              <w:jc w:val="center"/>
              <w:rPr>
                <w:color w:val="000000"/>
                <w:szCs w:val="21"/>
              </w:rPr>
            </w:pPr>
          </w:p>
        </w:tc>
        <w:tc>
          <w:tcPr>
            <w:tcW w:w="992" w:type="dxa"/>
            <w:vAlign w:val="center"/>
          </w:tcPr>
          <w:p w14:paraId="27A96378">
            <w:pPr>
              <w:jc w:val="center"/>
              <w:rPr>
                <w:color w:val="000000"/>
                <w:szCs w:val="21"/>
              </w:rPr>
            </w:pPr>
          </w:p>
        </w:tc>
        <w:tc>
          <w:tcPr>
            <w:tcW w:w="1730" w:type="dxa"/>
            <w:vAlign w:val="center"/>
          </w:tcPr>
          <w:p w14:paraId="56FA68E1">
            <w:pPr>
              <w:jc w:val="center"/>
              <w:rPr>
                <w:color w:val="000000"/>
                <w:szCs w:val="21"/>
              </w:rPr>
            </w:pPr>
          </w:p>
        </w:tc>
        <w:tc>
          <w:tcPr>
            <w:tcW w:w="1843" w:type="dxa"/>
            <w:vAlign w:val="center"/>
          </w:tcPr>
          <w:p w14:paraId="7DF3A457">
            <w:pPr>
              <w:jc w:val="center"/>
              <w:rPr>
                <w:color w:val="000000"/>
                <w:szCs w:val="21"/>
              </w:rPr>
            </w:pPr>
          </w:p>
        </w:tc>
        <w:tc>
          <w:tcPr>
            <w:tcW w:w="1667" w:type="dxa"/>
            <w:vAlign w:val="center"/>
          </w:tcPr>
          <w:p w14:paraId="43863A76">
            <w:pPr>
              <w:jc w:val="center"/>
              <w:rPr>
                <w:color w:val="000000"/>
                <w:szCs w:val="21"/>
              </w:rPr>
            </w:pPr>
          </w:p>
        </w:tc>
      </w:tr>
      <w:tr w14:paraId="7EF5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D95B7A7">
            <w:pPr>
              <w:jc w:val="center"/>
              <w:rPr>
                <w:color w:val="000000"/>
                <w:szCs w:val="21"/>
              </w:rPr>
            </w:pPr>
          </w:p>
        </w:tc>
        <w:tc>
          <w:tcPr>
            <w:tcW w:w="1134" w:type="dxa"/>
            <w:vAlign w:val="center"/>
          </w:tcPr>
          <w:p w14:paraId="47DAAAF4">
            <w:pPr>
              <w:jc w:val="center"/>
              <w:rPr>
                <w:color w:val="000000"/>
                <w:szCs w:val="21"/>
              </w:rPr>
            </w:pPr>
          </w:p>
        </w:tc>
        <w:tc>
          <w:tcPr>
            <w:tcW w:w="992" w:type="dxa"/>
            <w:vAlign w:val="center"/>
          </w:tcPr>
          <w:p w14:paraId="5778D133">
            <w:pPr>
              <w:jc w:val="center"/>
              <w:rPr>
                <w:color w:val="000000"/>
                <w:szCs w:val="21"/>
              </w:rPr>
            </w:pPr>
          </w:p>
        </w:tc>
        <w:tc>
          <w:tcPr>
            <w:tcW w:w="1730" w:type="dxa"/>
            <w:vAlign w:val="center"/>
          </w:tcPr>
          <w:p w14:paraId="1EDB5326">
            <w:pPr>
              <w:jc w:val="center"/>
              <w:rPr>
                <w:color w:val="000000"/>
                <w:szCs w:val="21"/>
              </w:rPr>
            </w:pPr>
          </w:p>
        </w:tc>
        <w:tc>
          <w:tcPr>
            <w:tcW w:w="1843" w:type="dxa"/>
            <w:vAlign w:val="center"/>
          </w:tcPr>
          <w:p w14:paraId="57418795">
            <w:pPr>
              <w:jc w:val="center"/>
              <w:rPr>
                <w:color w:val="000000"/>
                <w:szCs w:val="21"/>
              </w:rPr>
            </w:pPr>
          </w:p>
        </w:tc>
        <w:tc>
          <w:tcPr>
            <w:tcW w:w="1667" w:type="dxa"/>
            <w:vAlign w:val="center"/>
          </w:tcPr>
          <w:p w14:paraId="53A17019">
            <w:pPr>
              <w:jc w:val="center"/>
              <w:rPr>
                <w:color w:val="000000"/>
                <w:szCs w:val="21"/>
              </w:rPr>
            </w:pPr>
          </w:p>
        </w:tc>
      </w:tr>
      <w:tr w14:paraId="365F7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8B17685">
            <w:pPr>
              <w:jc w:val="center"/>
              <w:rPr>
                <w:color w:val="000000"/>
                <w:szCs w:val="21"/>
              </w:rPr>
            </w:pPr>
          </w:p>
        </w:tc>
        <w:tc>
          <w:tcPr>
            <w:tcW w:w="1134" w:type="dxa"/>
            <w:vAlign w:val="center"/>
          </w:tcPr>
          <w:p w14:paraId="062F971A">
            <w:pPr>
              <w:jc w:val="center"/>
              <w:rPr>
                <w:color w:val="000000"/>
                <w:szCs w:val="21"/>
              </w:rPr>
            </w:pPr>
          </w:p>
        </w:tc>
        <w:tc>
          <w:tcPr>
            <w:tcW w:w="992" w:type="dxa"/>
            <w:vAlign w:val="center"/>
          </w:tcPr>
          <w:p w14:paraId="1B6D47DA">
            <w:pPr>
              <w:jc w:val="center"/>
              <w:rPr>
                <w:color w:val="000000"/>
                <w:szCs w:val="21"/>
              </w:rPr>
            </w:pPr>
          </w:p>
        </w:tc>
        <w:tc>
          <w:tcPr>
            <w:tcW w:w="1730" w:type="dxa"/>
            <w:vAlign w:val="center"/>
          </w:tcPr>
          <w:p w14:paraId="4C8CF1C3">
            <w:pPr>
              <w:jc w:val="center"/>
              <w:rPr>
                <w:color w:val="000000"/>
                <w:szCs w:val="21"/>
              </w:rPr>
            </w:pPr>
          </w:p>
        </w:tc>
        <w:tc>
          <w:tcPr>
            <w:tcW w:w="1843" w:type="dxa"/>
            <w:vAlign w:val="center"/>
          </w:tcPr>
          <w:p w14:paraId="3338A42B">
            <w:pPr>
              <w:jc w:val="center"/>
              <w:rPr>
                <w:color w:val="000000"/>
                <w:szCs w:val="21"/>
              </w:rPr>
            </w:pPr>
          </w:p>
        </w:tc>
        <w:tc>
          <w:tcPr>
            <w:tcW w:w="1667" w:type="dxa"/>
            <w:vAlign w:val="center"/>
          </w:tcPr>
          <w:p w14:paraId="53879612">
            <w:pPr>
              <w:jc w:val="center"/>
              <w:rPr>
                <w:color w:val="000000"/>
                <w:szCs w:val="21"/>
              </w:rPr>
            </w:pPr>
          </w:p>
        </w:tc>
      </w:tr>
      <w:tr w14:paraId="6E7D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DAB74FA">
            <w:pPr>
              <w:jc w:val="center"/>
              <w:rPr>
                <w:color w:val="000000"/>
                <w:szCs w:val="21"/>
              </w:rPr>
            </w:pPr>
          </w:p>
        </w:tc>
        <w:tc>
          <w:tcPr>
            <w:tcW w:w="1134" w:type="dxa"/>
            <w:vAlign w:val="center"/>
          </w:tcPr>
          <w:p w14:paraId="0F9F4166">
            <w:pPr>
              <w:jc w:val="center"/>
              <w:rPr>
                <w:color w:val="000000"/>
                <w:szCs w:val="21"/>
              </w:rPr>
            </w:pPr>
          </w:p>
        </w:tc>
        <w:tc>
          <w:tcPr>
            <w:tcW w:w="992" w:type="dxa"/>
            <w:vAlign w:val="center"/>
          </w:tcPr>
          <w:p w14:paraId="7901AB52">
            <w:pPr>
              <w:jc w:val="center"/>
              <w:rPr>
                <w:color w:val="000000"/>
                <w:szCs w:val="21"/>
              </w:rPr>
            </w:pPr>
          </w:p>
        </w:tc>
        <w:tc>
          <w:tcPr>
            <w:tcW w:w="1730" w:type="dxa"/>
            <w:vAlign w:val="center"/>
          </w:tcPr>
          <w:p w14:paraId="2A2BC5BD">
            <w:pPr>
              <w:jc w:val="center"/>
              <w:rPr>
                <w:color w:val="000000"/>
                <w:szCs w:val="21"/>
              </w:rPr>
            </w:pPr>
          </w:p>
        </w:tc>
        <w:tc>
          <w:tcPr>
            <w:tcW w:w="1843" w:type="dxa"/>
            <w:vAlign w:val="center"/>
          </w:tcPr>
          <w:p w14:paraId="4609AAB3">
            <w:pPr>
              <w:jc w:val="center"/>
              <w:rPr>
                <w:color w:val="000000"/>
                <w:szCs w:val="21"/>
              </w:rPr>
            </w:pPr>
          </w:p>
        </w:tc>
        <w:tc>
          <w:tcPr>
            <w:tcW w:w="1667" w:type="dxa"/>
            <w:vAlign w:val="center"/>
          </w:tcPr>
          <w:p w14:paraId="6AE45177">
            <w:pPr>
              <w:jc w:val="center"/>
              <w:rPr>
                <w:color w:val="000000"/>
                <w:szCs w:val="21"/>
              </w:rPr>
            </w:pPr>
          </w:p>
        </w:tc>
      </w:tr>
      <w:tr w14:paraId="5D93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11D24FCB">
            <w:pPr>
              <w:jc w:val="center"/>
              <w:rPr>
                <w:color w:val="000000"/>
                <w:szCs w:val="21"/>
              </w:rPr>
            </w:pPr>
          </w:p>
        </w:tc>
        <w:tc>
          <w:tcPr>
            <w:tcW w:w="1134" w:type="dxa"/>
            <w:vAlign w:val="center"/>
          </w:tcPr>
          <w:p w14:paraId="281EE430">
            <w:pPr>
              <w:jc w:val="center"/>
              <w:rPr>
                <w:color w:val="000000"/>
                <w:szCs w:val="21"/>
              </w:rPr>
            </w:pPr>
          </w:p>
        </w:tc>
        <w:tc>
          <w:tcPr>
            <w:tcW w:w="992" w:type="dxa"/>
            <w:vAlign w:val="center"/>
          </w:tcPr>
          <w:p w14:paraId="0C031CD1">
            <w:pPr>
              <w:jc w:val="center"/>
              <w:rPr>
                <w:color w:val="000000"/>
                <w:szCs w:val="21"/>
              </w:rPr>
            </w:pPr>
          </w:p>
        </w:tc>
        <w:tc>
          <w:tcPr>
            <w:tcW w:w="1730" w:type="dxa"/>
            <w:vAlign w:val="center"/>
          </w:tcPr>
          <w:p w14:paraId="7C3AD99E">
            <w:pPr>
              <w:jc w:val="center"/>
              <w:rPr>
                <w:color w:val="000000"/>
                <w:szCs w:val="21"/>
              </w:rPr>
            </w:pPr>
          </w:p>
        </w:tc>
        <w:tc>
          <w:tcPr>
            <w:tcW w:w="1843" w:type="dxa"/>
            <w:vAlign w:val="center"/>
          </w:tcPr>
          <w:p w14:paraId="463B16FD">
            <w:pPr>
              <w:jc w:val="center"/>
              <w:rPr>
                <w:color w:val="000000"/>
                <w:szCs w:val="21"/>
              </w:rPr>
            </w:pPr>
          </w:p>
        </w:tc>
        <w:tc>
          <w:tcPr>
            <w:tcW w:w="1667" w:type="dxa"/>
            <w:vAlign w:val="center"/>
          </w:tcPr>
          <w:p w14:paraId="22994600">
            <w:pPr>
              <w:jc w:val="center"/>
              <w:rPr>
                <w:color w:val="000000"/>
                <w:szCs w:val="21"/>
              </w:rPr>
            </w:pPr>
          </w:p>
        </w:tc>
      </w:tr>
      <w:tr w14:paraId="1974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2093" w:type="dxa"/>
            <w:vAlign w:val="center"/>
          </w:tcPr>
          <w:p w14:paraId="15C866C1">
            <w:pPr>
              <w:jc w:val="center"/>
              <w:rPr>
                <w:color w:val="000000"/>
                <w:szCs w:val="21"/>
              </w:rPr>
            </w:pPr>
          </w:p>
        </w:tc>
        <w:tc>
          <w:tcPr>
            <w:tcW w:w="1134" w:type="dxa"/>
            <w:vAlign w:val="center"/>
          </w:tcPr>
          <w:p w14:paraId="7CA53F02">
            <w:pPr>
              <w:jc w:val="center"/>
              <w:rPr>
                <w:color w:val="000000"/>
                <w:szCs w:val="21"/>
              </w:rPr>
            </w:pPr>
          </w:p>
        </w:tc>
        <w:tc>
          <w:tcPr>
            <w:tcW w:w="992" w:type="dxa"/>
            <w:vAlign w:val="center"/>
          </w:tcPr>
          <w:p w14:paraId="14271A42">
            <w:pPr>
              <w:jc w:val="center"/>
              <w:rPr>
                <w:color w:val="000000"/>
                <w:szCs w:val="21"/>
              </w:rPr>
            </w:pPr>
          </w:p>
        </w:tc>
        <w:tc>
          <w:tcPr>
            <w:tcW w:w="1730" w:type="dxa"/>
            <w:vAlign w:val="center"/>
          </w:tcPr>
          <w:p w14:paraId="5FFD38E8">
            <w:pPr>
              <w:jc w:val="center"/>
              <w:rPr>
                <w:color w:val="000000"/>
                <w:szCs w:val="21"/>
              </w:rPr>
            </w:pPr>
          </w:p>
        </w:tc>
        <w:tc>
          <w:tcPr>
            <w:tcW w:w="1843" w:type="dxa"/>
            <w:vAlign w:val="center"/>
          </w:tcPr>
          <w:p w14:paraId="704D97F5">
            <w:pPr>
              <w:jc w:val="center"/>
              <w:rPr>
                <w:color w:val="000000"/>
                <w:szCs w:val="21"/>
              </w:rPr>
            </w:pPr>
          </w:p>
        </w:tc>
        <w:tc>
          <w:tcPr>
            <w:tcW w:w="1667" w:type="dxa"/>
            <w:vAlign w:val="center"/>
          </w:tcPr>
          <w:p w14:paraId="4791C733">
            <w:pPr>
              <w:jc w:val="center"/>
              <w:rPr>
                <w:color w:val="000000"/>
                <w:szCs w:val="21"/>
              </w:rPr>
            </w:pPr>
          </w:p>
        </w:tc>
      </w:tr>
      <w:tr w14:paraId="43FB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2E8D49C8">
            <w:pPr>
              <w:jc w:val="center"/>
              <w:rPr>
                <w:color w:val="000000"/>
                <w:szCs w:val="21"/>
              </w:rPr>
            </w:pPr>
          </w:p>
        </w:tc>
        <w:tc>
          <w:tcPr>
            <w:tcW w:w="1134" w:type="dxa"/>
            <w:vAlign w:val="center"/>
          </w:tcPr>
          <w:p w14:paraId="0AC2AB7E">
            <w:pPr>
              <w:jc w:val="center"/>
              <w:rPr>
                <w:color w:val="000000"/>
                <w:szCs w:val="21"/>
              </w:rPr>
            </w:pPr>
          </w:p>
        </w:tc>
        <w:tc>
          <w:tcPr>
            <w:tcW w:w="992" w:type="dxa"/>
            <w:vAlign w:val="center"/>
          </w:tcPr>
          <w:p w14:paraId="2A93F6A3">
            <w:pPr>
              <w:jc w:val="center"/>
              <w:rPr>
                <w:color w:val="000000"/>
                <w:szCs w:val="21"/>
              </w:rPr>
            </w:pPr>
          </w:p>
        </w:tc>
        <w:tc>
          <w:tcPr>
            <w:tcW w:w="1730" w:type="dxa"/>
            <w:vAlign w:val="center"/>
          </w:tcPr>
          <w:p w14:paraId="1B0ED58C">
            <w:pPr>
              <w:jc w:val="center"/>
              <w:rPr>
                <w:color w:val="000000"/>
                <w:szCs w:val="21"/>
              </w:rPr>
            </w:pPr>
          </w:p>
        </w:tc>
        <w:tc>
          <w:tcPr>
            <w:tcW w:w="1843" w:type="dxa"/>
            <w:vAlign w:val="center"/>
          </w:tcPr>
          <w:p w14:paraId="7C43872B">
            <w:pPr>
              <w:jc w:val="center"/>
              <w:rPr>
                <w:color w:val="000000"/>
                <w:szCs w:val="21"/>
              </w:rPr>
            </w:pPr>
          </w:p>
        </w:tc>
        <w:tc>
          <w:tcPr>
            <w:tcW w:w="1667" w:type="dxa"/>
            <w:vAlign w:val="center"/>
          </w:tcPr>
          <w:p w14:paraId="1E36967A">
            <w:pPr>
              <w:jc w:val="center"/>
              <w:rPr>
                <w:color w:val="000000"/>
                <w:szCs w:val="21"/>
              </w:rPr>
            </w:pPr>
          </w:p>
        </w:tc>
      </w:tr>
      <w:tr w14:paraId="7C61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C0C733E">
            <w:pPr>
              <w:jc w:val="center"/>
              <w:rPr>
                <w:color w:val="000000"/>
                <w:szCs w:val="21"/>
              </w:rPr>
            </w:pPr>
          </w:p>
        </w:tc>
        <w:tc>
          <w:tcPr>
            <w:tcW w:w="1134" w:type="dxa"/>
            <w:vAlign w:val="center"/>
          </w:tcPr>
          <w:p w14:paraId="2E059C1F">
            <w:pPr>
              <w:jc w:val="center"/>
              <w:rPr>
                <w:color w:val="000000"/>
                <w:szCs w:val="21"/>
              </w:rPr>
            </w:pPr>
          </w:p>
        </w:tc>
        <w:tc>
          <w:tcPr>
            <w:tcW w:w="992" w:type="dxa"/>
            <w:vAlign w:val="center"/>
          </w:tcPr>
          <w:p w14:paraId="0C537004">
            <w:pPr>
              <w:jc w:val="center"/>
              <w:rPr>
                <w:color w:val="000000"/>
                <w:szCs w:val="21"/>
              </w:rPr>
            </w:pPr>
          </w:p>
        </w:tc>
        <w:tc>
          <w:tcPr>
            <w:tcW w:w="1730" w:type="dxa"/>
            <w:vAlign w:val="center"/>
          </w:tcPr>
          <w:p w14:paraId="5A92A6A8">
            <w:pPr>
              <w:jc w:val="center"/>
              <w:rPr>
                <w:color w:val="000000"/>
                <w:szCs w:val="21"/>
              </w:rPr>
            </w:pPr>
          </w:p>
        </w:tc>
        <w:tc>
          <w:tcPr>
            <w:tcW w:w="1843" w:type="dxa"/>
            <w:vAlign w:val="center"/>
          </w:tcPr>
          <w:p w14:paraId="3ED1443E">
            <w:pPr>
              <w:jc w:val="center"/>
              <w:rPr>
                <w:color w:val="000000"/>
                <w:szCs w:val="21"/>
              </w:rPr>
            </w:pPr>
          </w:p>
        </w:tc>
        <w:tc>
          <w:tcPr>
            <w:tcW w:w="1667" w:type="dxa"/>
            <w:vAlign w:val="center"/>
          </w:tcPr>
          <w:p w14:paraId="6C57051D">
            <w:pPr>
              <w:jc w:val="center"/>
              <w:rPr>
                <w:color w:val="000000"/>
                <w:szCs w:val="21"/>
              </w:rPr>
            </w:pPr>
          </w:p>
        </w:tc>
      </w:tr>
      <w:tr w14:paraId="6909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7DFC7D3">
            <w:pPr>
              <w:jc w:val="center"/>
              <w:rPr>
                <w:color w:val="000000"/>
                <w:szCs w:val="21"/>
              </w:rPr>
            </w:pPr>
          </w:p>
        </w:tc>
        <w:tc>
          <w:tcPr>
            <w:tcW w:w="1134" w:type="dxa"/>
            <w:vAlign w:val="center"/>
          </w:tcPr>
          <w:p w14:paraId="50FEE17A">
            <w:pPr>
              <w:jc w:val="center"/>
              <w:rPr>
                <w:color w:val="000000"/>
                <w:szCs w:val="21"/>
              </w:rPr>
            </w:pPr>
          </w:p>
        </w:tc>
        <w:tc>
          <w:tcPr>
            <w:tcW w:w="992" w:type="dxa"/>
            <w:vAlign w:val="center"/>
          </w:tcPr>
          <w:p w14:paraId="2CBC94CB">
            <w:pPr>
              <w:jc w:val="center"/>
              <w:rPr>
                <w:color w:val="000000"/>
                <w:szCs w:val="21"/>
              </w:rPr>
            </w:pPr>
          </w:p>
        </w:tc>
        <w:tc>
          <w:tcPr>
            <w:tcW w:w="1730" w:type="dxa"/>
            <w:vAlign w:val="center"/>
          </w:tcPr>
          <w:p w14:paraId="5EBED2C2">
            <w:pPr>
              <w:jc w:val="center"/>
              <w:rPr>
                <w:color w:val="000000"/>
                <w:szCs w:val="21"/>
              </w:rPr>
            </w:pPr>
          </w:p>
        </w:tc>
        <w:tc>
          <w:tcPr>
            <w:tcW w:w="1843" w:type="dxa"/>
            <w:vAlign w:val="center"/>
          </w:tcPr>
          <w:p w14:paraId="691CF459">
            <w:pPr>
              <w:jc w:val="center"/>
              <w:rPr>
                <w:color w:val="000000"/>
                <w:szCs w:val="21"/>
              </w:rPr>
            </w:pPr>
          </w:p>
        </w:tc>
        <w:tc>
          <w:tcPr>
            <w:tcW w:w="1667" w:type="dxa"/>
            <w:vAlign w:val="center"/>
          </w:tcPr>
          <w:p w14:paraId="17A7FB14">
            <w:pPr>
              <w:jc w:val="center"/>
              <w:rPr>
                <w:color w:val="000000"/>
                <w:szCs w:val="21"/>
              </w:rPr>
            </w:pPr>
          </w:p>
        </w:tc>
      </w:tr>
      <w:tr w14:paraId="427BD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6720DEFC">
            <w:pPr>
              <w:jc w:val="center"/>
              <w:rPr>
                <w:color w:val="000000"/>
                <w:szCs w:val="21"/>
              </w:rPr>
            </w:pPr>
          </w:p>
        </w:tc>
        <w:tc>
          <w:tcPr>
            <w:tcW w:w="1134" w:type="dxa"/>
            <w:vAlign w:val="center"/>
          </w:tcPr>
          <w:p w14:paraId="5E489214">
            <w:pPr>
              <w:jc w:val="center"/>
              <w:rPr>
                <w:color w:val="000000"/>
                <w:szCs w:val="21"/>
              </w:rPr>
            </w:pPr>
          </w:p>
        </w:tc>
        <w:tc>
          <w:tcPr>
            <w:tcW w:w="992" w:type="dxa"/>
            <w:vAlign w:val="center"/>
          </w:tcPr>
          <w:p w14:paraId="792310FD">
            <w:pPr>
              <w:jc w:val="center"/>
              <w:rPr>
                <w:color w:val="000000"/>
                <w:szCs w:val="21"/>
              </w:rPr>
            </w:pPr>
          </w:p>
        </w:tc>
        <w:tc>
          <w:tcPr>
            <w:tcW w:w="1730" w:type="dxa"/>
            <w:vAlign w:val="center"/>
          </w:tcPr>
          <w:p w14:paraId="3F31776A">
            <w:pPr>
              <w:jc w:val="center"/>
              <w:rPr>
                <w:color w:val="000000"/>
                <w:szCs w:val="21"/>
              </w:rPr>
            </w:pPr>
          </w:p>
        </w:tc>
        <w:tc>
          <w:tcPr>
            <w:tcW w:w="1843" w:type="dxa"/>
            <w:vAlign w:val="center"/>
          </w:tcPr>
          <w:p w14:paraId="492CF0AC">
            <w:pPr>
              <w:jc w:val="center"/>
              <w:rPr>
                <w:color w:val="000000"/>
                <w:szCs w:val="21"/>
              </w:rPr>
            </w:pPr>
          </w:p>
        </w:tc>
        <w:tc>
          <w:tcPr>
            <w:tcW w:w="1667" w:type="dxa"/>
            <w:vAlign w:val="center"/>
          </w:tcPr>
          <w:p w14:paraId="6332DD71">
            <w:pPr>
              <w:jc w:val="center"/>
              <w:rPr>
                <w:color w:val="000000"/>
                <w:szCs w:val="21"/>
              </w:rPr>
            </w:pPr>
          </w:p>
        </w:tc>
      </w:tr>
      <w:tr w14:paraId="770A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734EED50">
            <w:pPr>
              <w:jc w:val="center"/>
              <w:rPr>
                <w:color w:val="000000"/>
                <w:szCs w:val="21"/>
              </w:rPr>
            </w:pPr>
          </w:p>
        </w:tc>
        <w:tc>
          <w:tcPr>
            <w:tcW w:w="1134" w:type="dxa"/>
            <w:vAlign w:val="center"/>
          </w:tcPr>
          <w:p w14:paraId="3186F668">
            <w:pPr>
              <w:jc w:val="center"/>
              <w:rPr>
                <w:color w:val="000000"/>
                <w:szCs w:val="21"/>
              </w:rPr>
            </w:pPr>
          </w:p>
        </w:tc>
        <w:tc>
          <w:tcPr>
            <w:tcW w:w="992" w:type="dxa"/>
            <w:vAlign w:val="center"/>
          </w:tcPr>
          <w:p w14:paraId="4D2D68E1">
            <w:pPr>
              <w:jc w:val="center"/>
              <w:rPr>
                <w:color w:val="000000"/>
                <w:szCs w:val="21"/>
              </w:rPr>
            </w:pPr>
          </w:p>
        </w:tc>
        <w:tc>
          <w:tcPr>
            <w:tcW w:w="1730" w:type="dxa"/>
            <w:vAlign w:val="center"/>
          </w:tcPr>
          <w:p w14:paraId="21E61D5C">
            <w:pPr>
              <w:jc w:val="center"/>
              <w:rPr>
                <w:color w:val="000000"/>
                <w:szCs w:val="21"/>
              </w:rPr>
            </w:pPr>
          </w:p>
        </w:tc>
        <w:tc>
          <w:tcPr>
            <w:tcW w:w="1843" w:type="dxa"/>
            <w:vAlign w:val="center"/>
          </w:tcPr>
          <w:p w14:paraId="6EB1270A">
            <w:pPr>
              <w:jc w:val="center"/>
              <w:rPr>
                <w:color w:val="000000"/>
                <w:szCs w:val="21"/>
              </w:rPr>
            </w:pPr>
          </w:p>
        </w:tc>
        <w:tc>
          <w:tcPr>
            <w:tcW w:w="1667" w:type="dxa"/>
            <w:vAlign w:val="center"/>
          </w:tcPr>
          <w:p w14:paraId="5BC0B92C">
            <w:pPr>
              <w:jc w:val="center"/>
              <w:rPr>
                <w:color w:val="000000"/>
                <w:szCs w:val="21"/>
              </w:rPr>
            </w:pPr>
          </w:p>
        </w:tc>
      </w:tr>
      <w:tr w14:paraId="449DE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43CFC353">
            <w:pPr>
              <w:ind w:firstLine="630" w:firstLineChars="300"/>
              <w:rPr>
                <w:color w:val="000000"/>
                <w:szCs w:val="21"/>
              </w:rPr>
            </w:pPr>
            <w:r>
              <w:rPr>
                <w:rFonts w:hint="eastAsia"/>
                <w:color w:val="000000"/>
                <w:szCs w:val="21"/>
              </w:rPr>
              <w:t>合计</w:t>
            </w:r>
          </w:p>
        </w:tc>
        <w:tc>
          <w:tcPr>
            <w:tcW w:w="1134" w:type="dxa"/>
            <w:vAlign w:val="center"/>
          </w:tcPr>
          <w:p w14:paraId="0AE5515D">
            <w:pPr>
              <w:jc w:val="center"/>
              <w:rPr>
                <w:color w:val="000000"/>
                <w:szCs w:val="21"/>
              </w:rPr>
            </w:pPr>
          </w:p>
        </w:tc>
        <w:tc>
          <w:tcPr>
            <w:tcW w:w="992" w:type="dxa"/>
            <w:vAlign w:val="center"/>
          </w:tcPr>
          <w:p w14:paraId="6A8D579D">
            <w:pPr>
              <w:jc w:val="center"/>
              <w:rPr>
                <w:color w:val="000000"/>
                <w:szCs w:val="21"/>
              </w:rPr>
            </w:pPr>
          </w:p>
        </w:tc>
        <w:tc>
          <w:tcPr>
            <w:tcW w:w="1730" w:type="dxa"/>
            <w:vAlign w:val="center"/>
          </w:tcPr>
          <w:p w14:paraId="64A5F299">
            <w:pPr>
              <w:jc w:val="center"/>
              <w:rPr>
                <w:color w:val="000000"/>
                <w:szCs w:val="21"/>
              </w:rPr>
            </w:pPr>
          </w:p>
        </w:tc>
        <w:tc>
          <w:tcPr>
            <w:tcW w:w="1843" w:type="dxa"/>
            <w:vAlign w:val="center"/>
          </w:tcPr>
          <w:p w14:paraId="3E741C2E">
            <w:pPr>
              <w:jc w:val="center"/>
              <w:rPr>
                <w:rFonts w:hint="eastAsia"/>
                <w:color w:val="000000"/>
                <w:szCs w:val="21"/>
              </w:rPr>
            </w:pPr>
          </w:p>
        </w:tc>
        <w:tc>
          <w:tcPr>
            <w:tcW w:w="1667" w:type="dxa"/>
            <w:vAlign w:val="center"/>
          </w:tcPr>
          <w:p w14:paraId="2CF252E2">
            <w:pPr>
              <w:jc w:val="center"/>
              <w:rPr>
                <w:color w:val="000000"/>
                <w:szCs w:val="21"/>
              </w:rPr>
            </w:pPr>
          </w:p>
        </w:tc>
      </w:tr>
      <w:tr w14:paraId="0264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19" w:type="dxa"/>
            <w:gridSpan w:val="3"/>
          </w:tcPr>
          <w:p w14:paraId="4CF5C25A">
            <w:pPr>
              <w:rPr>
                <w:color w:val="000000"/>
                <w:szCs w:val="21"/>
              </w:rPr>
            </w:pPr>
          </w:p>
          <w:p w14:paraId="1971F42F">
            <w:pPr>
              <w:rPr>
                <w:color w:val="000000"/>
                <w:szCs w:val="21"/>
              </w:rPr>
            </w:pPr>
            <w:r>
              <w:rPr>
                <w:rFonts w:hint="eastAsia"/>
                <w:color w:val="000000"/>
                <w:szCs w:val="21"/>
              </w:rPr>
              <w:t>学院分团委</w:t>
            </w:r>
            <w:r>
              <w:rPr>
                <w:color w:val="000000"/>
                <w:szCs w:val="21"/>
              </w:rPr>
              <w:t>意见</w:t>
            </w:r>
          </w:p>
          <w:p w14:paraId="4788F03C">
            <w:pPr>
              <w:rPr>
                <w:color w:val="000000"/>
                <w:szCs w:val="21"/>
              </w:rPr>
            </w:pPr>
          </w:p>
          <w:p w14:paraId="7A41962C">
            <w:pPr>
              <w:rPr>
                <w:color w:val="000000"/>
                <w:szCs w:val="21"/>
              </w:rPr>
            </w:pPr>
          </w:p>
          <w:p w14:paraId="1940407C">
            <w:pPr>
              <w:ind w:firstLine="1995" w:firstLineChars="950"/>
              <w:rPr>
                <w:color w:val="000000"/>
                <w:szCs w:val="21"/>
              </w:rPr>
            </w:pPr>
          </w:p>
          <w:p w14:paraId="76448A31">
            <w:pPr>
              <w:ind w:firstLine="1890" w:firstLineChars="900"/>
              <w:rPr>
                <w:color w:val="000000"/>
                <w:szCs w:val="21"/>
              </w:rPr>
            </w:pPr>
            <w:r>
              <w:rPr>
                <w:color w:val="000000"/>
                <w:szCs w:val="21"/>
              </w:rPr>
              <w:t>签字</w:t>
            </w:r>
            <w:r>
              <w:rPr>
                <w:rFonts w:hint="eastAsia"/>
                <w:color w:val="000000"/>
                <w:szCs w:val="21"/>
              </w:rPr>
              <w:t>：</w:t>
            </w:r>
          </w:p>
          <w:p w14:paraId="53E8EBA7">
            <w:pPr>
              <w:ind w:firstLine="1890" w:firstLineChars="900"/>
              <w:rPr>
                <w:color w:val="000000"/>
                <w:szCs w:val="21"/>
              </w:rPr>
            </w:pPr>
          </w:p>
          <w:p w14:paraId="779139C6">
            <w:pPr>
              <w:ind w:firstLine="2520" w:firstLineChars="1200"/>
              <w:rPr>
                <w:color w:val="000000"/>
                <w:szCs w:val="21"/>
              </w:rPr>
            </w:pPr>
            <w:r>
              <w:rPr>
                <w:rFonts w:hint="eastAsia"/>
                <w:color w:val="000000"/>
                <w:szCs w:val="21"/>
              </w:rPr>
              <w:t>年    月    日</w:t>
            </w:r>
          </w:p>
          <w:p w14:paraId="059696CE">
            <w:pPr>
              <w:rPr>
                <w:color w:val="000000"/>
                <w:szCs w:val="21"/>
              </w:rPr>
            </w:pPr>
          </w:p>
        </w:tc>
        <w:tc>
          <w:tcPr>
            <w:tcW w:w="5240" w:type="dxa"/>
            <w:gridSpan w:val="3"/>
          </w:tcPr>
          <w:p w14:paraId="536BAB41">
            <w:pPr>
              <w:rPr>
                <w:color w:val="000000"/>
                <w:szCs w:val="21"/>
              </w:rPr>
            </w:pPr>
          </w:p>
          <w:p w14:paraId="6ED086DA">
            <w:pPr>
              <w:rPr>
                <w:color w:val="000000"/>
                <w:szCs w:val="21"/>
              </w:rPr>
            </w:pPr>
            <w:r>
              <w:rPr>
                <w:color w:val="000000"/>
                <w:szCs w:val="21"/>
              </w:rPr>
              <w:t>领导意见</w:t>
            </w:r>
          </w:p>
          <w:p w14:paraId="2BD542A4">
            <w:pPr>
              <w:rPr>
                <w:color w:val="000000"/>
                <w:szCs w:val="21"/>
              </w:rPr>
            </w:pPr>
          </w:p>
          <w:p w14:paraId="73753115">
            <w:pPr>
              <w:rPr>
                <w:color w:val="000000"/>
                <w:szCs w:val="21"/>
              </w:rPr>
            </w:pPr>
          </w:p>
          <w:p w14:paraId="6501CABF">
            <w:pPr>
              <w:ind w:firstLine="2835" w:firstLineChars="1350"/>
              <w:rPr>
                <w:color w:val="000000"/>
                <w:szCs w:val="21"/>
              </w:rPr>
            </w:pPr>
          </w:p>
          <w:p w14:paraId="646F8C9F">
            <w:pPr>
              <w:ind w:firstLine="2835" w:firstLineChars="1350"/>
              <w:rPr>
                <w:color w:val="000000"/>
                <w:szCs w:val="21"/>
              </w:rPr>
            </w:pPr>
            <w:r>
              <w:rPr>
                <w:color w:val="000000"/>
                <w:szCs w:val="21"/>
              </w:rPr>
              <w:t>签字</w:t>
            </w:r>
            <w:r>
              <w:rPr>
                <w:rFonts w:hint="eastAsia"/>
                <w:color w:val="000000"/>
                <w:szCs w:val="21"/>
              </w:rPr>
              <w:t>：</w:t>
            </w:r>
          </w:p>
          <w:p w14:paraId="43466FF5">
            <w:pPr>
              <w:ind w:firstLine="2835" w:firstLineChars="1350"/>
              <w:rPr>
                <w:color w:val="000000"/>
                <w:szCs w:val="21"/>
              </w:rPr>
            </w:pPr>
          </w:p>
          <w:p w14:paraId="72194F9D">
            <w:pPr>
              <w:ind w:firstLine="3465" w:firstLineChars="1650"/>
              <w:rPr>
                <w:color w:val="000000"/>
                <w:szCs w:val="21"/>
              </w:rPr>
            </w:pPr>
            <w:r>
              <w:rPr>
                <w:rFonts w:hint="eastAsia"/>
                <w:color w:val="000000"/>
                <w:szCs w:val="21"/>
              </w:rPr>
              <w:t>年    月    日</w:t>
            </w:r>
          </w:p>
          <w:p w14:paraId="4367C70B">
            <w:pPr>
              <w:ind w:firstLine="2625" w:firstLineChars="1250"/>
              <w:rPr>
                <w:color w:val="000000"/>
                <w:szCs w:val="21"/>
              </w:rPr>
            </w:pPr>
          </w:p>
        </w:tc>
      </w:tr>
    </w:tbl>
    <w:p>
      <w:pPr>
        <w:pStyle w:val="Heading1"/>
      </w:pPr>
      <w:r>
        <w:t>活动工作人员贡献登记字段</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登记项</w:t>
            </w:r>
          </w:p>
        </w:tc>
        <w:tc>
          <w:tcPr>
            <w:tcW w:type="dxa" w:w="4802"/>
          </w:tcPr>
          <w:p>
            <w:r>
              <w:rPr>
                <w:sz w:val="18"/>
              </w:rPr>
              <w:t>内容</w:t>
            </w:r>
          </w:p>
        </w:tc>
      </w:tr>
      <w:tr>
        <w:trPr>
          <w:cantSplit/>
        </w:trPr>
        <w:tc>
          <w:tcPr>
            <w:tcW w:type="dxa" w:w="4802"/>
          </w:tcPr>
          <w:p>
            <w:r>
              <w:rPr>
                <w:sz w:val="18"/>
              </w:rPr>
              <w:t>活动信息</w:t>
            </w:r>
          </w:p>
        </w:tc>
        <w:tc>
          <w:tcPr>
            <w:tcW w:type="dxa" w:w="4802"/>
          </w:tcPr>
          <w:p>
            <w:r>
              <w:rPr>
                <w:sz w:val="18"/>
              </w:rPr>
              <w:t>编号、名称、日期、承办部门</w:t>
            </w:r>
          </w:p>
        </w:tc>
      </w:tr>
      <w:tr>
        <w:trPr>
          <w:cantSplit/>
        </w:trPr>
        <w:tc>
          <w:tcPr>
            <w:tcW w:type="dxa" w:w="4802"/>
          </w:tcPr>
          <w:p>
            <w:r>
              <w:rPr>
                <w:sz w:val="18"/>
              </w:rPr>
              <w:t>工作人员信息</w:t>
            </w:r>
          </w:p>
        </w:tc>
        <w:tc>
          <w:tcPr>
            <w:tcW w:type="dxa" w:w="4802"/>
          </w:tcPr>
          <w:p>
            <w:r>
              <w:rPr>
                <w:sz w:val="18"/>
              </w:rPr>
              <w:t>姓名、所属组织、岗位、具体任务</w:t>
            </w:r>
          </w:p>
        </w:tc>
      </w:tr>
      <w:tr>
        <w:trPr>
          <w:cantSplit/>
        </w:trPr>
        <w:tc>
          <w:tcPr>
            <w:tcW w:type="dxa" w:w="4802"/>
          </w:tcPr>
          <w:p>
            <w:r>
              <w:rPr>
                <w:sz w:val="18"/>
              </w:rPr>
              <w:t>履职证据</w:t>
            </w:r>
          </w:p>
        </w:tc>
        <w:tc>
          <w:tcPr>
            <w:tcW w:type="dxa" w:w="4802"/>
          </w:tcPr>
          <w:p>
            <w:r>
              <w:rPr>
                <w:sz w:val="18"/>
              </w:rPr>
              <w:t>完成情况、成果材料及核验人</w:t>
            </w:r>
          </w:p>
        </w:tc>
      </w:tr>
      <w:tr>
        <w:trPr>
          <w:cantSplit/>
        </w:trPr>
        <w:tc>
          <w:tcPr>
            <w:tcW w:type="dxa" w:w="4802"/>
          </w:tcPr>
          <w:p>
            <w:r>
              <w:rPr>
                <w:sz w:val="18"/>
              </w:rPr>
              <w:t>申报信息</w:t>
            </w:r>
          </w:p>
        </w:tc>
        <w:tc>
          <w:tcPr>
            <w:tcW w:type="dxa" w:w="4802"/>
          </w:tcPr>
          <w:p>
            <w:r>
              <w:rPr>
                <w:sz w:val="18"/>
              </w:rPr>
              <w:t>活动有效场次、分档、奖励类别及去重结果</w:t>
            </w:r>
          </w:p>
        </w:tc>
      </w:tr>
      <w:tr>
        <w:trPr>
          <w:cantSplit/>
        </w:trPr>
        <w:tc>
          <w:tcPr>
            <w:tcW w:type="dxa" w:w="4802"/>
          </w:tcPr>
          <w:p>
            <w:r>
              <w:rPr>
                <w:sz w:val="18"/>
              </w:rPr>
              <w:t>审核复核</w:t>
            </w:r>
          </w:p>
        </w:tc>
        <w:tc>
          <w:tcPr>
            <w:tcW w:type="dxa" w:w="4802"/>
          </w:tcPr>
          <w:p>
            <w:r>
              <w:rPr>
                <w:sz w:val="18"/>
              </w:rPr>
              <w:t>承办部长依据、指导老师审核、公示及异议处理</w:t>
            </w:r>
          </w:p>
        </w:tc>
      </w:tr>
    </w:tbl>
    <w:p>
      <w:pPr>
        <w:pStyle w:val="Heading1"/>
      </w:pPr>
      <w:r>
        <w:t>学校制度衔接说明</w:t>
      </w:r>
    </w:p>
    <w:p>
      <w:r>
        <w:t>操行依据：《学生操行成绩实施办法》第六至八条，操行基本分75分、满分100分，一学期无惩罚扣分加5分；对操行认定结果有异议，可在公布后1周内申请复核（学校手册印刷页70—71，手册3 PDF第13—14页）。</w:t>
      </w:r>
    </w:p>
    <w:p>
      <w:r>
        <w:t>综测依据：《学生奖学金评定办法》第九条，综合测评分按操行20%、学习70%、奖励10%计算，精确到小数点后两位；不同类别奖励可累加，但总分不超过100分。本手册部门奖励6分上限和二级队伍不受6分限制均不突破学校奖励总分规则（印刷页73、75，手册3 PDF第16、18页）。</w:t>
      </w:r>
    </w:p>
    <w:p>
      <w:r>
        <w:t>荣誉项目区分：学校《学生荣誉称号评选办法》中的“优秀学生干部”与本稿拟报“优秀工作者”不能仅凭近似名称互相套用名额和评选周期；本稿15%、50%口径须另以相应项目通知核定（学校手册印刷页82—83，手册3 PDF第25—26页）。</w:t>
      </w:r>
    </w:p>
    <w:p>
      <w:r>
        <w:t>第二课堂认证按学校申报、复核、负责部门审核与指导委员会终审程序办理。新增项目需按程序申请认定，部门不能用内部考核分直接替代平台认证（学校手册印刷页135—136，手册5 PDF第18—19页）。</w:t>
      </w:r>
    </w:p>
    <w:p>
      <w:r>
        <w:t>学生团体相关规定用于相应团体的章程、成员权利、活动报批及财务衔接；其中社团服务中心的注册、会费或审批程序，不自动适用于学院团委、学生会所有部门（学校手册印刷页77—81，手册3 PDF第20—24页）。</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整合送审稿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数经学院团学组织规章制度手册｜整合送审稿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