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教师意见落实与Xmanual导入说明</w:t>
      </w:r>
    </w:p>
    <w:p>
      <w:r>
        <w:t>中文版和英文版各一份，共两份Word和两份参考PDF；不再逐段混排。</w:t>
      </w:r>
    </w:p>
    <w:p>
      <w:r>
        <w:t>结构为产品概述、技术规格、使用方法、安全警告、售后条款五大模块。原有隐私、保养、故障排查等内容保留在使用方法中。</w:t>
      </w:r>
    </w:p>
    <w:p>
      <w:r>
        <w:t>中文正文设置首行缩进两字（不是手动空格），标题分三级，标题蓝色、正文深色；表格统一深色表头和浅色行底。</w:t>
      </w:r>
    </w:p>
    <w:p>
      <w:r>
        <w:t>产品图、场景图和规格表后增加文字解读，说明图表用途及有来源支持的产品特点；故障表强调检查路径与复测，不硬凑卖点。</w:t>
      </w:r>
    </w:p>
    <w:p>
      <w:r>
        <w:t>参考华硕手册的层级、留白和规格表呈现，不复制其品牌图案、技术内容及保修政策。</w:t>
      </w:r>
    </w:p>
    <w:p>
      <w:r>
        <w:t>已核实细则第5页：须在Xmanual上直接创作内容和样式。本地Word用于导入，PDF是参考输出，不是已经在Xmanual制作或导出的文件。</w:t>
      </w:r>
    </w:p>
    <w:p>
      <w:r>
        <w:t>Xmanual建议分别建立中文和英文手册，语言分别选择中文简体及英语，上传相应Word；核查大纲、正文、图片及表格是否实际导入，再在平台调整样式和导出。</w:t>
      </w:r>
    </w:p>
    <w:p>
      <w:r>
        <w:t>封面需补齐团队名称、选手、指导教师及队长电话邮箱；封面和正文不出现学校名称。提交前按细则人工编辑校对，准备官方模板的AI报告和原创性声明。</w:t>
      </w:r>
    </w:p>
    <w:p>
      <w:r>
        <w:t>当前没有浏览器或电脑控制接口，尚未操作用户电脑、登录Xmanual、上传到Xmanual或替用户提交作品。</w:t>
      </w:r>
    </w:p>
    <w:p>
      <w:r>
        <w:t>美国售后及地区服务仍需核实；不编造认证、保修期限或联系方式。英文中的中文App名称和唤醒词是产品专名，不表示英语唤醒已支持。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