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原文完整性与差异核对报告</w:t>
      </w:r>
    </w:p>
    <w:p>
      <w:r>
        <w:t>对应文件：《数经学院团学组织制度汇编_原文保留核对版》｜2026年10月19日</w:t>
      </w:r>
    </w:p>
    <w:p>
      <w:pPr>
        <w:pStyle w:val="Heading1"/>
      </w:pPr>
      <w:r>
        <w:t>一、核对结论</w:t>
      </w:r>
    </w:p>
    <w:p>
      <w:r>
        <w:t>8份部门文件已全部纳入汇编。保存后重新读取Word，逐文件、逐正文元素核对有序文字，结果均一致；原文段落和原表内容未删减、未改写。办公室报销、奖状制作及宣传部全部原文段落另作逐段复核，均通过。青志原件图片的媒体文件哈希与汇编一致。</w:t>
      </w:r>
    </w:p>
    <w:p>
      <w:r>
        <w:t>本次核对区分两类结果：“与报送原文有无差异”检查原文是否完整保留；“制度口径有无冲突”列出原件之间及原件与后续共同口径的矛盾。前一类通过，不表示后一类冲突已获解决。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1921"/>
          </w:tcPr>
          <w:p>
            <w:r>
              <w:rPr>
                <w:sz w:val="18"/>
              </w:rPr>
              <w:t>报送文件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段落数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原表数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行内图片数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原文核对</w:t>
            </w:r>
          </w:p>
        </w:tc>
      </w:tr>
      <w:tr>
        <w:trPr>
          <w:cantSplit/>
        </w:trPr>
        <w:tc>
          <w:tcPr>
            <w:tcW w:type="dxa" w:w="1921"/>
          </w:tcPr>
          <w:p>
            <w:r>
              <w:rPr>
                <w:sz w:val="18"/>
              </w:rPr>
              <w:t>组织部.docx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有序文字及表格一致，无删改</w:t>
            </w:r>
          </w:p>
        </w:tc>
      </w:tr>
      <w:tr>
        <w:trPr>
          <w:cantSplit/>
        </w:trPr>
        <w:tc>
          <w:tcPr>
            <w:tcW w:type="dxa" w:w="1921"/>
          </w:tcPr>
          <w:p>
            <w:r>
              <w:rPr>
                <w:sz w:val="18"/>
              </w:rPr>
              <w:t>宣传部规章制度(1).docx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有序文字及表格一致，无删改</w:t>
            </w:r>
          </w:p>
        </w:tc>
      </w:tr>
      <w:tr>
        <w:trPr>
          <w:cantSplit/>
        </w:trPr>
        <w:tc>
          <w:tcPr>
            <w:tcW w:type="dxa" w:w="1921"/>
          </w:tcPr>
          <w:p>
            <w:r>
              <w:rPr>
                <w:sz w:val="18"/>
              </w:rPr>
              <w:t>实践部部门规章制度(1).docx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有序文字及表格一致，无删改</w:t>
            </w:r>
          </w:p>
        </w:tc>
      </w:tr>
      <w:tr>
        <w:trPr>
          <w:cantSplit/>
        </w:trPr>
        <w:tc>
          <w:tcPr>
            <w:tcW w:type="dxa" w:w="1921"/>
          </w:tcPr>
          <w:p>
            <w:r>
              <w:rPr>
                <w:sz w:val="18"/>
              </w:rPr>
              <w:t>办公室规章流程.docx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有序文字及表格一致，无删改</w:t>
            </w:r>
          </w:p>
        </w:tc>
      </w:tr>
      <w:tr>
        <w:trPr>
          <w:cantSplit/>
        </w:trPr>
        <w:tc>
          <w:tcPr>
            <w:tcW w:type="dxa" w:w="1921"/>
          </w:tcPr>
          <w:p>
            <w:r>
              <w:rPr>
                <w:sz w:val="18"/>
              </w:rPr>
              <w:t>数经学院体育队早检与经费管理制度.docx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有序文字及表格一致，无删改</w:t>
            </w:r>
          </w:p>
        </w:tc>
      </w:tr>
      <w:tr>
        <w:trPr>
          <w:cantSplit/>
        </w:trPr>
        <w:tc>
          <w:tcPr>
            <w:tcW w:type="dxa" w:w="1921"/>
          </w:tcPr>
          <w:p>
            <w:r>
              <w:rPr>
                <w:sz w:val="18"/>
              </w:rPr>
              <w:t>文艺部规章制度.docx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有序文字及表格一致，无删改</w:t>
            </w:r>
          </w:p>
        </w:tc>
      </w:tr>
      <w:tr>
        <w:trPr>
          <w:cantSplit/>
        </w:trPr>
        <w:tc>
          <w:tcPr>
            <w:tcW w:type="dxa" w:w="1921"/>
          </w:tcPr>
          <w:p>
            <w:r>
              <w:rPr>
                <w:sz w:val="18"/>
              </w:rPr>
              <w:t>权益部规章制度.docx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有序文字及表格一致，无删改</w:t>
            </w:r>
          </w:p>
        </w:tc>
      </w:tr>
      <w:tr>
        <w:trPr>
          <w:cantSplit/>
        </w:trPr>
        <w:tc>
          <w:tcPr>
            <w:tcW w:type="dxa" w:w="1921"/>
          </w:tcPr>
          <w:p>
            <w:r>
              <w:rPr>
                <w:sz w:val="18"/>
              </w:rPr>
              <w:t>青志管理总条例.docx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21"/>
          </w:tcPr>
          <w:p>
            <w:r>
              <w:rPr>
                <w:sz w:val="18"/>
              </w:rPr>
              <w:t>有序文字及表格一致，无删改</w:t>
            </w:r>
          </w:p>
        </w:tc>
      </w:tr>
    </w:tbl>
    <w:p>
      <w:r>
        <w:t>段落数为文档正文顶层段落，表格内文字另行随表核对。空白段落亦保留。权益部以原DOC转换后的DOCX作为正文比较基准，已与先前提取文本逐段一致；不声称完成对二进制DOC的原始排版逐像素比对。</w:t>
      </w:r>
    </w:p>
    <w:p>
      <w:pPr>
        <w:pStyle w:val="Heading1"/>
      </w:pPr>
      <w:r>
        <w:t>二、办公室与宣传部重点复核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r>
              <w:rPr>
                <w:sz w:val="18"/>
              </w:rPr>
              <w:t>保护范围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保留及核验结果</w:t>
            </w:r>
          </w:p>
        </w:tc>
      </w:tr>
      <w:tr>
        <w:trPr>
          <w:cantSplit/>
        </w:trPr>
        <w:tc>
          <w:tcPr>
            <w:tcW w:type="dxa" w:w="4802"/>
          </w:tcPr>
          <w:p>
            <w:r>
              <w:rPr>
                <w:sz w:val="18"/>
              </w:rPr>
              <w:t>办公室报销流程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电子经费申请表、线上线下采购、电子发票PDF打印、商户说明、票据背书“首次报销”等、学校抬头税号、超过200元与超过1000元材料、张博老师签字、办公室登记跟进等文字全部原样保留。</w:t>
            </w:r>
          </w:p>
        </w:tc>
      </w:tr>
      <w:tr>
        <w:trPr>
          <w:cantSplit/>
        </w:trPr>
        <w:tc>
          <w:tcPr>
            <w:tcW w:type="dxa" w:w="4802"/>
          </w:tcPr>
          <w:p>
            <w:r>
              <w:rPr>
                <w:sz w:val="18"/>
              </w:rPr>
              <w:t>办公室奖状制作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收集名单与奖项、双人核对、排版再校验、打印清点交付，三步原文逐段相同。</w:t>
            </w:r>
          </w:p>
        </w:tc>
      </w:tr>
      <w:tr>
        <w:trPr>
          <w:cantSplit/>
        </w:trPr>
        <w:tc>
          <w:tcPr>
            <w:tcW w:type="dxa" w:w="4802"/>
          </w:tcPr>
          <w:p>
            <w:r>
              <w:rPr>
                <w:sz w:val="18"/>
              </w:rPr>
              <w:t>办公室其他内容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岗位职责、物资采购流程、大型活动流程、例会、活动和纪律要求全部保留。</w:t>
            </w:r>
          </w:p>
        </w:tc>
      </w:tr>
      <w:tr>
        <w:trPr>
          <w:cantSplit/>
        </w:trPr>
        <w:tc>
          <w:tcPr>
            <w:tcW w:type="dxa" w:w="4802"/>
          </w:tcPr>
          <w:p>
            <w:r>
              <w:rPr>
                <w:sz w:val="18"/>
              </w:rPr>
              <w:t>宣传部加分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新闻稿文案1.5/拍照0.5；推文文案1/排版1（设计类1.5）/拍照0.5；点赞超过25加0.5；制图0.25每张且最高1.5每篇；审核0.25；大型海报2.5，全部按原文保留。</w:t>
            </w:r>
          </w:p>
        </w:tc>
      </w:tr>
      <w:tr>
        <w:trPr>
          <w:cantSplit/>
        </w:trPr>
        <w:tc>
          <w:tcPr>
            <w:tcW w:type="dxa" w:w="4802"/>
          </w:tcPr>
          <w:p>
            <w:r>
              <w:rPr>
                <w:sz w:val="18"/>
              </w:rPr>
              <w:t>宣传部其他内容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全部岗位职责、工作流程、18时交稿、当日新闻稿、例会及纪律原文保留；原件中干事职责第1项与副部职责重复，未静默修正。</w:t>
            </w:r>
          </w:p>
        </w:tc>
      </w:tr>
    </w:tbl>
    <w:p>
      <w:pPr>
        <w:pStyle w:val="Heading1"/>
      </w:pPr>
      <w:r>
        <w:t>三、与原件相比仅作的编排处理</w:t>
      </w:r>
    </w:p>
    <w:p>
      <w:r>
        <w:t>• 增加封面、阅读目录、组织归属标题、原文起止标识和来源说明。增加部分均置于原文之外。</w:t>
      </w:r>
    </w:p>
    <w:p>
      <w:r>
        <w:t>• 原文顺序调整为：团委组织部、宣传部、实践部；学生会办公室、学习部、体育部、文艺部、权益部；青志综合部、策划部、执行部。</w:t>
      </w:r>
    </w:p>
    <w:p>
      <w:r>
        <w:t>• 学习部仅收此前用户提供的计分口径；未伪造其“报送原件”。</w:t>
      </w:r>
    </w:p>
    <w:p>
      <w:r>
        <w:t>• 复制原文段落、表格、图片、字符和编号定义；样式标识作内部重命名防止不同文件样式互相覆盖。页面大小、页眉、页脚和章间分页按汇编统一；不承诺与各原件逐页分页相同。</w:t>
      </w:r>
    </w:p>
    <w:p>
      <w:r>
        <w:t>• 青志原件文末3张表保持原始顺序，不移动到其他条款下。原文件空白段落和原有落款日期亦保留。</w:t>
      </w:r>
    </w:p>
    <w:p>
      <w:r>
        <w:t>• 删除上一版本汇编者自行补写的部门业务条文和四队独立管理办法；没有将其当作部门原文继续收录。</w:t>
      </w:r>
    </w:p>
    <w:p>
      <w:pPr>
        <w:pStyle w:val="Heading1"/>
      </w:pPr>
      <w:r>
        <w:t>四、已发现的制度冲突与不明确处（未擅自改原文）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</w:tcPr>
          <w:p>
            <w:r>
              <w:rPr>
                <w:sz w:val="18"/>
              </w:rPr>
              <w:t>核对事项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原文／现有问题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本版处理与待确认事项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宣传计分与学校附件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宣传原文新闻稿文案1.5、推文排版1或1.5、拍照0.5、点赞加0.5、制图最高1.5等，与已提供学校宣传附件减半表有差别。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此次按用户要求原样保留部门数值，不再以附件替换。正式录入前由学院核定其依据，不能表述为已与校级附件完全一致。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宣传干事职责重复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干事第1项写成分配和指导干事，与副部职责重复。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正文原样保留，列明供部门确认是否应改，不由汇编者直接重写。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青志部门奖励上限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综合部每学期奖励最多4分；执行部亦为4分。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与后续确认的部门奖励合计6分冲突。共同口径写6分，原文保留4分；正式公示须确认替换。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青志操行上限不一致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综合部写操行累计最多10分；执行部写最多3分。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材料内部不一致，也不能直接与活动分档最高5分及优秀工作者荣誉合并解释，须明确适用项目。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青志时长奖励及换算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月度全勤奖励0.5小时、学期全勤1小时、表现突出0.5—2小时；超出加分部分可转志愿时长。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原样收录，但是否符合实际服务时长和平台规则须核准，不视为已获学校认可。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青志职务及额外分项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队内优秀工作者、创新建议、无差错、带队、部长统筹等另有操行或奖励加分。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与后续统一按实际活动2奖励及不按职位额外给分的口径存在冲突，需确认是否取消；本版不暗删。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青志竞赛与报道分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文末表对竞赛省校院级、媒体报道另定分值。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需与学校相应竞赛和宣传办法核对，不自动受部门办活动项目规则替代。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青志考勤与申诉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签到签退被称为唯一依据；迟到早退15分钟以上可能不计整次时长；公示逾期不受理与另设3天申诉并存。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原件保留，需明确技术故障补证、实际服务核算和纠错渠道。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青志报名限制及连带记录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黑名单2个月、禁入半学期或学期、累计加重、下属错误同步记部长副部等。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需核对部门是否有授权、处理范围及复核程序，不因收录即确认具有全校约束力。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体育豁免及缺勤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备赛前8周以训代检；赛事获奖免2／4／5／6周；旷训按旷检、累计3次取消全年豁免；一人虚报取消整队当期豁免。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均按原文保留。正式发布前核对审批权限、学校考勤依据、个人责任和例外处理，不自改周数与流程。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办公室时效性信息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票据抬头税号、可开发票商户、金额门槛、指定签字人等。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此次全部不改，但须由办公室确认现时有效；不以汇编者自行推测替换。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部门活动收尾时限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组织部、实践部要求24小时完成总结与归档，文艺部活动后1周内复盘，宣传部当日终稿等。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各部门专属时限原样保留，不再统一改成5个工作日或其他时限。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文艺队伍管理边界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原文强调队伍自治、文艺部不干预内部管理，列有辩论队。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保留自治及辩论队内容，不自行增删队伍；四支队伍细化办法需队伍实际规则或另行授权起草。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历史落款与问题分析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文艺部2025年9月、实践部2026年9月20日、体育部2026年9月18日；组织及实践原文含现存问题。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原样保留，属于原始材料；正式面向公众发布时是否移入内部附件，应由用户或部门决定。</w:t>
            </w:r>
          </w:p>
        </w:tc>
      </w:tr>
      <w:tr>
        <w:trPr>
          <w:cantSplit/>
        </w:trPr>
        <w:tc>
          <w:tcPr>
            <w:tcW w:type="dxa" w:w="3202"/>
          </w:tcPr>
          <w:p>
            <w:r>
              <w:rPr>
                <w:sz w:val="18"/>
              </w:rPr>
              <w:t>重大活动工作人员口径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学校申报名称与日常活动统计范围不同。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按用户最新说明：以学期约10场活动的有效工作场次分1／3／5档，不要求逐场认定重大活动。申报表应如实列活动与个人记录。</w:t>
            </w:r>
          </w:p>
        </w:tc>
      </w:tr>
    </w:tbl>
    <w:p>
      <w:pPr>
        <w:pStyle w:val="Heading1"/>
      </w:pPr>
      <w:r>
        <w:t>五、尚缺材料与公示前事项</w:t>
      </w:r>
    </w:p>
    <w:p>
      <w:r>
        <w:t>• 学习部尚无部门报送原文，现仅有用户提供的加分口径。</w:t>
      </w:r>
    </w:p>
    <w:p>
      <w:r>
        <w:t>• 声乐队、舞蹈队、礼仪队、主持队尚无各自独立详细规章；已保留文艺部现有队伍自治与演出对接原文。</w:t>
      </w:r>
    </w:p>
    <w:p>
      <w:r>
        <w:t>• 体育部本次原件为体育队早检与经费专项制度，不包含完整体育部其他日常业务；不新增未提供的制度。</w:t>
      </w:r>
    </w:p>
    <w:p>
      <w:r>
        <w:t>• 学校《大学生入学教育手册》PDF及ZIP均超过32 MiB传输限制，未能读取，故未完成与该手册的逐条核对；已提供的单页宣传附件另行纳入冲突检查。</w:t>
      </w:r>
    </w:p>
    <w:p>
      <w:r>
        <w:t>• 本版已完成部门原文完整性核对，仍属核对送审版本。应先确认上述制度冲突及公示范围，再整理正式公示文本，避免不同标准同时执行。</w:t>
      </w:r>
    </w:p>
    <w:p>
      <w:pPr>
        <w:pStyle w:val="Heading1"/>
      </w:pPr>
      <w:r>
        <w:t>附件：来源文件校验值</w:t>
      </w:r>
    </w:p>
    <w:p>
      <w:r>
        <w:t>组织部.docx</w:t>
        <w:br/>
        <w:t>SHA-256：c66d888430bc1bd8dd6b31c381b86d485888e3536ad7a66450941055611887fa</w:t>
      </w:r>
    </w:p>
    <w:p>
      <w:r>
        <w:t>宣传部规章制度(1).docx</w:t>
        <w:br/>
        <w:t>SHA-256：8af84a5ba076088101843ebecdabcd1ebf022dfaff81615aa70a83726a3c068a</w:t>
      </w:r>
    </w:p>
    <w:p>
      <w:r>
        <w:t>实践部部门规章制度(1).docx</w:t>
        <w:br/>
        <w:t>SHA-256：016f1f8e23822585b8098a1fb38aa37371031d10ed252cae707c15604966a35c</w:t>
      </w:r>
    </w:p>
    <w:p>
      <w:r>
        <w:t>办公室规章流程.docx</w:t>
        <w:br/>
        <w:t>SHA-256：7d2c1c75c7a7a3950cb021f82b1eb3be6eac3f51c12a604e29e553acfb45e7c2</w:t>
      </w:r>
    </w:p>
    <w:p>
      <w:r>
        <w:t>数经学院体育队早检与经费管理制度.docx</w:t>
        <w:br/>
        <w:t>SHA-256：c60fa1e62e38ba792d901aed8091dfb9a99d43d63575b194ee6c6744501625cf</w:t>
      </w:r>
    </w:p>
    <w:p>
      <w:r>
        <w:t>文艺部规章制度.docx</w:t>
        <w:br/>
        <w:t>SHA-256：5a2be416f0e0e089b20120695df5d78bb05bc2ce0450e61df2da7baf7437a767</w:t>
      </w:r>
    </w:p>
    <w:p>
      <w:r>
        <w:t>权益部规章制度.docx</w:t>
        <w:br/>
        <w:t>SHA-256：311af64d633f7a5f3b534a0aa5aca214199e48f2fba88e043e3bc0455f359d82</w:t>
      </w:r>
    </w:p>
    <w:p>
      <w:r>
        <w:t>青志管理总条例.docx</w:t>
        <w:br/>
        <w:t>SHA-256：fe2fa0aa3f41a778fd3d5df1b7cb7312e75b3cb52f2870c399a536e6d265bf87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原文保留核对版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数经学院团学组织制度汇编｜原文保留核对版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