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Areas of Distinction</w:t>
      </w:r>
    </w:p>
    <w:p>
      <w:r>
        <w:t>Sai Kiran Reddy Konda — Engineer</w:t>
      </w:r>
    </w:p>
    <w:p>
      <w:r>
        <w:t>Three achievements demonstrating ownership, delivery under pressure, and engineering at scale.</w:t>
      </w:r>
    </w:p>
    <w:p/>
    <w:p>
      <w:pPr>
        <w:pStyle w:val="Heading2"/>
      </w:pPr>
      <w:r>
        <w:t>01 — Digital HIE Inc</w:t>
      </w:r>
    </w:p>
    <w:p>
      <w:pPr>
        <w:pStyle w:val="Heading3"/>
      </w:pPr>
      <w:r>
        <w:t>Led HIPAA Accreditation from Zero to Compliant in 4 Months</w:t>
      </w:r>
    </w:p>
    <w:p>
      <w:r>
        <w:t>At Digital HIE Inc, led the organization through the rigorous DirectTrust HISP accreditation process, ensuring full compliance with HIPAA. Primary technical lead and sole author of end-to-end compliance documentation, security policies, operational procedures, and audit evidence for the platform architecture, secure messaging workflows, encryption, and interoperability infrastructure.</w:t>
      </w:r>
    </w:p>
    <w:p>
      <w:r>
        <w:t>Achieved accreditation readiness within 4 months while simultaneously managing day-to-day engineering and operational responsibilities. No external consultants. No dedicated compliance team. Full ownership from architecture through audit.</w:t>
      </w:r>
    </w:p>
    <w:p/>
    <w:p>
      <w:pPr>
        <w:pStyle w:val="Heading2"/>
      </w:pPr>
      <w:r>
        <w:t>02 — Cognizant / Lincoln Financial Group</w:t>
      </w:r>
    </w:p>
    <w:p>
      <w:pPr>
        <w:pStyle w:val="Heading3"/>
      </w:pPr>
      <w:r>
        <w:t>Project Lead in Year One. Mainframe Migration in 6 Months. During COVID.</w:t>
      </w:r>
    </w:p>
    <w:p>
      <w:r>
        <w:t>First experience as a project lead with less than a year of work experience. Led a high-priority modernization initiative to migrate Federal Insurance Match and Child Support Lien Network (CSLN) integrations from legacy IBM Mainframe and S2K databases into automated ETL-driven data pipelines.</w:t>
      </w:r>
    </w:p>
    <w:p>
      <w:r>
        <w:t>Developed core migration and integration logic, writing hundreds of lines of production code in Cobol. Coordinated 4 cross-functional teams spanning 3 time zones during the COVID-19 pandemic. Successfully delivered within a compressed 6-month timeline.</w:t>
      </w:r>
    </w:p>
    <w:p/>
    <w:p>
      <w:pPr>
        <w:pStyle w:val="Heading2"/>
      </w:pPr>
      <w:r>
        <w:t>03 — Capital One</w:t>
      </w:r>
    </w:p>
    <w:p>
      <w:pPr>
        <w:pStyle w:val="Heading3"/>
      </w:pPr>
      <w:r>
        <w:t>Architected Systems Serving 130M+ Accounts. Built to Survive Region Failure.</w:t>
      </w:r>
    </w:p>
    <w:p>
      <w:r>
        <w:t>Challenged and influenced the architecture for the next-generation Transaction and Account Stores, supporting 130M+ unique accounts across Card, Bank, Auto, and Global Finance. Delivered end-to-end application services on AWS cloud infrastructure within 8 months, achieving pre-production readiness with real production data.</w:t>
      </w:r>
    </w:p>
    <w:p>
      <w:r>
        <w:t>Designed a reusable "code-once" architecture adopted across four services deployed across multiple AWS accounts. Built Terraform-based infrastructure from scratch enabling automated cross-region failover from us-east-1 to us-west-2. Independently led development of the Transaction Store with ~98% test coverage, while also contributing as a core team member to Account Store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