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MS PGothic" w:hAnsi="MS PGothic" w:eastAsia="MS PGothic"/>
          <w:b w:val="0"/>
          <w:color w:val="000000"/>
          <w:sz w:val="18"/>
        </w:rPr>
        <w:t>2026/XX/XX　雑誌会_B4　山道大誠</w:t>
      </w:r>
    </w:p>
    <w:p>
      <w:pPr>
        <w:spacing w:before="0" w:after="40"/>
      </w:pPr>
      <w:r>
        <w:rPr>
          <w:rFonts w:ascii="MS PGothic" w:hAnsi="MS PGothic" w:eastAsia="MS PGothic"/>
          <w:b/>
          <w:color w:val="000000"/>
          <w:sz w:val="36"/>
        </w:rPr>
        <w:t>ADVANCED MATERIALS</w:t>
      </w:r>
    </w:p>
    <w:p>
      <w:pPr>
        <w:spacing w:before="0" w:after="20" w:lineRule="exact" w:line="280"/>
      </w:pPr>
      <w:r>
        <w:rPr>
          <w:rFonts w:ascii="MS PGothic" w:hAnsi="MS PGothic" w:eastAsia="MS PGothic"/>
          <w:b/>
          <w:color w:val="000000"/>
          <w:sz w:val="20"/>
        </w:rPr>
        <w:t>Water-Enhancing Gels that Form Heat-Activated Silica Aerogels to Protect Critical Infrastructure from Catastrophic Wildfires</w:t>
      </w:r>
    </w:p>
    <w:p>
      <w:pPr>
        <w:spacing w:before="20" w:after="0" w:lineRule="exact" w:line="260"/>
      </w:pPr>
      <w:r>
        <w:rPr>
          <w:rFonts w:ascii="MS PGothic" w:hAnsi="MS PGothic" w:eastAsia="MS PGothic"/>
          <w:b w:val="0"/>
          <w:color w:val="000000"/>
          <w:sz w:val="18"/>
        </w:rPr>
        <w:t>著者：（　　　　　　　　　　　　　　　　　　　　　）  Adv. Mater. 2024, （巻）, （ページ）</w:t>
      </w:r>
    </w:p>
    <w:p>
      <w:pPr>
        <w:spacing w:before="0" w:after="80" w:lineRule="exact" w:line="260"/>
      </w:pPr>
      <w:r>
        <w:rPr>
          <w:rFonts w:ascii="MS PGothic" w:hAnsi="MS PGothic" w:eastAsia="MS PGothic"/>
          <w:b w:val="0"/>
          <w:color w:val="000000"/>
          <w:sz w:val="18"/>
        </w:rPr>
        <w:t>DOI: （要確認）</w:t>
      </w:r>
    </w:p>
    <w:p>
      <w:pPr>
        <w:spacing w:before="160" w:after="40"/>
      </w:pPr>
      <w:r>
        <w:rPr>
          <w:rFonts w:ascii="MS PGothic" w:hAnsi="MS PGothic" w:eastAsia="MS PGothic"/>
          <w:b/>
          <w:color w:val="000000"/>
          <w:sz w:val="22"/>
        </w:rPr>
        <w:t>【論文の選定理由】</w:t>
      </w:r>
    </w:p>
    <w:p>
      <w:pPr>
        <w:spacing w:before="0" w:after="40" w:lineRule="exact" w:line="280"/>
        <w:ind w:firstLine="227"/>
      </w:pPr>
      <w:r>
        <w:rPr>
          <w:rFonts w:ascii="MS PGothic" w:hAnsi="MS PGothic" w:eastAsia="MS PGothic"/>
          <w:b w:val="0"/>
          <w:color w:val="000000"/>
          <w:sz w:val="19"/>
        </w:rPr>
        <w:t>自身もハイドロゲルを用いた研究を行っており、本論文のゲルが示すせん断希薄化・降伏応力（静的・動的）・自己修復性といったレオロジー特性が、自身が扱う材料系と強く類似していたため、測定手法（振動・定常せん断レオロジー、LAOS、Herschel–Bulkley 解析など）や設計指針の点で直接の参考になると考えた。また、本研究は単なる新規材料の物性評価にとどまらず、実際の散布装置での噴霧性や455日に及ぶ長期保存安定性まで踏み込んだ「製品化（実用化）」を強く意識した研究であり、市販の水強化ゲル製品（AquaGel-K）との定量的なベンチマーク比較を行っている点が実学的に興味深かった。さらに、界面活性剤（SDS）添加が逆効果であったというネガティブな結果を隠さず提示し、それを「SDS無添加が最適」という設計判断の根拠としている点に、研究としての誠実さと完成度を感じたため本論文を選定した。</w:t>
      </w:r>
    </w:p>
    <w:p>
      <w:pPr>
        <w:spacing w:before="160" w:after="40"/>
      </w:pPr>
      <w:r>
        <w:rPr>
          <w:rFonts w:ascii="MS PGothic" w:hAnsi="MS PGothic" w:eastAsia="MS PGothic"/>
          <w:b/>
          <w:color w:val="000000"/>
          <w:sz w:val="22"/>
        </w:rPr>
        <w:t>【緒言】</w:t>
      </w:r>
    </w:p>
    <w:p>
      <w:pPr>
        <w:spacing w:before="0" w:after="40" w:lineRule="exact" w:line="280"/>
        <w:ind w:firstLine="227"/>
      </w:pPr>
      <w:r>
        <w:rPr>
          <w:rFonts w:ascii="MS PGothic" w:hAnsi="MS PGothic" w:eastAsia="MS PGothic"/>
          <w:b w:val="0"/>
          <w:color w:val="000000"/>
          <w:sz w:val="19"/>
        </w:rPr>
        <w:t>大規模な山火事（メガファイア）は気候変動を背景に深刻化の一途をたどっており、その発生頻度は過去30年でおよそ5倍に増加、世界全体の年間焼失面積は約400万 km² 規模に達している。とりわけ被害が集中するのが、森林と都市・住宅地が直接接する境界地帯（WUI: Wildland-Urban Interface）である。米国だけでもこの WUI に約4500万人が居住しており、住宅・送電網・通信設備・道路といった重要インフラが常に延焼リスクにさらされている。気候変動による高温・乾燥・強風の期間（fire weather）の長期化により、従来の「水をまく」「人海戦術で消火する」といった消火戦略では延焼の速度に対応しきれなくなっている。こうした背景から、構造物を事前にコーティングして延焼から守る「受動的防御（passive protection）」材料の重要性が増している。</w:t>
      </w:r>
    </w:p>
    <w:p>
      <w:pPr>
        <w:spacing w:before="0" w:after="40" w:lineRule="exact" w:line="280"/>
        <w:ind w:firstLine="227"/>
      </w:pPr>
      <w:r>
        <w:rPr>
          <w:rFonts w:ascii="MS PGothic" w:hAnsi="MS PGothic" w:eastAsia="MS PGothic"/>
          <w:b w:val="0"/>
          <w:color w:val="000000"/>
          <w:sz w:val="19"/>
        </w:rPr>
        <w:t>現在、林野火災の防御に用いられる薬剤は大きく3種類に分類される。①長期遅延剤（long-term retardant; Phos-Chek 等のリン酸アンモニウム系）は、植生に事前散布して燃えにくくするもので、空中散布の赤い薬剤として知られるが、構造物保護には不向きである。②泡消火剤（Class A foam）は界面活性剤で発泡させ表面を覆うもので、即効性はあるが泡が消えると効果を失い持続性に乏しい。③水強化ゲル（WEG: Water-Enhancing Gel）は高吸水性ポリマーで大量の水を保持し、建物表面に塗布して保護膜とするもので、構造物保護に最も有効とされる。しかし WEG の保護効果は保持した「水分」に完全依存するため、火炎の輻射熱や強風によって水分が蒸発・乾燥してしまうと保護効果を完全に失うという、原理的かつ致命的な弱点を抱えている。実際の火災現場では薬剤散布から延焼到達まで数時間を要することも多く、その間にゲルが乾いてしまえば全く意味をなさない。</w:t>
      </w:r>
    </w:p>
    <w:p>
      <w:pPr>
        <w:spacing w:before="0" w:after="40" w:lineRule="exact" w:line="280"/>
        <w:ind w:firstLine="227"/>
      </w:pPr>
      <w:r>
        <w:rPr>
          <w:rFonts w:ascii="MS PGothic" w:hAnsi="MS PGothic" w:eastAsia="MS PGothic"/>
          <w:b w:val="0"/>
          <w:color w:val="000000"/>
          <w:sz w:val="19"/>
        </w:rPr>
        <w:t xml:space="preserve">本研究は、この「乾燥したら無効化する」という WEG の本質的限界を克服することを目的とする。著者らは、火炎に接触すると材料自身が断熱性のシリカエアロゲルへと不可逆的に変態する「熱活性化エアロゲル形成（Heat-Activated Aerogel Formation）」という新機構を提案した </w:t>
      </w:r>
      <w:r>
        <w:rPr>
          <w:rFonts w:ascii="MS PGothic" w:hAnsi="MS PGothic" w:eastAsia="MS PGothic"/>
          <w:b/>
          <w:color w:val="000000"/>
          <w:sz w:val="19"/>
        </w:rPr>
        <w:t>(Fig. 1)</w:t>
      </w:r>
      <w:r>
        <w:rPr>
          <w:rFonts w:ascii="MS PGothic" w:hAnsi="MS PGothic" w:eastAsia="MS PGothic"/>
          <w:b w:val="0"/>
          <w:color w:val="000000"/>
          <w:sz w:val="19"/>
        </w:rPr>
        <w:t>。すなわち、水分が蒸発して保護が終わるのではなく、水分の蒸発をトリガーとして固体の多孔質断熱層が形成されることで、乾燥後にこそ保護性能が発揮されるという発想の転換である。シリカエアロゲルは極めて低い熱伝導率を持つ既知の高性能断熱材であり、それを火災現場で「その場生成（in-situ formation）」させる点に独創性がある。本ゲルの設計上の特長は3点ある。(i) 保護機能を水分に依存しない、(ii) 食品グレードの持続可能・生分解性原料のみで構成される、(iii) 既存の消防・散布機材でそのまま噴霧できる。実際の保護は、①ゲルの噴霧散布 → ②火炎接触による加熱 → ③シリカエアロゲルの形成 → ④断熱層による構造物の継続保護、という4段階のプロセスで達成される。本要旨では、材料設計・レオロジー特性・エアロゲル形成機構・長期安定性・燃焼性能・化学/熱分析・既存製品比較の順に、得られた全データを網羅して整理する。</w:t>
      </w:r>
    </w:p>
    <w:tbl>
      <w:tblPr>
        <w:tblStyle w:val="TableGrid"/>
        <w:tblW w:type="auto" w:w="0"/>
        <w:jc w:val="center"/>
        <w:tblLook w:firstColumn="1" w:firstRow="1" w:lastColumn="0" w:lastRow="0" w:noHBand="0" w:noVBand="1" w:val="04A0"/>
      </w:tblPr>
      <w:tblGrid>
        <w:gridCol w:w="9972"/>
      </w:tblGrid>
      <w:tr>
        <w:trPr>
          <w:trHeight w:val="3118" w:hRule="exact"/>
        </w:trPr>
        <w:tc>
          <w:tcPr>
            <w:tcW w:type="dxa" w:w="9972"/>
            <w:tcW w:w="9360" w:type="dxa"/>
            <w:vAlign w:val="center"/>
          </w:tcPr>
          <w:p>
            <w:pPr>
              <w:spacing w:before="0" w:after="0"/>
              <w:jc w:val="center"/>
            </w:pPr>
            <w:r>
              <w:rPr>
                <w:rFonts w:ascii="MS PGothic" w:hAnsi="MS PGothic" w:eastAsia="MS PGothic"/>
                <w:b w:val="0"/>
                <w:color w:val="000000"/>
                <w:sz w:val="18"/>
              </w:rPr>
              <w:t>［図挿入欄］Fig. 1：熱活性化エアロゲル形成の概念図（4段階保護プロセス）および炎上でも花が無傷な断熱性デモ写真</w:t>
            </w:r>
          </w:p>
        </w:tc>
      </w:tr>
    </w:tbl>
    <w:p>
      <w:pPr>
        <w:spacing w:before="0" w:after="40"/>
      </w:pPr>
    </w:p>
    <w:p>
      <w:pPr>
        <w:spacing w:before="160" w:after="40"/>
      </w:pPr>
      <w:r>
        <w:rPr>
          <w:rFonts w:ascii="MS PGothic" w:hAnsi="MS PGothic" w:eastAsia="MS PGothic"/>
          <w:b/>
          <w:color w:val="000000"/>
          <w:sz w:val="22"/>
        </w:rPr>
        <w:t>【実験材料・方法】</w:t>
      </w:r>
    </w:p>
    <w:p>
      <w:pPr>
        <w:spacing w:before="120" w:after="20" w:lineRule="exact" w:line="300"/>
      </w:pPr>
      <w:r>
        <w:rPr>
          <w:rFonts w:ascii="MS PGothic" w:hAnsi="MS PGothic" w:eastAsia="MS PGothic"/>
          <w:b/>
          <w:color w:val="000000"/>
          <w:sz w:val="21"/>
        </w:rPr>
        <w:t>1. 試料作製</w:t>
      </w:r>
    </w:p>
    <w:p>
      <w:pPr>
        <w:spacing w:before="60" w:after="0" w:lineRule="exact" w:line="280"/>
      </w:pPr>
      <w:r>
        <w:rPr>
          <w:rFonts w:ascii="MS PGothic" w:hAnsi="MS PGothic" w:eastAsia="MS PGothic"/>
          <w:b/>
          <w:color w:val="000000"/>
          <w:sz w:val="20"/>
        </w:rPr>
        <w:t>・使用ポリマーと各成分の役割</w:t>
      </w:r>
    </w:p>
    <w:p>
      <w:pPr>
        <w:spacing w:before="0" w:after="40" w:lineRule="exact" w:line="280"/>
        <w:ind w:firstLine="227"/>
      </w:pPr>
      <w:r>
        <w:rPr>
          <w:rFonts w:ascii="MS PGothic" w:hAnsi="MS PGothic" w:eastAsia="MS PGothic"/>
          <w:b w:val="0"/>
          <w:color w:val="000000"/>
          <w:sz w:val="19"/>
        </w:rPr>
        <w:t>本ゲルに用いたセルロース系ポリマーは3種類である。</w:t>
      </w:r>
      <w:r>
        <w:rPr>
          <w:rFonts w:ascii="MS PGothic" w:hAnsi="MS PGothic" w:eastAsia="MS PGothic"/>
          <w:b/>
          <w:color w:val="000000"/>
          <w:sz w:val="19"/>
        </w:rPr>
        <w:t>HEC（ヒドロキシエチルセルロース）</w:t>
      </w:r>
      <w:r>
        <w:rPr>
          <w:rFonts w:ascii="MS PGothic" w:hAnsi="MS PGothic" w:eastAsia="MS PGothic"/>
          <w:b w:val="0"/>
          <w:color w:val="000000"/>
          <w:sz w:val="19"/>
        </w:rPr>
        <w:t>はゲルのベースとなる粘性と骨格を担う水溶性ポリマーである。</w:t>
      </w:r>
      <w:r>
        <w:rPr>
          <w:rFonts w:ascii="MS PGothic" w:hAnsi="MS PGothic" w:eastAsia="MS PGothic"/>
          <w:b/>
          <w:color w:val="000000"/>
          <w:sz w:val="19"/>
        </w:rPr>
        <w:t>MC（メチルセルロース）</w:t>
      </w:r>
      <w:r>
        <w:rPr>
          <w:rFonts w:ascii="MS PGothic" w:hAnsi="MS PGothic" w:eastAsia="MS PGothic"/>
          <w:b w:val="0"/>
          <w:color w:val="000000"/>
          <w:sz w:val="19"/>
        </w:rPr>
        <w:t>は低温（水中）では溶解して流動性を示すが、加熱により疎水性のメチル基が会合してゲル化するという独特の逆熱応答性（LCST 型ゲル化）を持ち、火炎による加熱時にゲルを固化させて構造を維持する火炎保護の鍵となる成分である。</w:t>
      </w:r>
      <w:r>
        <w:rPr>
          <w:rFonts w:ascii="MS PGothic" w:hAnsi="MS PGothic" w:eastAsia="MS PGothic"/>
          <w:b/>
          <w:color w:val="000000"/>
          <w:sz w:val="19"/>
        </w:rPr>
        <w:t>MHEC（メチルヒドロキシエチルセルロース）</w:t>
      </w:r>
      <w:r>
        <w:rPr>
          <w:rFonts w:ascii="MS PGothic" w:hAnsi="MS PGothic" w:eastAsia="MS PGothic"/>
          <w:b w:val="0"/>
          <w:color w:val="000000"/>
          <w:sz w:val="19"/>
        </w:rPr>
        <w:t>は、HEC の水和性（粘性付与）と MC の熱ゲル化能を1分子内に統合した単一ポリマーであり、HEC+MC の2成分を1成分で代替できる。これらに加え、エアロゲルの無機骨格の素となる</w:t>
      </w:r>
      <w:r>
        <w:rPr>
          <w:rFonts w:ascii="MS PGothic" w:hAnsi="MS PGothic" w:eastAsia="MS PGothic"/>
          <w:b/>
          <w:color w:val="000000"/>
          <w:sz w:val="19"/>
        </w:rPr>
        <w:t>CSP（コロイダルシリカ粒子、粒径約22 nm・単分散）</w:t>
      </w:r>
      <w:r>
        <w:rPr>
          <w:rFonts w:ascii="MS PGothic" w:hAnsi="MS PGothic" w:eastAsia="MS PGothic"/>
          <w:b w:val="0"/>
          <w:color w:val="000000"/>
          <w:sz w:val="19"/>
        </w:rPr>
        <w:t>を混合してゲルを構築する。ネットワークはポリマーと CSP の間に働く動的な水素結合（PP: Polymer–Particle 相互作用）で形成され、共有結合による架橋は一切用いていない。この可逆結合設計が、せん断による流動化と着弾後の再固化（自己修復）、および生分解性を同時に成立させている。</w:t>
      </w:r>
    </w:p>
    <w:p>
      <w:pPr>
        <w:spacing w:before="60" w:after="0" w:lineRule="exact" w:line="280"/>
      </w:pPr>
      <w:r>
        <w:rPr>
          <w:rFonts w:ascii="MS PGothic" w:hAnsi="MS PGothic" w:eastAsia="MS PGothic"/>
          <w:b/>
          <w:color w:val="000000"/>
          <w:sz w:val="20"/>
        </w:rPr>
        <w:t>・評価した5配合の組成</w:t>
      </w:r>
    </w:p>
    <w:p>
      <w:pPr>
        <w:spacing w:before="0" w:after="40" w:lineRule="exact" w:line="280"/>
        <w:ind w:firstLine="227"/>
      </w:pPr>
      <w:r>
        <w:rPr>
          <w:rFonts w:ascii="MS PGothic" w:hAnsi="MS PGothic" w:eastAsia="MS PGothic"/>
          <w:b w:val="0"/>
          <w:color w:val="000000"/>
          <w:sz w:val="19"/>
        </w:rPr>
        <w:t>評価した配合は計5種類である。対照は市販製品の AquaGel-K。試験系は表記「ポリマー濃度-CSP濃度-SDS濃度」（単位：wt%）で示す（例：「1-5-0.1」= ポリマー 1 wt%・CSP 5 wt%・SDS 0.1 wt%）。各成分を水中で混合・攪拌してゲルを調製した。組成の一覧を Table 1 に示す。</w:t>
      </w:r>
    </w:p>
    <w:p>
      <w:pPr>
        <w:spacing w:before="20" w:after="60" w:lineRule="exact" w:line="240"/>
      </w:pPr>
      <w:r>
        <w:rPr>
          <w:rFonts w:ascii="MS PGothic" w:hAnsi="MS PGothic" w:eastAsia="MS PGothic"/>
          <w:b/>
          <w:color w:val="000000"/>
          <w:sz w:val="17"/>
        </w:rPr>
        <w:t>Table 1. 評価した5配合の組成（対照＋試験系4種）</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vAlign w:val="center"/>
            <w:tcW w:w="2300" w:type="dxa"/>
          </w:tcPr>
          <w:p>
            <w:pPr>
              <w:spacing w:before="20" w:after="20" w:lineRule="exact" w:line="240"/>
              <w:jc w:val="center"/>
            </w:pPr>
            <w:r>
              <w:rPr>
                <w:rFonts w:ascii="MS PGothic" w:hAnsi="MS PGothic" w:eastAsia="MS PGothic"/>
                <w:b/>
                <w:color w:val="000000"/>
                <w:sz w:val="18"/>
              </w:rPr>
              <w:t>配合（呼称）</w:t>
            </w:r>
          </w:p>
        </w:tc>
        <w:tc>
          <w:tcPr>
            <w:tcW w:type="dxa" w:w="1662"/>
            <w:vAlign w:val="center"/>
            <w:tcW w:w="1300" w:type="dxa"/>
          </w:tcPr>
          <w:p>
            <w:pPr>
              <w:spacing w:before="20" w:after="20" w:lineRule="exact" w:line="240"/>
              <w:jc w:val="center"/>
            </w:pPr>
            <w:r>
              <w:rPr>
                <w:rFonts w:ascii="MS PGothic" w:hAnsi="MS PGothic" w:eastAsia="MS PGothic"/>
                <w:b/>
                <w:color w:val="000000"/>
                <w:sz w:val="18"/>
              </w:rPr>
              <w:t>ポリマー</w:t>
            </w:r>
          </w:p>
        </w:tc>
        <w:tc>
          <w:tcPr>
            <w:tcW w:type="dxa" w:w="1662"/>
            <w:vAlign w:val="center"/>
            <w:tcW w:w="1500" w:type="dxa"/>
          </w:tcPr>
          <w:p>
            <w:pPr>
              <w:spacing w:before="20" w:after="20" w:lineRule="exact" w:line="240"/>
              <w:jc w:val="center"/>
            </w:pPr>
            <w:r>
              <w:rPr>
                <w:rFonts w:ascii="MS PGothic" w:hAnsi="MS PGothic" w:eastAsia="MS PGothic"/>
                <w:b/>
                <w:color w:val="000000"/>
                <w:sz w:val="18"/>
              </w:rPr>
              <w:t>ポリマー(wt%)</w:t>
            </w:r>
          </w:p>
        </w:tc>
        <w:tc>
          <w:tcPr>
            <w:tcW w:type="dxa" w:w="1662"/>
            <w:vAlign w:val="center"/>
            <w:tcW w:w="1100" w:type="dxa"/>
          </w:tcPr>
          <w:p>
            <w:pPr>
              <w:spacing w:before="20" w:after="20" w:lineRule="exact" w:line="240"/>
              <w:jc w:val="center"/>
            </w:pPr>
            <w:r>
              <w:rPr>
                <w:rFonts w:ascii="MS PGothic" w:hAnsi="MS PGothic" w:eastAsia="MS PGothic"/>
                <w:b/>
                <w:color w:val="000000"/>
                <w:sz w:val="18"/>
              </w:rPr>
              <w:t>CSP(wt%)</w:t>
            </w:r>
          </w:p>
        </w:tc>
        <w:tc>
          <w:tcPr>
            <w:tcW w:type="dxa" w:w="1662"/>
            <w:vAlign w:val="center"/>
            <w:tcW w:w="1100" w:type="dxa"/>
          </w:tcPr>
          <w:p>
            <w:pPr>
              <w:spacing w:before="20" w:after="20" w:lineRule="exact" w:line="240"/>
              <w:jc w:val="center"/>
            </w:pPr>
            <w:r>
              <w:rPr>
                <w:rFonts w:ascii="MS PGothic" w:hAnsi="MS PGothic" w:eastAsia="MS PGothic"/>
                <w:b/>
                <w:color w:val="000000"/>
                <w:sz w:val="18"/>
              </w:rPr>
              <w:t>SDS(wt%)</w:t>
            </w:r>
          </w:p>
        </w:tc>
        <w:tc>
          <w:tcPr>
            <w:tcW w:type="dxa" w:w="1662"/>
            <w:vAlign w:val="center"/>
            <w:tcW w:w="2060" w:type="dxa"/>
          </w:tcPr>
          <w:p>
            <w:pPr>
              <w:spacing w:before="20" w:after="20" w:lineRule="exact" w:line="240"/>
              <w:jc w:val="center"/>
            </w:pPr>
            <w:r>
              <w:rPr>
                <w:rFonts w:ascii="MS PGothic" w:hAnsi="MS PGothic" w:eastAsia="MS PGothic"/>
                <w:b/>
                <w:color w:val="000000"/>
                <w:sz w:val="18"/>
              </w:rPr>
              <w:t>位置づけ</w:t>
            </w:r>
          </w:p>
        </w:tc>
      </w:tr>
      <w:tr>
        <w:tc>
          <w:tcPr>
            <w:tcW w:type="dxa" w:w="1662"/>
            <w:vAlign w:val="center"/>
            <w:tcW w:w="2300" w:type="dxa"/>
          </w:tcPr>
          <w:p>
            <w:pPr>
              <w:spacing w:before="20" w:after="20" w:lineRule="exact" w:line="240"/>
              <w:jc w:val="left"/>
            </w:pPr>
            <w:r>
              <w:rPr>
                <w:rFonts w:ascii="MS PGothic" w:hAnsi="MS PGothic" w:eastAsia="MS PGothic"/>
                <w:b w:val="0"/>
                <w:color w:val="000000"/>
                <w:sz w:val="18"/>
              </w:rPr>
              <w:t>AquaGel-K</w:t>
            </w:r>
          </w:p>
        </w:tc>
        <w:tc>
          <w:tcPr>
            <w:tcW w:type="dxa" w:w="1662"/>
            <w:vAlign w:val="center"/>
            <w:tcW w:w="1300" w:type="dxa"/>
          </w:tcPr>
          <w:p>
            <w:pPr>
              <w:spacing w:before="20" w:after="20" w:lineRule="exact" w:line="240"/>
              <w:jc w:val="center"/>
            </w:pPr>
            <w:r>
              <w:rPr>
                <w:rFonts w:ascii="MS PGothic" w:hAnsi="MS PGothic" w:eastAsia="MS PGothic"/>
                <w:b w:val="0"/>
                <w:color w:val="000000"/>
                <w:sz w:val="18"/>
              </w:rPr>
              <w:t>市販WEG</w:t>
            </w:r>
          </w:p>
        </w:tc>
        <w:tc>
          <w:tcPr>
            <w:tcW w:type="dxa" w:w="1662"/>
            <w:vAlign w:val="center"/>
            <w:tcW w:w="1500" w:type="dxa"/>
          </w:tcPr>
          <w:p>
            <w:pPr>
              <w:spacing w:before="20" w:after="20" w:lineRule="exact" w:line="240"/>
              <w:jc w:val="center"/>
            </w:pPr>
            <w:r>
              <w:rPr>
                <w:rFonts w:ascii="MS PGothic" w:hAnsi="MS PGothic" w:eastAsia="MS PGothic"/>
                <w:b w:val="0"/>
                <w:color w:val="000000"/>
                <w:sz w:val="18"/>
              </w:rPr>
              <w:t>—</w:t>
            </w:r>
          </w:p>
        </w:tc>
        <w:tc>
          <w:tcPr>
            <w:tcW w:type="dxa" w:w="1662"/>
            <w:vAlign w:val="center"/>
            <w:tcW w:w="1100" w:type="dxa"/>
          </w:tcPr>
          <w:p>
            <w:pPr>
              <w:spacing w:before="20" w:after="20" w:lineRule="exact" w:line="240"/>
              <w:jc w:val="center"/>
            </w:pPr>
            <w:r>
              <w:rPr>
                <w:rFonts w:ascii="MS PGothic" w:hAnsi="MS PGothic" w:eastAsia="MS PGothic"/>
                <w:b w:val="0"/>
                <w:color w:val="000000"/>
                <w:sz w:val="18"/>
              </w:rPr>
              <w:t>—</w:t>
            </w:r>
          </w:p>
        </w:tc>
        <w:tc>
          <w:tcPr>
            <w:tcW w:type="dxa" w:w="1662"/>
            <w:vAlign w:val="center"/>
            <w:tcW w:w="1100" w:type="dxa"/>
          </w:tcPr>
          <w:p>
            <w:pPr>
              <w:spacing w:before="20" w:after="20" w:lineRule="exact" w:line="240"/>
              <w:jc w:val="center"/>
            </w:pPr>
            <w:r>
              <w:rPr>
                <w:rFonts w:ascii="MS PGothic" w:hAnsi="MS PGothic" w:eastAsia="MS PGothic"/>
                <w:b w:val="0"/>
                <w:color w:val="000000"/>
                <w:sz w:val="18"/>
              </w:rPr>
              <w:t>—</w:t>
            </w:r>
          </w:p>
        </w:tc>
        <w:tc>
          <w:tcPr>
            <w:tcW w:type="dxa" w:w="1662"/>
            <w:vAlign w:val="center"/>
            <w:tcW w:w="2060" w:type="dxa"/>
          </w:tcPr>
          <w:p>
            <w:pPr>
              <w:spacing w:before="20" w:after="20" w:lineRule="exact" w:line="240"/>
              <w:jc w:val="center"/>
            </w:pPr>
            <w:r>
              <w:rPr>
                <w:rFonts w:ascii="MS PGothic" w:hAnsi="MS PGothic" w:eastAsia="MS PGothic"/>
                <w:b w:val="0"/>
                <w:color w:val="000000"/>
                <w:sz w:val="18"/>
              </w:rPr>
              <w:t>対照（市販品）</w:t>
            </w:r>
          </w:p>
        </w:tc>
      </w:tr>
      <w:tr>
        <w:tc>
          <w:tcPr>
            <w:tcW w:type="dxa" w:w="1662"/>
            <w:vAlign w:val="center"/>
            <w:tcW w:w="2300" w:type="dxa"/>
          </w:tcPr>
          <w:p>
            <w:pPr>
              <w:spacing w:before="20" w:after="20" w:lineRule="exact" w:line="240"/>
              <w:jc w:val="left"/>
            </w:pPr>
            <w:r>
              <w:rPr>
                <w:rFonts w:ascii="MS PGothic" w:hAnsi="MS PGothic" w:eastAsia="MS PGothic"/>
                <w:b w:val="0"/>
                <w:color w:val="000000"/>
                <w:sz w:val="18"/>
              </w:rPr>
              <w:t>HEC+MC/CSP (1-5)</w:t>
            </w:r>
          </w:p>
        </w:tc>
        <w:tc>
          <w:tcPr>
            <w:tcW w:type="dxa" w:w="1662"/>
            <w:vAlign w:val="center"/>
            <w:tcW w:w="1300" w:type="dxa"/>
          </w:tcPr>
          <w:p>
            <w:pPr>
              <w:spacing w:before="20" w:after="20" w:lineRule="exact" w:line="240"/>
              <w:jc w:val="center"/>
            </w:pPr>
            <w:r>
              <w:rPr>
                <w:rFonts w:ascii="MS PGothic" w:hAnsi="MS PGothic" w:eastAsia="MS PGothic"/>
                <w:b w:val="0"/>
                <w:color w:val="000000"/>
                <w:sz w:val="18"/>
              </w:rPr>
              <w:t>HEC+MC</w:t>
            </w:r>
          </w:p>
        </w:tc>
        <w:tc>
          <w:tcPr>
            <w:tcW w:type="dxa" w:w="1662"/>
            <w:vAlign w:val="center"/>
            <w:tcW w:w="1500" w:type="dxa"/>
          </w:tcPr>
          <w:p>
            <w:pPr>
              <w:spacing w:before="20" w:after="20" w:lineRule="exact" w:line="240"/>
              <w:jc w:val="center"/>
            </w:pPr>
            <w:r>
              <w:rPr>
                <w:rFonts w:ascii="MS PGothic" w:hAnsi="MS PGothic" w:eastAsia="MS PGothic"/>
                <w:b w:val="0"/>
                <w:color w:val="000000"/>
                <w:sz w:val="18"/>
              </w:rPr>
              <w:t>1</w:t>
            </w:r>
          </w:p>
        </w:tc>
        <w:tc>
          <w:tcPr>
            <w:tcW w:type="dxa" w:w="1662"/>
            <w:vAlign w:val="center"/>
            <w:tcW w:w="1100" w:type="dxa"/>
          </w:tcPr>
          <w:p>
            <w:pPr>
              <w:spacing w:before="20" w:after="20" w:lineRule="exact" w:line="240"/>
              <w:jc w:val="center"/>
            </w:pPr>
            <w:r>
              <w:rPr>
                <w:rFonts w:ascii="MS PGothic" w:hAnsi="MS PGothic" w:eastAsia="MS PGothic"/>
                <w:b w:val="0"/>
                <w:color w:val="000000"/>
                <w:sz w:val="18"/>
              </w:rPr>
              <w:t>5</w:t>
            </w:r>
          </w:p>
        </w:tc>
        <w:tc>
          <w:tcPr>
            <w:tcW w:type="dxa" w:w="1662"/>
            <w:vAlign w:val="center"/>
            <w:tcW w:w="1100" w:type="dxa"/>
          </w:tcPr>
          <w:p>
            <w:pPr>
              <w:spacing w:before="20" w:after="20" w:lineRule="exact" w:line="240"/>
              <w:jc w:val="center"/>
            </w:pPr>
            <w:r>
              <w:rPr>
                <w:rFonts w:ascii="MS PGothic" w:hAnsi="MS PGothic" w:eastAsia="MS PGothic"/>
                <w:b w:val="0"/>
                <w:color w:val="000000"/>
                <w:sz w:val="18"/>
              </w:rPr>
              <w:t>0</w:t>
            </w:r>
          </w:p>
        </w:tc>
        <w:tc>
          <w:tcPr>
            <w:tcW w:type="dxa" w:w="1662"/>
            <w:vAlign w:val="center"/>
            <w:tcW w:w="2060" w:type="dxa"/>
          </w:tcPr>
          <w:p>
            <w:pPr>
              <w:spacing w:before="20" w:after="20" w:lineRule="exact" w:line="240"/>
              <w:jc w:val="center"/>
            </w:pPr>
            <w:r>
              <w:rPr>
                <w:rFonts w:ascii="MS PGothic" w:hAnsi="MS PGothic" w:eastAsia="MS PGothic"/>
                <w:b w:val="0"/>
                <w:color w:val="000000"/>
                <w:sz w:val="18"/>
              </w:rPr>
              <w:t>試験系・基準</w:t>
            </w:r>
          </w:p>
        </w:tc>
      </w:tr>
      <w:tr>
        <w:tc>
          <w:tcPr>
            <w:tcW w:type="dxa" w:w="1662"/>
            <w:vAlign w:val="center"/>
            <w:tcW w:w="2300" w:type="dxa"/>
          </w:tcPr>
          <w:p>
            <w:pPr>
              <w:spacing w:before="20" w:after="20" w:lineRule="exact" w:line="240"/>
              <w:jc w:val="left"/>
            </w:pPr>
            <w:r>
              <w:rPr>
                <w:rFonts w:ascii="MS PGothic" w:hAnsi="MS PGothic" w:eastAsia="MS PGothic"/>
                <w:b w:val="0"/>
                <w:color w:val="000000"/>
                <w:sz w:val="18"/>
              </w:rPr>
              <w:t>MHEC/CSP (1-5)</w:t>
            </w:r>
          </w:p>
        </w:tc>
        <w:tc>
          <w:tcPr>
            <w:tcW w:type="dxa" w:w="1662"/>
            <w:vAlign w:val="center"/>
            <w:tcW w:w="1300" w:type="dxa"/>
          </w:tcPr>
          <w:p>
            <w:pPr>
              <w:spacing w:before="20" w:after="20" w:lineRule="exact" w:line="240"/>
              <w:jc w:val="center"/>
            </w:pPr>
            <w:r>
              <w:rPr>
                <w:rFonts w:ascii="MS PGothic" w:hAnsi="MS PGothic" w:eastAsia="MS PGothic"/>
                <w:b w:val="0"/>
                <w:color w:val="000000"/>
                <w:sz w:val="18"/>
              </w:rPr>
              <w:t>MHEC</w:t>
            </w:r>
          </w:p>
        </w:tc>
        <w:tc>
          <w:tcPr>
            <w:tcW w:type="dxa" w:w="1662"/>
            <w:vAlign w:val="center"/>
            <w:tcW w:w="1500" w:type="dxa"/>
          </w:tcPr>
          <w:p>
            <w:pPr>
              <w:spacing w:before="20" w:after="20" w:lineRule="exact" w:line="240"/>
              <w:jc w:val="center"/>
            </w:pPr>
            <w:r>
              <w:rPr>
                <w:rFonts w:ascii="MS PGothic" w:hAnsi="MS PGothic" w:eastAsia="MS PGothic"/>
                <w:b w:val="0"/>
                <w:color w:val="000000"/>
                <w:sz w:val="18"/>
              </w:rPr>
              <w:t>1</w:t>
            </w:r>
          </w:p>
        </w:tc>
        <w:tc>
          <w:tcPr>
            <w:tcW w:type="dxa" w:w="1662"/>
            <w:vAlign w:val="center"/>
            <w:tcW w:w="1100" w:type="dxa"/>
          </w:tcPr>
          <w:p>
            <w:pPr>
              <w:spacing w:before="20" w:after="20" w:lineRule="exact" w:line="240"/>
              <w:jc w:val="center"/>
            </w:pPr>
            <w:r>
              <w:rPr>
                <w:rFonts w:ascii="MS PGothic" w:hAnsi="MS PGothic" w:eastAsia="MS PGothic"/>
                <w:b w:val="0"/>
                <w:color w:val="000000"/>
                <w:sz w:val="18"/>
              </w:rPr>
              <w:t>5</w:t>
            </w:r>
          </w:p>
        </w:tc>
        <w:tc>
          <w:tcPr>
            <w:tcW w:type="dxa" w:w="1662"/>
            <w:vAlign w:val="center"/>
            <w:tcW w:w="1100" w:type="dxa"/>
          </w:tcPr>
          <w:p>
            <w:pPr>
              <w:spacing w:before="20" w:after="20" w:lineRule="exact" w:line="240"/>
              <w:jc w:val="center"/>
            </w:pPr>
            <w:r>
              <w:rPr>
                <w:rFonts w:ascii="MS PGothic" w:hAnsi="MS PGothic" w:eastAsia="MS PGothic"/>
                <w:b w:val="0"/>
                <w:color w:val="000000"/>
                <w:sz w:val="18"/>
              </w:rPr>
              <w:t>0</w:t>
            </w:r>
          </w:p>
        </w:tc>
        <w:tc>
          <w:tcPr>
            <w:tcW w:type="dxa" w:w="1662"/>
            <w:vAlign w:val="center"/>
            <w:tcW w:w="2060" w:type="dxa"/>
          </w:tcPr>
          <w:p>
            <w:pPr>
              <w:spacing w:before="20" w:after="20" w:lineRule="exact" w:line="240"/>
              <w:jc w:val="center"/>
            </w:pPr>
            <w:r>
              <w:rPr>
                <w:rFonts w:ascii="MS PGothic" w:hAnsi="MS PGothic" w:eastAsia="MS PGothic"/>
                <w:b w:val="0"/>
                <w:color w:val="000000"/>
                <w:sz w:val="18"/>
              </w:rPr>
              <w:t>試験系・単一ポリマー</w:t>
            </w:r>
          </w:p>
        </w:tc>
      </w:tr>
      <w:tr>
        <w:tc>
          <w:tcPr>
            <w:tcW w:type="dxa" w:w="1662"/>
            <w:vAlign w:val="center"/>
            <w:tcW w:w="2300" w:type="dxa"/>
          </w:tcPr>
          <w:p>
            <w:pPr>
              <w:spacing w:before="20" w:after="20" w:lineRule="exact" w:line="240"/>
              <w:jc w:val="left"/>
            </w:pPr>
            <w:r>
              <w:rPr>
                <w:rFonts w:ascii="MS PGothic" w:hAnsi="MS PGothic" w:eastAsia="MS PGothic"/>
                <w:b w:val="0"/>
                <w:color w:val="000000"/>
                <w:sz w:val="18"/>
              </w:rPr>
              <w:t>…/SDS (1-5-0.1)</w:t>
            </w:r>
          </w:p>
        </w:tc>
        <w:tc>
          <w:tcPr>
            <w:tcW w:type="dxa" w:w="1662"/>
            <w:vAlign w:val="center"/>
            <w:tcW w:w="1300" w:type="dxa"/>
          </w:tcPr>
          <w:p>
            <w:pPr>
              <w:spacing w:before="20" w:after="20" w:lineRule="exact" w:line="240"/>
              <w:jc w:val="center"/>
            </w:pPr>
            <w:r>
              <w:rPr>
                <w:rFonts w:ascii="MS PGothic" w:hAnsi="MS PGothic" w:eastAsia="MS PGothic"/>
                <w:b w:val="0"/>
                <w:color w:val="000000"/>
                <w:sz w:val="18"/>
              </w:rPr>
              <w:t>HEC+MC等</w:t>
            </w:r>
          </w:p>
        </w:tc>
        <w:tc>
          <w:tcPr>
            <w:tcW w:type="dxa" w:w="1662"/>
            <w:vAlign w:val="center"/>
            <w:tcW w:w="1500" w:type="dxa"/>
          </w:tcPr>
          <w:p>
            <w:pPr>
              <w:spacing w:before="20" w:after="20" w:lineRule="exact" w:line="240"/>
              <w:jc w:val="center"/>
            </w:pPr>
            <w:r>
              <w:rPr>
                <w:rFonts w:ascii="MS PGothic" w:hAnsi="MS PGothic" w:eastAsia="MS PGothic"/>
                <w:b w:val="0"/>
                <w:color w:val="000000"/>
                <w:sz w:val="18"/>
              </w:rPr>
              <w:t>1</w:t>
            </w:r>
          </w:p>
        </w:tc>
        <w:tc>
          <w:tcPr>
            <w:tcW w:type="dxa" w:w="1662"/>
            <w:vAlign w:val="center"/>
            <w:tcW w:w="1100" w:type="dxa"/>
          </w:tcPr>
          <w:p>
            <w:pPr>
              <w:spacing w:before="20" w:after="20" w:lineRule="exact" w:line="240"/>
              <w:jc w:val="center"/>
            </w:pPr>
            <w:r>
              <w:rPr>
                <w:rFonts w:ascii="MS PGothic" w:hAnsi="MS PGothic" w:eastAsia="MS PGothic"/>
                <w:b w:val="0"/>
                <w:color w:val="000000"/>
                <w:sz w:val="18"/>
              </w:rPr>
              <w:t>5</w:t>
            </w:r>
          </w:p>
        </w:tc>
        <w:tc>
          <w:tcPr>
            <w:tcW w:type="dxa" w:w="1662"/>
            <w:vAlign w:val="center"/>
            <w:tcW w:w="1100" w:type="dxa"/>
          </w:tcPr>
          <w:p>
            <w:pPr>
              <w:spacing w:before="20" w:after="20" w:lineRule="exact" w:line="240"/>
              <w:jc w:val="center"/>
            </w:pPr>
            <w:r>
              <w:rPr>
                <w:rFonts w:ascii="MS PGothic" w:hAnsi="MS PGothic" w:eastAsia="MS PGothic"/>
                <w:b w:val="0"/>
                <w:color w:val="000000"/>
                <w:sz w:val="18"/>
              </w:rPr>
              <w:t>0.1</w:t>
            </w:r>
          </w:p>
        </w:tc>
        <w:tc>
          <w:tcPr>
            <w:tcW w:type="dxa" w:w="1662"/>
            <w:vAlign w:val="center"/>
            <w:tcW w:w="2060" w:type="dxa"/>
          </w:tcPr>
          <w:p>
            <w:pPr>
              <w:spacing w:before="20" w:after="20" w:lineRule="exact" w:line="240"/>
              <w:jc w:val="center"/>
            </w:pPr>
            <w:r>
              <w:rPr>
                <w:rFonts w:ascii="MS PGothic" w:hAnsi="MS PGothic" w:eastAsia="MS PGothic"/>
                <w:b w:val="0"/>
                <w:color w:val="000000"/>
                <w:sz w:val="18"/>
              </w:rPr>
              <w:t>SDS添加系</w:t>
            </w:r>
          </w:p>
        </w:tc>
      </w:tr>
      <w:tr>
        <w:tc>
          <w:tcPr>
            <w:tcW w:type="dxa" w:w="1662"/>
            <w:vAlign w:val="center"/>
            <w:tcW w:w="2300" w:type="dxa"/>
          </w:tcPr>
          <w:p>
            <w:pPr>
              <w:spacing w:before="20" w:after="20" w:lineRule="exact" w:line="240"/>
              <w:jc w:val="left"/>
            </w:pPr>
            <w:r>
              <w:rPr>
                <w:rFonts w:ascii="MS PGothic" w:hAnsi="MS PGothic" w:eastAsia="MS PGothic"/>
                <w:b w:val="0"/>
                <w:color w:val="000000"/>
                <w:sz w:val="18"/>
              </w:rPr>
              <w:t>…/SDS (1-5-0.5)</w:t>
            </w:r>
          </w:p>
        </w:tc>
        <w:tc>
          <w:tcPr>
            <w:tcW w:type="dxa" w:w="1662"/>
            <w:vAlign w:val="center"/>
            <w:tcW w:w="1300" w:type="dxa"/>
          </w:tcPr>
          <w:p>
            <w:pPr>
              <w:spacing w:before="20" w:after="20" w:lineRule="exact" w:line="240"/>
              <w:jc w:val="center"/>
            </w:pPr>
            <w:r>
              <w:rPr>
                <w:rFonts w:ascii="MS PGothic" w:hAnsi="MS PGothic" w:eastAsia="MS PGothic"/>
                <w:b w:val="0"/>
                <w:color w:val="000000"/>
                <w:sz w:val="18"/>
              </w:rPr>
              <w:t>HEC+MC等</w:t>
            </w:r>
          </w:p>
        </w:tc>
        <w:tc>
          <w:tcPr>
            <w:tcW w:type="dxa" w:w="1662"/>
            <w:vAlign w:val="center"/>
            <w:tcW w:w="1500" w:type="dxa"/>
          </w:tcPr>
          <w:p>
            <w:pPr>
              <w:spacing w:before="20" w:after="20" w:lineRule="exact" w:line="240"/>
              <w:jc w:val="center"/>
            </w:pPr>
            <w:r>
              <w:rPr>
                <w:rFonts w:ascii="MS PGothic" w:hAnsi="MS PGothic" w:eastAsia="MS PGothic"/>
                <w:b w:val="0"/>
                <w:color w:val="000000"/>
                <w:sz w:val="18"/>
              </w:rPr>
              <w:t>1</w:t>
            </w:r>
          </w:p>
        </w:tc>
        <w:tc>
          <w:tcPr>
            <w:tcW w:type="dxa" w:w="1662"/>
            <w:vAlign w:val="center"/>
            <w:tcW w:w="1100" w:type="dxa"/>
          </w:tcPr>
          <w:p>
            <w:pPr>
              <w:spacing w:before="20" w:after="20" w:lineRule="exact" w:line="240"/>
              <w:jc w:val="center"/>
            </w:pPr>
            <w:r>
              <w:rPr>
                <w:rFonts w:ascii="MS PGothic" w:hAnsi="MS PGothic" w:eastAsia="MS PGothic"/>
                <w:b w:val="0"/>
                <w:color w:val="000000"/>
                <w:sz w:val="18"/>
              </w:rPr>
              <w:t>5</w:t>
            </w:r>
          </w:p>
        </w:tc>
        <w:tc>
          <w:tcPr>
            <w:tcW w:type="dxa" w:w="1662"/>
            <w:vAlign w:val="center"/>
            <w:tcW w:w="1100" w:type="dxa"/>
          </w:tcPr>
          <w:p>
            <w:pPr>
              <w:spacing w:before="20" w:after="20" w:lineRule="exact" w:line="240"/>
              <w:jc w:val="center"/>
            </w:pPr>
            <w:r>
              <w:rPr>
                <w:rFonts w:ascii="MS PGothic" w:hAnsi="MS PGothic" w:eastAsia="MS PGothic"/>
                <w:b w:val="0"/>
                <w:color w:val="000000"/>
                <w:sz w:val="18"/>
              </w:rPr>
              <w:t>0.5</w:t>
            </w:r>
          </w:p>
        </w:tc>
        <w:tc>
          <w:tcPr>
            <w:tcW w:type="dxa" w:w="1662"/>
            <w:vAlign w:val="center"/>
            <w:tcW w:w="2060" w:type="dxa"/>
          </w:tcPr>
          <w:p>
            <w:pPr>
              <w:spacing w:before="20" w:after="20" w:lineRule="exact" w:line="240"/>
              <w:jc w:val="center"/>
            </w:pPr>
            <w:r>
              <w:rPr>
                <w:rFonts w:ascii="MS PGothic" w:hAnsi="MS PGothic" w:eastAsia="MS PGothic"/>
                <w:b w:val="0"/>
                <w:color w:val="000000"/>
                <w:sz w:val="18"/>
              </w:rPr>
              <w:t>SDS添加系</w:t>
            </w:r>
          </w:p>
        </w:tc>
      </w:tr>
    </w:tbl>
    <w:p>
      <w:pPr>
        <w:spacing w:before="0" w:after="60"/>
      </w:pPr>
    </w:p>
    <w:p>
      <w:pPr>
        <w:spacing w:before="60" w:after="0" w:lineRule="exact" w:line="280"/>
      </w:pPr>
      <w:r>
        <w:rPr>
          <w:rFonts w:ascii="MS PGothic" w:hAnsi="MS PGothic" w:eastAsia="MS PGothic"/>
          <w:b/>
          <w:color w:val="000000"/>
          <w:sz w:val="20"/>
        </w:rPr>
        <w:t>・先行研究との位置づけ（Yu et al., 2016, PNAS）</w:t>
      </w:r>
    </w:p>
    <w:p>
      <w:pPr>
        <w:spacing w:before="0" w:after="40" w:lineRule="exact" w:line="280"/>
        <w:ind w:firstLine="227"/>
      </w:pPr>
      <w:r>
        <w:rPr>
          <w:rFonts w:ascii="MS PGothic" w:hAnsi="MS PGothic" w:eastAsia="MS PGothic"/>
          <w:b w:val="0"/>
          <w:color w:val="000000"/>
          <w:sz w:val="19"/>
        </w:rPr>
        <w:t>この HEC+MC/CSP プラットフォームは、2016年に Yu らが PNAS で報告した PNP（Polymer–Nanoparticle–Polymer）ゲルを基盤とする。当時はリン酸アンモニウム系難燃剤（APP 等）を選択的に吸着・運搬するキャリアとして設計されており、せん断希薄化・自己修復性・選択吸着は既知であった。本研究の新規性は、①難燃剤（APP）を一切添加せずゲル単独で防火機能を発現すること、②加熱によりシリカエアロゲルへ変態すること、③乾燥環境下でも機能を保つこと、④455日超の長期保存安定性、の4点にある。つまり「薬剤を運ぶキャリア」から「それ自体が断熱バリアになる材料」へという役割転換が本質的な進歩である。</w:t>
      </w:r>
    </w:p>
    <w:p>
      <w:pPr>
        <w:spacing w:before="120" w:after="20" w:lineRule="exact" w:line="300"/>
      </w:pPr>
      <w:r>
        <w:rPr>
          <w:rFonts w:ascii="MS PGothic" w:hAnsi="MS PGothic" w:eastAsia="MS PGothic"/>
          <w:b/>
          <w:color w:val="000000"/>
          <w:sz w:val="21"/>
        </w:rPr>
        <w:t>2. レオロジー測定</w:t>
      </w:r>
    </w:p>
    <w:p>
      <w:pPr>
        <w:spacing w:before="60" w:after="0" w:lineRule="exact" w:line="280"/>
      </w:pPr>
      <w:r>
        <w:rPr>
          <w:rFonts w:ascii="MS PGothic" w:hAnsi="MS PGothic" w:eastAsia="MS PGothic"/>
          <w:b/>
          <w:color w:val="000000"/>
          <w:sz w:val="20"/>
        </w:rPr>
        <w:t>・粘弾性測定（振動レオロジー）</w:t>
      </w:r>
    </w:p>
    <w:p>
      <w:pPr>
        <w:spacing w:before="0" w:after="40" w:lineRule="exact" w:line="280"/>
        <w:ind w:firstLine="227"/>
      </w:pPr>
      <w:r>
        <w:rPr>
          <w:rFonts w:ascii="MS PGothic" w:hAnsi="MS PGothic" w:eastAsia="MS PGothic"/>
          <w:b w:val="0"/>
          <w:color w:val="000000"/>
          <w:sz w:val="19"/>
        </w:rPr>
        <w:t>振動レオロジー測定はレオメーターを用いて実施した。</w:t>
      </w:r>
      <w:r>
        <w:rPr>
          <w:rFonts w:ascii="MS PGothic" w:hAnsi="MS PGothic" w:eastAsia="MS PGothic"/>
          <w:b/>
          <w:color w:val="000000"/>
          <w:sz w:val="19"/>
        </w:rPr>
        <w:t>周波数掃引（Frequency sweep）</w:t>
      </w:r>
      <w:r>
        <w:rPr>
          <w:rFonts w:ascii="MS PGothic" w:hAnsi="MS PGothic" w:eastAsia="MS PGothic"/>
          <w:b w:val="0"/>
          <w:color w:val="000000"/>
          <w:sz w:val="19"/>
        </w:rPr>
        <w:t xml:space="preserve">では、線形粘弾性領域内（低ひずみ振幅）で角周波数を掃引し、貯蔵弾性率 G'（弾性成分）と損失弾性率 G''（粘性成分）の周波数依存性を測定した </w:t>
      </w:r>
      <w:r>
        <w:rPr>
          <w:rFonts w:ascii="MS PGothic" w:hAnsi="MS PGothic" w:eastAsia="MS PGothic"/>
          <w:b/>
          <w:color w:val="000000"/>
          <w:sz w:val="19"/>
        </w:rPr>
        <w:t>(Fig. 2a)</w:t>
      </w:r>
      <w:r>
        <w:rPr>
          <w:rFonts w:ascii="MS PGothic" w:hAnsi="MS PGothic" w:eastAsia="MS PGothic"/>
          <w:b w:val="0"/>
          <w:color w:val="000000"/>
          <w:sz w:val="19"/>
        </w:rPr>
        <w:t>。静止状態での G' &gt; G''（固体的ゲル挙動）が、ゲルが垂直面に塗布しても垂れない理由である。</w:t>
      </w:r>
      <w:r>
        <w:rPr>
          <w:rFonts w:ascii="MS PGothic" w:hAnsi="MS PGothic" w:eastAsia="MS PGothic"/>
          <w:b/>
          <w:color w:val="000000"/>
          <w:sz w:val="19"/>
        </w:rPr>
        <w:t>ひずみ掃引（Strain sweep）</w:t>
      </w:r>
      <w:r>
        <w:rPr>
          <w:rFonts w:ascii="MS PGothic" w:hAnsi="MS PGothic" w:eastAsia="MS PGothic"/>
          <w:b w:val="0"/>
          <w:color w:val="000000"/>
          <w:sz w:val="19"/>
        </w:rPr>
        <w:t xml:space="preserve">では、ひずみ振幅を小から大まで増加させ、G' と G'' の降伏挙動を観察した </w:t>
      </w:r>
      <w:r>
        <w:rPr>
          <w:rFonts w:ascii="MS PGothic" w:hAnsi="MS PGothic" w:eastAsia="MS PGothic"/>
          <w:b/>
          <w:color w:val="000000"/>
          <w:sz w:val="19"/>
        </w:rPr>
        <w:t>(Fig. 2b)</w:t>
      </w:r>
      <w:r>
        <w:rPr>
          <w:rFonts w:ascii="MS PGothic" w:hAnsi="MS PGothic" w:eastAsia="MS PGothic"/>
          <w:b w:val="0"/>
          <w:color w:val="000000"/>
          <w:sz w:val="19"/>
        </w:rPr>
        <w:t>。</w:t>
      </w:r>
    </w:p>
    <w:p>
      <w:pPr>
        <w:spacing w:before="60" w:after="0" w:lineRule="exact" w:line="280"/>
      </w:pPr>
      <w:r>
        <w:rPr>
          <w:rFonts w:ascii="MS PGothic" w:hAnsi="MS PGothic" w:eastAsia="MS PGothic"/>
          <w:b/>
          <w:color w:val="000000"/>
          <w:sz w:val="20"/>
        </w:rPr>
        <w:t>・せん断希薄化測定（Flow sweep）と動的降伏応力</w:t>
      </w:r>
    </w:p>
    <w:p>
      <w:pPr>
        <w:spacing w:before="0" w:after="40" w:lineRule="exact" w:line="280"/>
        <w:ind w:firstLine="227"/>
      </w:pPr>
      <w:r>
        <w:rPr>
          <w:rFonts w:ascii="MS PGothic" w:hAnsi="MS PGothic" w:eastAsia="MS PGothic"/>
          <w:b w:val="0"/>
          <w:color w:val="000000"/>
          <w:sz w:val="19"/>
        </w:rPr>
      </w:r>
      <w:r>
        <w:rPr>
          <w:rFonts w:ascii="MS PGothic" w:hAnsi="MS PGothic" w:eastAsia="MS PGothic"/>
          <w:b/>
          <w:color w:val="000000"/>
          <w:sz w:val="19"/>
        </w:rPr>
        <w:t>フロースイープ（Flow sweep / Steady-state flow）</w:t>
      </w:r>
      <w:r>
        <w:rPr>
          <w:rFonts w:ascii="MS PGothic" w:hAnsi="MS PGothic" w:eastAsia="MS PGothic"/>
          <w:b w:val="0"/>
          <w:color w:val="000000"/>
          <w:sz w:val="19"/>
        </w:rPr>
        <w:t xml:space="preserve">では、せん断速度（shear rate）を変化させながら定常粘度（steady-state viscosity）を測定した </w:t>
      </w:r>
      <w:r>
        <w:rPr>
          <w:rFonts w:ascii="MS PGothic" w:hAnsi="MS PGothic" w:eastAsia="MS PGothic"/>
          <w:b/>
          <w:color w:val="000000"/>
          <w:sz w:val="19"/>
        </w:rPr>
        <w:t>(Fig. 2c)</w:t>
      </w:r>
      <w:r>
        <w:rPr>
          <w:rFonts w:ascii="MS PGothic" w:hAnsi="MS PGothic" w:eastAsia="MS PGothic"/>
          <w:b w:val="0"/>
          <w:color w:val="000000"/>
          <w:sz w:val="19"/>
        </w:rPr>
        <w:t xml:space="preserve">。高せん断速度域で粘度が急激に低下するせん断希薄化（shear-thinning）挙動が確認された。これがノズルからの噴霧を可能にする物性的根拠である。動的降伏応力は、フロースイープデータを </w:t>
      </w:r>
      <w:r>
        <w:rPr>
          <w:rFonts w:ascii="MS PGothic" w:hAnsi="MS PGothic" w:eastAsia="MS PGothic"/>
          <w:b/>
          <w:color w:val="000000"/>
          <w:sz w:val="19"/>
        </w:rPr>
        <w:t>Herschel–Bulkley モデル</w:t>
      </w:r>
      <w:r>
        <w:rPr>
          <w:rFonts w:ascii="MS PGothic" w:hAnsi="MS PGothic" w:eastAsia="MS PGothic"/>
          <w:b w:val="0"/>
          <w:color w:val="000000"/>
          <w:sz w:val="19"/>
        </w:rPr>
        <w:t>（τ = τ_y + K · γ̇ⁿ、τ_y：降伏応力、K：稠度係数、n：流動指数）でフィッティングして抽出した。</w:t>
      </w:r>
    </w:p>
    <w:p>
      <w:pPr>
        <w:spacing w:before="60" w:after="0" w:lineRule="exact" w:line="280"/>
      </w:pPr>
      <w:r>
        <w:rPr>
          <w:rFonts w:ascii="MS PGothic" w:hAnsi="MS PGothic" w:eastAsia="MS PGothic"/>
          <w:b/>
          <w:color w:val="000000"/>
          <w:sz w:val="20"/>
        </w:rPr>
        <w:t>・静的降伏応力測定（LAOS）と自己修復性評価</w:t>
      </w:r>
    </w:p>
    <w:p>
      <w:pPr>
        <w:spacing w:before="0" w:after="40" w:lineRule="exact" w:line="280"/>
        <w:ind w:firstLine="227"/>
      </w:pPr>
      <w:r>
        <w:rPr>
          <w:rFonts w:ascii="MS PGothic" w:hAnsi="MS PGothic" w:eastAsia="MS PGothic"/>
          <w:b w:val="0"/>
          <w:color w:val="000000"/>
          <w:sz w:val="19"/>
        </w:rPr>
        <w:t xml:space="preserve">静的降伏応力の定量には </w:t>
      </w:r>
      <w:r>
        <w:rPr>
          <w:rFonts w:ascii="MS PGothic" w:hAnsi="MS PGothic" w:eastAsia="MS PGothic"/>
          <w:b/>
          <w:color w:val="000000"/>
          <w:sz w:val="19"/>
        </w:rPr>
        <w:t>LAOS（Large Amplitude Oscillatory Shear, 大振幅振動せん断）</w:t>
      </w:r>
      <w:r>
        <w:rPr>
          <w:rFonts w:ascii="MS PGothic" w:hAnsi="MS PGothic" w:eastAsia="MS PGothic"/>
          <w:b w:val="0"/>
          <w:color w:val="000000"/>
          <w:sz w:val="19"/>
        </w:rPr>
        <w:t>を用いた。ひずみ振幅を増大させ、G' と G'' のクロスオーバー（G' = G''）が生じる点の応力を静的降伏応力として定義・算出した。この値が高いほど、塗布後に垂直面で流れ落ちずに付着し続ける能力が高い。自己修復性は、高ひずみ（ゾル状態）と低ひずみ（ゲル状態）を交互に印加する</w:t>
      </w:r>
      <w:r>
        <w:rPr>
          <w:rFonts w:ascii="MS PGothic" w:hAnsi="MS PGothic" w:eastAsia="MS PGothic"/>
          <w:b/>
          <w:color w:val="000000"/>
          <w:sz w:val="19"/>
        </w:rPr>
        <w:t>ステップひずみ試験</w:t>
      </w:r>
      <w:r>
        <w:rPr>
          <w:rFonts w:ascii="MS PGothic" w:hAnsi="MS PGothic" w:eastAsia="MS PGothic"/>
          <w:b w:val="0"/>
          <w:color w:val="000000"/>
          <w:sz w:val="19"/>
        </w:rPr>
        <w:t xml:space="preserve">で評価した </w:t>
      </w:r>
      <w:r>
        <w:rPr>
          <w:rFonts w:ascii="MS PGothic" w:hAnsi="MS PGothic" w:eastAsia="MS PGothic"/>
          <w:b/>
          <w:color w:val="000000"/>
          <w:sz w:val="19"/>
        </w:rPr>
        <w:t>(Fig. 2e)</w:t>
      </w:r>
      <w:r>
        <w:rPr>
          <w:rFonts w:ascii="MS PGothic" w:hAnsi="MS PGothic" w:eastAsia="MS PGothic"/>
          <w:b w:val="0"/>
          <w:color w:val="000000"/>
          <w:sz w:val="19"/>
        </w:rPr>
        <w:t>。高ひずみでゲル構造を破壊した後に低ひずみへ切り替えると、G' が数秒以内に初期値まで回復することを確認した。これは着弾後の瞬間的な保護層再形成能力に対応する。</w:t>
      </w:r>
    </w:p>
    <w:p>
      <w:pPr>
        <w:spacing w:before="120" w:after="20" w:lineRule="exact" w:line="300"/>
      </w:pPr>
      <w:r>
        <w:rPr>
          <w:rFonts w:ascii="MS PGothic" w:hAnsi="MS PGothic" w:eastAsia="MS PGothic"/>
          <w:b/>
          <w:color w:val="000000"/>
          <w:sz w:val="21"/>
        </w:rPr>
        <w:t>3. 燃焼試験（Combustion Test）</w:t>
      </w:r>
    </w:p>
    <w:p>
      <w:pPr>
        <w:spacing w:before="0" w:after="40" w:lineRule="exact" w:line="280"/>
        <w:ind w:firstLine="227"/>
      </w:pPr>
      <w:r>
        <w:rPr>
          <w:rFonts w:ascii="MS PGothic" w:hAnsi="MS PGothic" w:eastAsia="MS PGothic"/>
          <w:b w:val="0"/>
          <w:color w:val="000000"/>
          <w:sz w:val="19"/>
        </w:rPr>
        <w:t>防火性能評価は以下の条件で実施した。基材：</w:t>
      </w:r>
      <w:r>
        <w:rPr>
          <w:rFonts w:ascii="MS PGothic" w:hAnsi="MS PGothic" w:eastAsia="MS PGothic"/>
          <w:b/>
          <w:color w:val="000000"/>
          <w:sz w:val="19"/>
        </w:rPr>
        <w:t>合板（plywood）</w:t>
      </w:r>
      <w:r>
        <w:rPr>
          <w:rFonts w:ascii="MS PGothic" w:hAnsi="MS PGothic" w:eastAsia="MS PGothic"/>
          <w:b w:val="0"/>
          <w:color w:val="000000"/>
          <w:sz w:val="19"/>
        </w:rPr>
        <w:t>。塗布：各ゲルを基材表面に均一に塗布。加熱源：</w:t>
      </w:r>
      <w:r>
        <w:rPr>
          <w:rFonts w:ascii="MS PGothic" w:hAnsi="MS PGothic" w:eastAsia="MS PGothic"/>
          <w:b/>
          <w:color w:val="000000"/>
          <w:sz w:val="19"/>
        </w:rPr>
        <w:t>MAP-Pro トーチ（プロパン・メチルアセチレン系燃料、炎温度約2054℃）</w:t>
      </w:r>
      <w:r>
        <w:rPr>
          <w:rFonts w:ascii="MS PGothic" w:hAnsi="MS PGothic" w:eastAsia="MS PGothic"/>
          <w:b w:val="0"/>
          <w:color w:val="000000"/>
          <w:sz w:val="19"/>
        </w:rPr>
        <w:t xml:space="preserve">で基材表面を直接加熱 </w:t>
      </w:r>
      <w:r>
        <w:rPr>
          <w:rFonts w:ascii="MS PGothic" w:hAnsi="MS PGothic" w:eastAsia="MS PGothic"/>
          <w:b/>
          <w:color w:val="000000"/>
          <w:sz w:val="19"/>
        </w:rPr>
        <w:t>(Fig. 3a)</w:t>
      </w:r>
      <w:r>
        <w:rPr>
          <w:rFonts w:ascii="MS PGothic" w:hAnsi="MS PGothic" w:eastAsia="MS PGothic"/>
          <w:b w:val="0"/>
          <w:color w:val="000000"/>
          <w:sz w:val="19"/>
        </w:rPr>
        <w:t>。評価指標：</w:t>
      </w:r>
      <w:r>
        <w:rPr>
          <w:rFonts w:ascii="MS PGothic" w:hAnsi="MS PGothic" w:eastAsia="MS PGothic"/>
          <w:b/>
          <w:color w:val="000000"/>
          <w:sz w:val="19"/>
        </w:rPr>
        <w:t>Time to char</w:t>
      </w:r>
      <w:r>
        <w:rPr>
          <w:rFonts w:ascii="MS PGothic" w:hAnsi="MS PGothic" w:eastAsia="MS PGothic"/>
          <w:b w:val="0"/>
          <w:color w:val="000000"/>
          <w:sz w:val="19"/>
        </w:rPr>
        <w:t xml:space="preserve">（木材表面が炭化し始めるまでの時間、分単位、長いほど高保護）。補助評価：加熱開始から </w:t>
      </w:r>
      <w:r>
        <w:rPr>
          <w:rFonts w:ascii="MS PGothic" w:hAnsi="MS PGothic" w:eastAsia="MS PGothic"/>
          <w:b/>
          <w:color w:val="000000"/>
          <w:sz w:val="19"/>
        </w:rPr>
        <w:t>120秒・300秒</w:t>
      </w:r>
      <w:r>
        <w:rPr>
          <w:rFonts w:ascii="MS PGothic" w:hAnsi="MS PGothic" w:eastAsia="MS PGothic"/>
          <w:b w:val="0"/>
          <w:color w:val="000000"/>
          <w:sz w:val="19"/>
        </w:rPr>
        <w:t>の時点で表面状態を写真撮影し、炭化・発泡・断熱層形成の状況を視覚的に比較した。統計：</w:t>
      </w:r>
      <w:r>
        <w:rPr>
          <w:rFonts w:ascii="MS PGothic" w:hAnsi="MS PGothic" w:eastAsia="MS PGothic"/>
          <w:b/>
          <w:color w:val="000000"/>
          <w:sz w:val="19"/>
        </w:rPr>
        <w:t>全配合 n ≥ 3</w:t>
      </w:r>
      <w:r>
        <w:rPr>
          <w:rFonts w:ascii="MS PGothic" w:hAnsi="MS PGothic" w:eastAsia="MS PGothic"/>
          <w:b w:val="0"/>
          <w:color w:val="000000"/>
          <w:sz w:val="19"/>
        </w:rPr>
        <w:t xml:space="preserve"> で再現性を確認した。</w:t>
      </w:r>
    </w:p>
    <w:p>
      <w:pPr>
        <w:spacing w:before="120" w:after="20" w:lineRule="exact" w:line="300"/>
      </w:pPr>
      <w:r>
        <w:rPr>
          <w:rFonts w:ascii="MS PGothic" w:hAnsi="MS PGothic" w:eastAsia="MS PGothic"/>
          <w:b/>
          <w:color w:val="000000"/>
          <w:sz w:val="21"/>
        </w:rPr>
        <w:t>4. 化学・熱分析・微細構造観察</w:t>
      </w:r>
    </w:p>
    <w:p>
      <w:pPr>
        <w:spacing w:before="0" w:after="40" w:lineRule="exact" w:line="280"/>
        <w:ind w:firstLine="227"/>
      </w:pPr>
      <w:r>
        <w:rPr>
          <w:rFonts w:ascii="MS PGothic" w:hAnsi="MS PGothic" w:eastAsia="MS PGothic"/>
          <w:b w:val="0"/>
          <w:color w:val="000000"/>
          <w:sz w:val="19"/>
        </w:rPr>
        <w:t xml:space="preserve">燃焼前後の化学結合変化を </w:t>
      </w:r>
      <w:r>
        <w:rPr>
          <w:rFonts w:ascii="MS PGothic" w:hAnsi="MS PGothic" w:eastAsia="MS PGothic"/>
          <w:b/>
          <w:color w:val="000000"/>
          <w:sz w:val="19"/>
        </w:rPr>
        <w:t>FT-IR（フーリエ変換赤外分光法）</w:t>
      </w:r>
      <w:r>
        <w:rPr>
          <w:rFonts w:ascii="MS PGothic" w:hAnsi="MS PGothic" w:eastAsia="MS PGothic"/>
          <w:b w:val="0"/>
          <w:color w:val="000000"/>
          <w:sz w:val="19"/>
        </w:rPr>
        <w:t xml:space="preserve">で評価した（注目ピーク：O–H 伸縮 ～3400 cm⁻¹、C–H 伸縮 ～2900 cm⁻¹、Si–O–Si 逆対称伸縮 ～1100 cm⁻¹）。元素組成比の変化は </w:t>
      </w:r>
      <w:r>
        <w:rPr>
          <w:rFonts w:ascii="MS PGothic" w:hAnsi="MS PGothic" w:eastAsia="MS PGothic"/>
          <w:b/>
          <w:color w:val="000000"/>
          <w:sz w:val="19"/>
        </w:rPr>
        <w:t>XPS（X線光電子分光法）</w:t>
      </w:r>
      <w:r>
        <w:rPr>
          <w:rFonts w:ascii="MS PGothic" w:hAnsi="MS PGothic" w:eastAsia="MS PGothic"/>
          <w:b w:val="0"/>
          <w:color w:val="000000"/>
          <w:sz w:val="19"/>
        </w:rPr>
        <w:t xml:space="preserve">で定量した（C 1s ピークから炭素原子組成比 at% を算出）。各成分の分解温度と残存量は </w:t>
      </w:r>
      <w:r>
        <w:rPr>
          <w:rFonts w:ascii="MS PGothic" w:hAnsi="MS PGothic" w:eastAsia="MS PGothic"/>
          <w:b/>
          <w:color w:val="000000"/>
          <w:sz w:val="19"/>
        </w:rPr>
        <w:t>TGA（熱重量分析）</w:t>
      </w:r>
      <w:r>
        <w:rPr>
          <w:rFonts w:ascii="MS PGothic" w:hAnsi="MS PGothic" w:eastAsia="MS PGothic"/>
          <w:b w:val="0"/>
          <w:color w:val="000000"/>
          <w:sz w:val="19"/>
        </w:rPr>
        <w:t xml:space="preserve">および </w:t>
      </w:r>
      <w:r>
        <w:rPr>
          <w:rFonts w:ascii="MS PGothic" w:hAnsi="MS PGothic" w:eastAsia="MS PGothic"/>
          <w:b/>
          <w:color w:val="000000"/>
          <w:sz w:val="19"/>
        </w:rPr>
        <w:t>DSC（示差走査熱量測定）</w:t>
      </w:r>
      <w:r>
        <w:rPr>
          <w:rFonts w:ascii="MS PGothic" w:hAnsi="MS PGothic" w:eastAsia="MS PGothic"/>
          <w:b w:val="0"/>
          <w:color w:val="000000"/>
          <w:sz w:val="19"/>
        </w:rPr>
        <w:t>で評価した。焼結の進行は、加熱時間を0・1・2・4分に変えた試料の</w:t>
      </w:r>
      <w:r>
        <w:rPr>
          <w:rFonts w:ascii="MS PGothic" w:hAnsi="MS PGothic" w:eastAsia="MS PGothic"/>
          <w:b/>
          <w:color w:val="000000"/>
          <w:sz w:val="19"/>
        </w:rPr>
        <w:t>断面 SEM（走査型電子顕微鏡）</w:t>
      </w:r>
      <w:r>
        <w:rPr>
          <w:rFonts w:ascii="MS PGothic" w:hAnsi="MS PGothic" w:eastAsia="MS PGothic"/>
          <w:b w:val="0"/>
          <w:color w:val="000000"/>
          <w:sz w:val="19"/>
        </w:rPr>
        <w:t>観察で直接可視化した。</w:t>
      </w:r>
    </w:p>
    <w:p>
      <w:pPr>
        <w:spacing w:before="160" w:after="40"/>
      </w:pPr>
      <w:r>
        <w:rPr>
          <w:rFonts w:ascii="MS PGothic" w:hAnsi="MS PGothic" w:eastAsia="MS PGothic"/>
          <w:b/>
          <w:color w:val="000000"/>
          <w:sz w:val="22"/>
        </w:rPr>
        <w:t>【実験結果と考察】</w:t>
      </w:r>
    </w:p>
    <w:p>
      <w:pPr>
        <w:spacing w:before="120" w:after="20" w:lineRule="exact" w:line="300"/>
      </w:pPr>
      <w:r>
        <w:rPr>
          <w:rFonts w:ascii="MS PGothic" w:hAnsi="MS PGothic" w:eastAsia="MS PGothic"/>
          <w:b/>
          <w:color w:val="000000"/>
          <w:sz w:val="21"/>
        </w:rPr>
        <w:t>1. レオロジー特性（Figure 2）</w:t>
      </w:r>
    </w:p>
    <w:p>
      <w:pPr>
        <w:spacing w:before="60" w:after="0" w:lineRule="exact" w:line="280"/>
      </w:pPr>
      <w:r>
        <w:rPr>
          <w:rFonts w:ascii="MS PGothic" w:hAnsi="MS PGothic" w:eastAsia="MS PGothic"/>
          <w:b/>
          <w:color w:val="000000"/>
          <w:sz w:val="20"/>
        </w:rPr>
        <w:t>・粘弾性とせん断希薄化（Fig. 2a–c）</w:t>
      </w:r>
    </w:p>
    <w:p>
      <w:pPr>
        <w:spacing w:before="0" w:after="40" w:lineRule="exact" w:line="280"/>
        <w:ind w:firstLine="227"/>
      </w:pPr>
      <w:r>
        <w:rPr>
          <w:rFonts w:ascii="MS PGothic" w:hAnsi="MS PGothic" w:eastAsia="MS PGothic"/>
          <w:b w:val="0"/>
          <w:color w:val="000000"/>
          <w:sz w:val="19"/>
        </w:rPr>
        <w:t xml:space="preserve">周波数掃引の結果、全周波数域にわたって </w:t>
      </w:r>
      <w:r>
        <w:rPr>
          <w:rFonts w:ascii="MS PGothic" w:hAnsi="MS PGothic" w:eastAsia="MS PGothic"/>
          <w:b/>
          <w:color w:val="000000"/>
          <w:sz w:val="19"/>
        </w:rPr>
        <w:t>G' &gt; G''</w:t>
      </w:r>
      <w:r>
        <w:rPr>
          <w:rFonts w:ascii="MS PGothic" w:hAnsi="MS PGothic" w:eastAsia="MS PGothic"/>
          <w:b w:val="0"/>
          <w:color w:val="000000"/>
          <w:sz w:val="19"/>
        </w:rPr>
        <w:t xml:space="preserve"> が維持されており、本ゲルが純粋な液体ではなく固体的な弾性ゲルとして振る舞うことが確認された </w:t>
      </w:r>
      <w:r>
        <w:rPr>
          <w:rFonts w:ascii="MS PGothic" w:hAnsi="MS PGothic" w:eastAsia="MS PGothic"/>
          <w:b/>
          <w:color w:val="000000"/>
          <w:sz w:val="19"/>
        </w:rPr>
        <w:t>(Fig. 2a)</w:t>
      </w:r>
      <w:r>
        <w:rPr>
          <w:rFonts w:ascii="MS PGothic" w:hAnsi="MS PGothic" w:eastAsia="MS PGothic"/>
          <w:b w:val="0"/>
          <w:color w:val="000000"/>
          <w:sz w:val="19"/>
        </w:rPr>
        <w:t>。これは静止時に塗布面から流れ落ちない（耐ダレ性がある）ことを意味する。フロースイープでは、低せん断速度域で高い粘度を示すが、せん断速度の増加とともに粘度が急激に低下する明瞭な</w:t>
      </w:r>
      <w:r>
        <w:rPr>
          <w:rFonts w:ascii="MS PGothic" w:hAnsi="MS PGothic" w:eastAsia="MS PGothic"/>
          <w:b/>
          <w:color w:val="000000"/>
          <w:sz w:val="19"/>
        </w:rPr>
        <w:t>せん断希薄化（shear-thinning）</w:t>
      </w:r>
      <w:r>
        <w:rPr>
          <w:rFonts w:ascii="MS PGothic" w:hAnsi="MS PGothic" w:eastAsia="MS PGothic"/>
          <w:b w:val="0"/>
          <w:color w:val="000000"/>
          <w:sz w:val="19"/>
        </w:rPr>
        <w:t xml:space="preserve">挙動が全配合で確認された </w:t>
      </w:r>
      <w:r>
        <w:rPr>
          <w:rFonts w:ascii="MS PGothic" w:hAnsi="MS PGothic" w:eastAsia="MS PGothic"/>
          <w:b/>
          <w:color w:val="000000"/>
          <w:sz w:val="19"/>
        </w:rPr>
        <w:t>(Fig. 2c)</w:t>
      </w:r>
      <w:r>
        <w:rPr>
          <w:rFonts w:ascii="MS PGothic" w:hAnsi="MS PGothic" w:eastAsia="MS PGothic"/>
          <w:b w:val="0"/>
          <w:color w:val="000000"/>
          <w:sz w:val="19"/>
        </w:rPr>
        <w:t>。流動指数 n &lt; 1 の強いせん断希薄化により、ポンプ圧がかかるノズル通過時のみ流動化して噴霧でき、噴霧停止後はただちにゲルに戻る。</w:t>
      </w:r>
    </w:p>
    <w:p>
      <w:pPr>
        <w:spacing w:before="60" w:after="0" w:lineRule="exact" w:line="280"/>
      </w:pPr>
      <w:r>
        <w:rPr>
          <w:rFonts w:ascii="MS PGothic" w:hAnsi="MS PGothic" w:eastAsia="MS PGothic"/>
          <w:b/>
          <w:color w:val="000000"/>
          <w:sz w:val="20"/>
        </w:rPr>
        <w:t>・降伏応力の定量評価（Fig. 2d–e）</w:t>
      </w:r>
    </w:p>
    <w:p>
      <w:pPr>
        <w:spacing w:before="0" w:after="40" w:lineRule="exact" w:line="280"/>
        <w:ind w:firstLine="227"/>
      </w:pPr>
      <w:r>
        <w:rPr>
          <w:rFonts w:ascii="MS PGothic" w:hAnsi="MS PGothic" w:eastAsia="MS PGothic"/>
          <w:b w:val="0"/>
          <w:color w:val="000000"/>
          <w:sz w:val="19"/>
        </w:rPr>
        <w:t>LAOS 測定から求めた</w:t>
      </w:r>
      <w:r>
        <w:rPr>
          <w:rFonts w:ascii="MS PGothic" w:hAnsi="MS PGothic" w:eastAsia="MS PGothic"/>
          <w:b/>
          <w:color w:val="000000"/>
          <w:sz w:val="19"/>
        </w:rPr>
        <w:t>静的降伏応力</w:t>
      </w:r>
      <w:r>
        <w:rPr>
          <w:rFonts w:ascii="MS PGothic" w:hAnsi="MS PGothic" w:eastAsia="MS PGothic"/>
          <w:b w:val="0"/>
          <w:color w:val="000000"/>
          <w:sz w:val="19"/>
        </w:rPr>
        <w:t xml:space="preserve">は、作製直後で </w:t>
      </w:r>
      <w:r>
        <w:rPr>
          <w:rFonts w:ascii="MS PGothic" w:hAnsi="MS PGothic" w:eastAsia="MS PGothic"/>
          <w:b/>
          <w:color w:val="000000"/>
          <w:sz w:val="19"/>
        </w:rPr>
        <w:t>HEC+MC/CSP（1-5）= 33.3 Pa、MHEC/CSP（1-5）= 3.31 Pa</w:t>
      </w:r>
      <w:r>
        <w:rPr>
          <w:rFonts w:ascii="MS PGothic" w:hAnsi="MS PGothic" w:eastAsia="MS PGothic"/>
          <w:b w:val="0"/>
          <w:color w:val="000000"/>
          <w:sz w:val="19"/>
        </w:rPr>
        <w:t>であった。HEC+MC 系が約10倍高い静的降伏応力を示し、垂直面での強固な付着・耐ダレ性に優れる。MHEC 系は静的降伏応力は低いものの、動的降伏応力（Herschel–Bulkley フィット値）が適度な範囲にあり、ポンプ圧内で問題なく噴霧できることが確認された。両系とも「高い静的降伏応力による付着性」と「適度な動的降伏応力による噴霧性」を同時に満たすという実用要件を達成している。主要なレオロジー特性を Table 2 にまとめる。</w:t>
      </w:r>
    </w:p>
    <w:p>
      <w:pPr>
        <w:spacing w:before="20" w:after="60" w:lineRule="exact" w:line="240"/>
      </w:pPr>
      <w:r>
        <w:rPr>
          <w:rFonts w:ascii="MS PGothic" w:hAnsi="MS PGothic" w:eastAsia="MS PGothic"/>
          <w:b/>
          <w:color w:val="000000"/>
          <w:sz w:val="17"/>
        </w:rPr>
        <w:t>Table 2. 主要レオロジー特性（作製直後）と現場性能への対応</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W w:w="2400" w:type="dxa"/>
          </w:tcPr>
          <w:p>
            <w:pPr>
              <w:spacing w:before="20" w:after="20" w:lineRule="exact" w:line="240"/>
              <w:jc w:val="center"/>
            </w:pPr>
            <w:r>
              <w:rPr>
                <w:rFonts w:ascii="MS PGothic" w:hAnsi="MS PGothic" w:eastAsia="MS PGothic"/>
                <w:b/>
                <w:color w:val="000000"/>
                <w:sz w:val="18"/>
              </w:rPr>
              <w:t>配合</w:t>
            </w:r>
          </w:p>
        </w:tc>
        <w:tc>
          <w:tcPr>
            <w:tcW w:type="dxa" w:w="2493"/>
            <w:vAlign w:val="center"/>
            <w:tcW w:w="1700" w:type="dxa"/>
          </w:tcPr>
          <w:p>
            <w:pPr>
              <w:spacing w:before="20" w:after="20" w:lineRule="exact" w:line="240"/>
              <w:jc w:val="center"/>
            </w:pPr>
            <w:r>
              <w:rPr>
                <w:rFonts w:ascii="MS PGothic" w:hAnsi="MS PGothic" w:eastAsia="MS PGothic"/>
                <w:b/>
                <w:color w:val="000000"/>
                <w:sz w:val="18"/>
              </w:rPr>
              <w:t>静的降伏応力</w:t>
            </w:r>
          </w:p>
        </w:tc>
        <w:tc>
          <w:tcPr>
            <w:tcW w:type="dxa" w:w="2493"/>
            <w:vAlign w:val="center"/>
            <w:tcW w:w="2200" w:type="dxa"/>
          </w:tcPr>
          <w:p>
            <w:pPr>
              <w:spacing w:before="20" w:after="20" w:lineRule="exact" w:line="240"/>
              <w:jc w:val="center"/>
            </w:pPr>
            <w:r>
              <w:rPr>
                <w:rFonts w:ascii="MS PGothic" w:hAnsi="MS PGothic" w:eastAsia="MS PGothic"/>
                <w:b/>
                <w:color w:val="000000"/>
                <w:sz w:val="18"/>
              </w:rPr>
              <w:t>長期変化率</w:t>
            </w:r>
          </w:p>
        </w:tc>
        <w:tc>
          <w:tcPr>
            <w:tcW w:type="dxa" w:w="2493"/>
            <w:vAlign w:val="center"/>
            <w:tcW w:w="3060" w:type="dxa"/>
          </w:tcPr>
          <w:p>
            <w:pPr>
              <w:spacing w:before="20" w:after="20" w:lineRule="exact" w:line="240"/>
              <w:jc w:val="center"/>
            </w:pPr>
            <w:r>
              <w:rPr>
                <w:rFonts w:ascii="MS PGothic" w:hAnsi="MS PGothic" w:eastAsia="MS PGothic"/>
                <w:b/>
                <w:color w:val="000000"/>
                <w:sz w:val="18"/>
              </w:rPr>
              <w:t>現場性能の対応</w:t>
            </w:r>
          </w:p>
        </w:tc>
      </w:tr>
      <w:tr>
        <w:tc>
          <w:tcPr>
            <w:tcW w:type="dxa" w:w="2493"/>
            <w:vAlign w:val="center"/>
            <w:tcW w:w="2400" w:type="dxa"/>
          </w:tcPr>
          <w:p>
            <w:pPr>
              <w:spacing w:before="20" w:after="20" w:lineRule="exact" w:line="240"/>
              <w:jc w:val="left"/>
            </w:pPr>
            <w:r>
              <w:rPr>
                <w:rFonts w:ascii="MS PGothic" w:hAnsi="MS PGothic" w:eastAsia="MS PGothic"/>
                <w:b w:val="0"/>
                <w:color w:val="000000"/>
                <w:sz w:val="18"/>
              </w:rPr>
              <w:t>HEC+MC/CSP (1-5)</w:t>
            </w:r>
          </w:p>
        </w:tc>
        <w:tc>
          <w:tcPr>
            <w:tcW w:type="dxa" w:w="2493"/>
            <w:vAlign w:val="center"/>
            <w:tcW w:w="1700" w:type="dxa"/>
          </w:tcPr>
          <w:p>
            <w:pPr>
              <w:spacing w:before="20" w:after="20" w:lineRule="exact" w:line="240"/>
              <w:jc w:val="center"/>
            </w:pPr>
            <w:r>
              <w:rPr>
                <w:rFonts w:ascii="MS PGothic" w:hAnsi="MS PGothic" w:eastAsia="MS PGothic"/>
                <w:b w:val="0"/>
                <w:color w:val="000000"/>
                <w:sz w:val="18"/>
              </w:rPr>
              <w:t>33.3 Pa</w:t>
            </w:r>
          </w:p>
        </w:tc>
        <w:tc>
          <w:tcPr>
            <w:tcW w:type="dxa" w:w="2493"/>
            <w:vAlign w:val="center"/>
            <w:tcW w:w="2200" w:type="dxa"/>
          </w:tcPr>
          <w:p>
            <w:pPr>
              <w:spacing w:before="20" w:after="20" w:lineRule="exact" w:line="240"/>
              <w:jc w:val="center"/>
            </w:pPr>
            <w:r>
              <w:rPr>
                <w:rFonts w:ascii="MS PGothic" w:hAnsi="MS PGothic" w:eastAsia="MS PGothic"/>
                <w:b w:val="0"/>
                <w:color w:val="000000"/>
                <w:sz w:val="18"/>
              </w:rPr>
              <w:t>+107%（→約69 Pa）</w:t>
            </w:r>
          </w:p>
        </w:tc>
        <w:tc>
          <w:tcPr>
            <w:tcW w:type="dxa" w:w="2493"/>
            <w:vAlign w:val="center"/>
            <w:tcW w:w="3060" w:type="dxa"/>
          </w:tcPr>
          <w:p>
            <w:pPr>
              <w:spacing w:before="20" w:after="20" w:lineRule="exact" w:line="240"/>
              <w:jc w:val="center"/>
            </w:pPr>
            <w:r>
              <w:rPr>
                <w:rFonts w:ascii="MS PGothic" w:hAnsi="MS PGothic" w:eastAsia="MS PGothic"/>
                <w:b w:val="0"/>
                <w:color w:val="000000"/>
                <w:sz w:val="18"/>
              </w:rPr>
              <w:t>付着性◎・噴霧性○・燃焼性能やや上</w:t>
            </w:r>
          </w:p>
        </w:tc>
      </w:tr>
      <w:tr>
        <w:tc>
          <w:tcPr>
            <w:tcW w:type="dxa" w:w="2493"/>
            <w:vAlign w:val="center"/>
            <w:tcW w:w="2400" w:type="dxa"/>
          </w:tcPr>
          <w:p>
            <w:pPr>
              <w:spacing w:before="20" w:after="20" w:lineRule="exact" w:line="240"/>
              <w:jc w:val="left"/>
            </w:pPr>
            <w:r>
              <w:rPr>
                <w:rFonts w:ascii="MS PGothic" w:hAnsi="MS PGothic" w:eastAsia="MS PGothic"/>
                <w:b w:val="0"/>
                <w:color w:val="000000"/>
                <w:sz w:val="18"/>
              </w:rPr>
              <w:t>MHEC/CSP (1-5)</w:t>
            </w:r>
          </w:p>
        </w:tc>
        <w:tc>
          <w:tcPr>
            <w:tcW w:type="dxa" w:w="2493"/>
            <w:vAlign w:val="center"/>
            <w:tcW w:w="1700" w:type="dxa"/>
          </w:tcPr>
          <w:p>
            <w:pPr>
              <w:spacing w:before="20" w:after="20" w:lineRule="exact" w:line="240"/>
              <w:jc w:val="center"/>
            </w:pPr>
            <w:r>
              <w:rPr>
                <w:rFonts w:ascii="MS PGothic" w:hAnsi="MS PGothic" w:eastAsia="MS PGothic"/>
                <w:b w:val="0"/>
                <w:color w:val="000000"/>
                <w:sz w:val="18"/>
              </w:rPr>
              <w:t>3.31 Pa</w:t>
            </w:r>
          </w:p>
        </w:tc>
        <w:tc>
          <w:tcPr>
            <w:tcW w:type="dxa" w:w="2493"/>
            <w:vAlign w:val="center"/>
            <w:tcW w:w="2200" w:type="dxa"/>
          </w:tcPr>
          <w:p>
            <w:pPr>
              <w:spacing w:before="20" w:after="20" w:lineRule="exact" w:line="240"/>
              <w:jc w:val="center"/>
            </w:pPr>
            <w:r>
              <w:rPr>
                <w:rFonts w:ascii="MS PGothic" w:hAnsi="MS PGothic" w:eastAsia="MS PGothic"/>
                <w:b w:val="0"/>
                <w:color w:val="000000"/>
                <w:sz w:val="18"/>
              </w:rPr>
              <w:t>+38%</w:t>
            </w:r>
          </w:p>
        </w:tc>
        <w:tc>
          <w:tcPr>
            <w:tcW w:type="dxa" w:w="2493"/>
            <w:vAlign w:val="center"/>
            <w:tcW w:w="3060" w:type="dxa"/>
          </w:tcPr>
          <w:p>
            <w:pPr>
              <w:spacing w:before="20" w:after="20" w:lineRule="exact" w:line="240"/>
              <w:jc w:val="center"/>
            </w:pPr>
            <w:r>
              <w:rPr>
                <w:rFonts w:ascii="MS PGothic" w:hAnsi="MS PGothic" w:eastAsia="MS PGothic"/>
                <w:b w:val="0"/>
                <w:color w:val="000000"/>
                <w:sz w:val="18"/>
              </w:rPr>
              <w:t>噴霧性◎・付着性○・長期安定◎</w:t>
            </w:r>
          </w:p>
        </w:tc>
      </w:tr>
    </w:tbl>
    <w:p>
      <w:pPr>
        <w:spacing w:before="0" w:after="60"/>
      </w:pPr>
    </w:p>
    <w:p>
      <w:pPr>
        <w:spacing w:before="0" w:after="40" w:lineRule="exact" w:line="280"/>
        <w:ind w:firstLine="227"/>
      </w:pPr>
      <w:r>
        <w:rPr>
          <w:rFonts w:ascii="MS PGothic" w:hAnsi="MS PGothic" w:eastAsia="MS PGothic"/>
          <w:b w:val="0"/>
          <w:color w:val="000000"/>
          <w:sz w:val="19"/>
        </w:rPr>
        <w:t>なお、静的降伏応力＝LAOS の G'/G'' クロスオーバー応力（高いほど垂直面に付着）、動的降伏応力＝フロースイープの Herschel–Bulkley フィット（適度ならポンプ圧内で噴霧可）、という2定義で評価している点が本研究の方法論的特徴である。</w:t>
      </w:r>
    </w:p>
    <w:p>
      <w:pPr>
        <w:spacing w:before="60" w:after="0" w:lineRule="exact" w:line="280"/>
      </w:pPr>
      <w:r>
        <w:rPr>
          <w:rFonts w:ascii="MS PGothic" w:hAnsi="MS PGothic" w:eastAsia="MS PGothic"/>
          <w:b/>
          <w:color w:val="000000"/>
          <w:sz w:val="20"/>
        </w:rPr>
        <w:t>・SDS 添加の影響：レオロジーへの効果（Fig. 2e–h）</w:t>
      </w:r>
    </w:p>
    <w:p>
      <w:pPr>
        <w:spacing w:before="0" w:after="40" w:lineRule="exact" w:line="280"/>
        <w:ind w:firstLine="227"/>
      </w:pPr>
      <w:r>
        <w:rPr>
          <w:rFonts w:ascii="MS PGothic" w:hAnsi="MS PGothic" w:eastAsia="MS PGothic"/>
          <w:b w:val="0"/>
          <w:color w:val="000000"/>
          <w:sz w:val="19"/>
        </w:rPr>
        <w:t xml:space="preserve">SDS 0.1 wt% 添加では、一部の配合でわずかに G' が上昇する傾向が見られたが、0.5 wt% では G' が再び低下し、当初の無添加配合を下回った </w:t>
      </w:r>
      <w:r>
        <w:rPr>
          <w:rFonts w:ascii="MS PGothic" w:hAnsi="MS PGothic" w:eastAsia="MS PGothic"/>
          <w:b/>
          <w:color w:val="000000"/>
          <w:sz w:val="19"/>
        </w:rPr>
        <w:t>(Fig. 2e–f)</w:t>
      </w:r>
      <w:r>
        <w:rPr>
          <w:rFonts w:ascii="MS PGothic" w:hAnsi="MS PGothic" w:eastAsia="MS PGothic"/>
          <w:b w:val="0"/>
          <w:color w:val="000000"/>
          <w:sz w:val="19"/>
        </w:rPr>
        <w:t xml:space="preserve">。降伏応力（静的・動的ともに）は SDS 添加量の増加に伴い低下した </w:t>
      </w:r>
      <w:r>
        <w:rPr>
          <w:rFonts w:ascii="MS PGothic" w:hAnsi="MS PGothic" w:eastAsia="MS PGothic"/>
          <w:b/>
          <w:color w:val="000000"/>
          <w:sz w:val="19"/>
        </w:rPr>
        <w:t>(Fig. 2g–h)</w:t>
      </w:r>
      <w:r>
        <w:rPr>
          <w:rFonts w:ascii="MS PGothic" w:hAnsi="MS PGothic" w:eastAsia="MS PGothic"/>
          <w:b w:val="0"/>
          <w:color w:val="000000"/>
          <w:sz w:val="19"/>
        </w:rPr>
        <w:t>。これは SDS が CSP 表面の電荷状態を変化させ、PP 水素結合ネットワークを弱体化させてゲルの剛性・付着力を損なうことを示唆する。すなわち SDS はゲルのレオロジー性能に対して有害であった。</w:t>
      </w:r>
    </w:p>
    <w:p>
      <w:pPr>
        <w:spacing w:before="60" w:after="0" w:lineRule="exact" w:line="280"/>
      </w:pPr>
      <w:r>
        <w:rPr>
          <w:rFonts w:ascii="MS PGothic" w:hAnsi="MS PGothic" w:eastAsia="MS PGothic"/>
          <w:b/>
          <w:color w:val="000000"/>
          <w:sz w:val="20"/>
        </w:rPr>
        <w:t>・SDS 添加の影響：発泡・微細構造への効果（Fig. 2i–j）</w:t>
      </w:r>
    </w:p>
    <w:p>
      <w:pPr>
        <w:spacing w:before="0" w:after="40" w:lineRule="exact" w:line="280"/>
        <w:ind w:firstLine="227"/>
      </w:pPr>
      <w:r>
        <w:rPr>
          <w:rFonts w:ascii="MS PGothic" w:hAnsi="MS PGothic" w:eastAsia="MS PGothic"/>
          <w:b w:val="0"/>
          <w:color w:val="000000"/>
          <w:sz w:val="19"/>
        </w:rPr>
        <w:t>発泡指数（expansion ratio、燃焼前後の体積比）は無添加（SDS 0%）で最大値</w:t>
      </w:r>
      <w:r>
        <w:rPr>
          <w:rFonts w:ascii="MS PGothic" w:hAnsi="MS PGothic" w:eastAsia="MS PGothic"/>
          <w:b/>
          <w:color w:val="000000"/>
          <w:sz w:val="19"/>
        </w:rPr>
        <w:t>約2.6</w:t>
      </w:r>
      <w:r>
        <w:rPr>
          <w:rFonts w:ascii="MS PGothic" w:hAnsi="MS PGothic" w:eastAsia="MS PGothic"/>
          <w:b w:val="0"/>
          <w:color w:val="000000"/>
          <w:sz w:val="19"/>
        </w:rPr>
        <w:t>を示した。SDS 0.1% では約</w:t>
      </w:r>
      <w:r>
        <w:rPr>
          <w:rFonts w:ascii="MS PGothic" w:hAnsi="MS PGothic" w:eastAsia="MS PGothic"/>
          <w:b/>
          <w:color w:val="000000"/>
          <w:sz w:val="19"/>
        </w:rPr>
        <w:t>2.3</w:t>
      </w:r>
      <w:r>
        <w:rPr>
          <w:rFonts w:ascii="MS PGothic" w:hAnsi="MS PGothic" w:eastAsia="MS PGothic"/>
          <w:b w:val="0"/>
          <w:color w:val="000000"/>
          <w:sz w:val="19"/>
        </w:rPr>
        <w:t xml:space="preserve">へ低下し、SDS 0.5% ではさらに低下した </w:t>
      </w:r>
      <w:r>
        <w:rPr>
          <w:rFonts w:ascii="MS PGothic" w:hAnsi="MS PGothic" w:eastAsia="MS PGothic"/>
          <w:b/>
          <w:color w:val="000000"/>
          <w:sz w:val="19"/>
        </w:rPr>
        <w:t>(Fig. 2i)</w:t>
      </w:r>
      <w:r>
        <w:rPr>
          <w:rFonts w:ascii="MS PGothic" w:hAnsi="MS PGothic" w:eastAsia="MS PGothic"/>
          <w:b w:val="0"/>
          <w:color w:val="000000"/>
          <w:sz w:val="19"/>
        </w:rPr>
        <w:t xml:space="preserve">。断面 SEM による微細構造観察では、SDS 0% で均一かつ密な多孔質構造が形成されたのに対し、0.1% では気泡は比較的均一であるが全体の発泡量が減少、0.5% では気泡が粗大かつ不均一になった </w:t>
      </w:r>
      <w:r>
        <w:rPr>
          <w:rFonts w:ascii="MS PGothic" w:hAnsi="MS PGothic" w:eastAsia="MS PGothic"/>
          <w:b/>
          <w:color w:val="000000"/>
          <w:sz w:val="19"/>
        </w:rPr>
        <w:t>(Fig. 2j)</w:t>
      </w:r>
      <w:r>
        <w:rPr>
          <w:rFonts w:ascii="MS PGothic" w:hAnsi="MS PGothic" w:eastAsia="MS PGothic"/>
          <w:b w:val="0"/>
          <w:color w:val="000000"/>
          <w:sz w:val="19"/>
        </w:rPr>
        <w:t>。SDS はレオロジーのみならず発泡・微細構造にも有害であり、</w:t>
      </w:r>
      <w:r>
        <w:rPr>
          <w:rFonts w:ascii="MS PGothic" w:hAnsi="MS PGothic" w:eastAsia="MS PGothic"/>
          <w:b/>
          <w:color w:val="000000"/>
          <w:sz w:val="19"/>
        </w:rPr>
        <w:t>「SDS 無添加が最適配合」</w:t>
      </w:r>
      <w:r>
        <w:rPr>
          <w:rFonts w:ascii="MS PGothic" w:hAnsi="MS PGothic" w:eastAsia="MS PGothic"/>
          <w:b w:val="0"/>
          <w:color w:val="000000"/>
          <w:sz w:val="19"/>
        </w:rPr>
        <w:t>という設計上の知見が得られた。当初 SDS は「濡れ性改善＋発泡安定化で断熱層を厚くする」ことを期待して添加されたが、結果はすべての指標で逆効果であり、著者らはこのネガティブ結果を誠実に提示して無添加を推奨配合とする根拠としている。SDS 添加効果を Table 3 にまとめる。</w:t>
      </w:r>
    </w:p>
    <w:p>
      <w:pPr>
        <w:spacing w:before="20" w:after="60" w:lineRule="exact" w:line="240"/>
      </w:pPr>
      <w:r>
        <w:rPr>
          <w:rFonts w:ascii="MS PGothic" w:hAnsi="MS PGothic" w:eastAsia="MS PGothic"/>
          <w:b/>
          <w:color w:val="000000"/>
          <w:sz w:val="17"/>
        </w:rPr>
        <w:t>Table 3. SDS 濃度が発泡指数・気泡構造・弾性率に与える影響</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tcW w:w="1600" w:type="dxa"/>
          </w:tcPr>
          <w:p>
            <w:pPr>
              <w:spacing w:before="20" w:after="20" w:lineRule="exact" w:line="240"/>
              <w:jc w:val="center"/>
            </w:pPr>
            <w:r>
              <w:rPr>
                <w:rFonts w:ascii="MS PGothic" w:hAnsi="MS PGothic" w:eastAsia="MS PGothic"/>
                <w:b/>
                <w:color w:val="000000"/>
                <w:sz w:val="18"/>
              </w:rPr>
              <w:t>SDS濃度</w:t>
            </w:r>
          </w:p>
        </w:tc>
        <w:tc>
          <w:tcPr>
            <w:tcW w:type="dxa" w:w="1994"/>
            <w:vAlign w:val="center"/>
            <w:tcW w:w="1700" w:type="dxa"/>
          </w:tcPr>
          <w:p>
            <w:pPr>
              <w:spacing w:before="20" w:after="20" w:lineRule="exact" w:line="240"/>
              <w:jc w:val="center"/>
            </w:pPr>
            <w:r>
              <w:rPr>
                <w:rFonts w:ascii="MS PGothic" w:hAnsi="MS PGothic" w:eastAsia="MS PGothic"/>
                <w:b/>
                <w:color w:val="000000"/>
                <w:sz w:val="18"/>
              </w:rPr>
              <w:t>発泡指数</w:t>
            </w:r>
          </w:p>
        </w:tc>
        <w:tc>
          <w:tcPr>
            <w:tcW w:type="dxa" w:w="1994"/>
            <w:vAlign w:val="center"/>
            <w:tcW w:w="2200" w:type="dxa"/>
          </w:tcPr>
          <w:p>
            <w:pPr>
              <w:spacing w:before="20" w:after="20" w:lineRule="exact" w:line="240"/>
              <w:jc w:val="center"/>
            </w:pPr>
            <w:r>
              <w:rPr>
                <w:rFonts w:ascii="MS PGothic" w:hAnsi="MS PGothic" w:eastAsia="MS PGothic"/>
                <w:b/>
                <w:color w:val="000000"/>
                <w:sz w:val="18"/>
              </w:rPr>
              <w:t>気泡微細構造</w:t>
            </w:r>
          </w:p>
        </w:tc>
        <w:tc>
          <w:tcPr>
            <w:tcW w:type="dxa" w:w="1994"/>
            <w:vAlign w:val="center"/>
            <w:tcW w:w="2200" w:type="dxa"/>
          </w:tcPr>
          <w:p>
            <w:pPr>
              <w:spacing w:before="20" w:after="20" w:lineRule="exact" w:line="240"/>
              <w:jc w:val="center"/>
            </w:pPr>
            <w:r>
              <w:rPr>
                <w:rFonts w:ascii="MS PGothic" w:hAnsi="MS PGothic" w:eastAsia="MS PGothic"/>
                <w:b/>
                <w:color w:val="000000"/>
                <w:sz w:val="18"/>
              </w:rPr>
              <w:t>弾性率/降伏応力</w:t>
            </w:r>
          </w:p>
        </w:tc>
        <w:tc>
          <w:tcPr>
            <w:tcW w:type="dxa" w:w="1994"/>
            <w:vAlign w:val="center"/>
            <w:tcW w:w="1660" w:type="dxa"/>
          </w:tcPr>
          <w:p>
            <w:pPr>
              <w:spacing w:before="20" w:after="20" w:lineRule="exact" w:line="240"/>
              <w:jc w:val="center"/>
            </w:pPr>
            <w:r>
              <w:rPr>
                <w:rFonts w:ascii="MS PGothic" w:hAnsi="MS PGothic" w:eastAsia="MS PGothic"/>
                <w:b/>
                <w:color w:val="000000"/>
                <w:sz w:val="18"/>
              </w:rPr>
              <w:t>総合評価</w:t>
            </w:r>
          </w:p>
        </w:tc>
      </w:tr>
      <w:tr>
        <w:tc>
          <w:tcPr>
            <w:tcW w:type="dxa" w:w="1994"/>
            <w:vAlign w:val="center"/>
            <w:tcW w:w="1600" w:type="dxa"/>
          </w:tcPr>
          <w:p>
            <w:pPr>
              <w:spacing w:before="20" w:after="20" w:lineRule="exact" w:line="240"/>
              <w:jc w:val="left"/>
            </w:pPr>
            <w:r>
              <w:rPr>
                <w:rFonts w:ascii="MS PGothic" w:hAnsi="MS PGothic" w:eastAsia="MS PGothic"/>
                <w:b w:val="0"/>
                <w:color w:val="000000"/>
                <w:sz w:val="18"/>
              </w:rPr>
              <w:t>0 %（無添加）</w:t>
            </w:r>
          </w:p>
        </w:tc>
        <w:tc>
          <w:tcPr>
            <w:tcW w:type="dxa" w:w="1994"/>
            <w:vAlign w:val="center"/>
            <w:tcW w:w="1700" w:type="dxa"/>
          </w:tcPr>
          <w:p>
            <w:pPr>
              <w:spacing w:before="20" w:after="20" w:lineRule="exact" w:line="240"/>
              <w:jc w:val="center"/>
            </w:pPr>
            <w:r>
              <w:rPr>
                <w:rFonts w:ascii="MS PGothic" w:hAnsi="MS PGothic" w:eastAsia="MS PGothic"/>
                <w:b w:val="0"/>
                <w:color w:val="000000"/>
                <w:sz w:val="18"/>
              </w:rPr>
              <w:t>約2.6（最大）</w:t>
            </w:r>
          </w:p>
        </w:tc>
        <w:tc>
          <w:tcPr>
            <w:tcW w:type="dxa" w:w="1994"/>
            <w:vAlign w:val="center"/>
            <w:tcW w:w="2200" w:type="dxa"/>
          </w:tcPr>
          <w:p>
            <w:pPr>
              <w:spacing w:before="20" w:after="20" w:lineRule="exact" w:line="240"/>
              <w:jc w:val="center"/>
            </w:pPr>
            <w:r>
              <w:rPr>
                <w:rFonts w:ascii="MS PGothic" w:hAnsi="MS PGothic" w:eastAsia="MS PGothic"/>
                <w:b w:val="0"/>
                <w:color w:val="000000"/>
                <w:sz w:val="18"/>
              </w:rPr>
              <w:t>均一・密</w:t>
            </w:r>
          </w:p>
        </w:tc>
        <w:tc>
          <w:tcPr>
            <w:tcW w:type="dxa" w:w="1994"/>
            <w:vAlign w:val="center"/>
            <w:tcW w:w="2200" w:type="dxa"/>
          </w:tcPr>
          <w:p>
            <w:pPr>
              <w:spacing w:before="20" w:after="20" w:lineRule="exact" w:line="240"/>
              <w:jc w:val="center"/>
            </w:pPr>
            <w:r>
              <w:rPr>
                <w:rFonts w:ascii="MS PGothic" w:hAnsi="MS PGothic" w:eastAsia="MS PGothic"/>
                <w:b w:val="0"/>
                <w:color w:val="000000"/>
                <w:sz w:val="18"/>
              </w:rPr>
              <w:t>最も高い</w:t>
            </w:r>
          </w:p>
        </w:tc>
        <w:tc>
          <w:tcPr>
            <w:tcW w:type="dxa" w:w="1994"/>
            <w:vAlign w:val="center"/>
            <w:tcW w:w="1660" w:type="dxa"/>
          </w:tcPr>
          <w:p>
            <w:pPr>
              <w:spacing w:before="20" w:after="20" w:lineRule="exact" w:line="240"/>
              <w:jc w:val="center"/>
            </w:pPr>
            <w:r>
              <w:rPr>
                <w:rFonts w:ascii="MS PGothic" w:hAnsi="MS PGothic" w:eastAsia="MS PGothic"/>
                <w:b w:val="0"/>
                <w:color w:val="000000"/>
                <w:sz w:val="18"/>
              </w:rPr>
              <w:t>◎ 最適</w:t>
            </w:r>
          </w:p>
        </w:tc>
      </w:tr>
      <w:tr>
        <w:tc>
          <w:tcPr>
            <w:tcW w:type="dxa" w:w="1994"/>
            <w:vAlign w:val="center"/>
            <w:tcW w:w="1600" w:type="dxa"/>
          </w:tcPr>
          <w:p>
            <w:pPr>
              <w:spacing w:before="20" w:after="20" w:lineRule="exact" w:line="240"/>
              <w:jc w:val="left"/>
            </w:pPr>
            <w:r>
              <w:rPr>
                <w:rFonts w:ascii="MS PGothic" w:hAnsi="MS PGothic" w:eastAsia="MS PGothic"/>
                <w:b w:val="0"/>
                <w:color w:val="000000"/>
                <w:sz w:val="18"/>
              </w:rPr>
              <w:t>0.1 %</w:t>
            </w:r>
          </w:p>
        </w:tc>
        <w:tc>
          <w:tcPr>
            <w:tcW w:type="dxa" w:w="1994"/>
            <w:vAlign w:val="center"/>
            <w:tcW w:w="1700" w:type="dxa"/>
          </w:tcPr>
          <w:p>
            <w:pPr>
              <w:spacing w:before="20" w:after="20" w:lineRule="exact" w:line="240"/>
              <w:jc w:val="center"/>
            </w:pPr>
            <w:r>
              <w:rPr>
                <w:rFonts w:ascii="MS PGothic" w:hAnsi="MS PGothic" w:eastAsia="MS PGothic"/>
                <w:b w:val="0"/>
                <w:color w:val="000000"/>
                <w:sz w:val="18"/>
              </w:rPr>
              <w:t>約2.3</w:t>
            </w:r>
          </w:p>
        </w:tc>
        <w:tc>
          <w:tcPr>
            <w:tcW w:type="dxa" w:w="1994"/>
            <w:vAlign w:val="center"/>
            <w:tcW w:w="2200" w:type="dxa"/>
          </w:tcPr>
          <w:p>
            <w:pPr>
              <w:spacing w:before="20" w:after="20" w:lineRule="exact" w:line="240"/>
              <w:jc w:val="center"/>
            </w:pPr>
            <w:r>
              <w:rPr>
                <w:rFonts w:ascii="MS PGothic" w:hAnsi="MS PGothic" w:eastAsia="MS PGothic"/>
                <w:b w:val="0"/>
                <w:color w:val="000000"/>
                <w:sz w:val="18"/>
              </w:rPr>
              <w:t>均一だが発泡量減</w:t>
            </w:r>
          </w:p>
        </w:tc>
        <w:tc>
          <w:tcPr>
            <w:tcW w:type="dxa" w:w="1994"/>
            <w:vAlign w:val="center"/>
            <w:tcW w:w="2200" w:type="dxa"/>
          </w:tcPr>
          <w:p>
            <w:pPr>
              <w:spacing w:before="20" w:after="20" w:lineRule="exact" w:line="240"/>
              <w:jc w:val="center"/>
            </w:pPr>
            <w:r>
              <w:rPr>
                <w:rFonts w:ascii="MS PGothic" w:hAnsi="MS PGothic" w:eastAsia="MS PGothic"/>
                <w:b w:val="0"/>
                <w:color w:val="000000"/>
                <w:sz w:val="18"/>
              </w:rPr>
              <w:t>わずかに上昇後低下</w:t>
            </w:r>
          </w:p>
        </w:tc>
        <w:tc>
          <w:tcPr>
            <w:tcW w:type="dxa" w:w="1994"/>
            <w:vAlign w:val="center"/>
            <w:tcW w:w="1660" w:type="dxa"/>
          </w:tcPr>
          <w:p>
            <w:pPr>
              <w:spacing w:before="20" w:after="20" w:lineRule="exact" w:line="240"/>
              <w:jc w:val="center"/>
            </w:pPr>
            <w:r>
              <w:rPr>
                <w:rFonts w:ascii="MS PGothic" w:hAnsi="MS PGothic" w:eastAsia="MS PGothic"/>
                <w:b w:val="0"/>
                <w:color w:val="000000"/>
                <w:sz w:val="18"/>
              </w:rPr>
              <w:t>△</w:t>
            </w:r>
          </w:p>
        </w:tc>
      </w:tr>
      <w:tr>
        <w:tc>
          <w:tcPr>
            <w:tcW w:type="dxa" w:w="1994"/>
            <w:vAlign w:val="center"/>
            <w:tcW w:w="1600" w:type="dxa"/>
          </w:tcPr>
          <w:p>
            <w:pPr>
              <w:spacing w:before="20" w:after="20" w:lineRule="exact" w:line="240"/>
              <w:jc w:val="left"/>
            </w:pPr>
            <w:r>
              <w:rPr>
                <w:rFonts w:ascii="MS PGothic" w:hAnsi="MS PGothic" w:eastAsia="MS PGothic"/>
                <w:b w:val="0"/>
                <w:color w:val="000000"/>
                <w:sz w:val="18"/>
              </w:rPr>
              <w:t>0.5 %</w:t>
            </w:r>
          </w:p>
        </w:tc>
        <w:tc>
          <w:tcPr>
            <w:tcW w:type="dxa" w:w="1994"/>
            <w:vAlign w:val="center"/>
            <w:tcW w:w="1700" w:type="dxa"/>
          </w:tcPr>
          <w:p>
            <w:pPr>
              <w:spacing w:before="20" w:after="20" w:lineRule="exact" w:line="240"/>
              <w:jc w:val="center"/>
            </w:pPr>
            <w:r>
              <w:rPr>
                <w:rFonts w:ascii="MS PGothic" w:hAnsi="MS PGothic" w:eastAsia="MS PGothic"/>
                <w:b w:val="0"/>
                <w:color w:val="000000"/>
                <w:sz w:val="18"/>
              </w:rPr>
              <w:t>さらに低下</w:t>
            </w:r>
          </w:p>
        </w:tc>
        <w:tc>
          <w:tcPr>
            <w:tcW w:type="dxa" w:w="1994"/>
            <w:vAlign w:val="center"/>
            <w:tcW w:w="2200" w:type="dxa"/>
          </w:tcPr>
          <w:p>
            <w:pPr>
              <w:spacing w:before="20" w:after="20" w:lineRule="exact" w:line="240"/>
              <w:jc w:val="center"/>
            </w:pPr>
            <w:r>
              <w:rPr>
                <w:rFonts w:ascii="MS PGothic" w:hAnsi="MS PGothic" w:eastAsia="MS PGothic"/>
                <w:b w:val="0"/>
                <w:color w:val="000000"/>
                <w:sz w:val="18"/>
              </w:rPr>
              <w:t>粗大・不均一</w:t>
            </w:r>
          </w:p>
        </w:tc>
        <w:tc>
          <w:tcPr>
            <w:tcW w:type="dxa" w:w="1994"/>
            <w:vAlign w:val="center"/>
            <w:tcW w:w="2200" w:type="dxa"/>
          </w:tcPr>
          <w:p>
            <w:pPr>
              <w:spacing w:before="20" w:after="20" w:lineRule="exact" w:line="240"/>
              <w:jc w:val="center"/>
            </w:pPr>
            <w:r>
              <w:rPr>
                <w:rFonts w:ascii="MS PGothic" w:hAnsi="MS PGothic" w:eastAsia="MS PGothic"/>
                <w:b w:val="0"/>
                <w:color w:val="000000"/>
                <w:sz w:val="18"/>
              </w:rPr>
              <w:t>低下</w:t>
            </w:r>
          </w:p>
        </w:tc>
        <w:tc>
          <w:tcPr>
            <w:tcW w:type="dxa" w:w="1994"/>
            <w:vAlign w:val="center"/>
            <w:tcW w:w="1660" w:type="dxa"/>
          </w:tcPr>
          <w:p>
            <w:pPr>
              <w:spacing w:before="20" w:after="20" w:lineRule="exact" w:line="240"/>
              <w:jc w:val="center"/>
            </w:pPr>
            <w:r>
              <w:rPr>
                <w:rFonts w:ascii="MS PGothic" w:hAnsi="MS PGothic" w:eastAsia="MS PGothic"/>
                <w:b w:val="0"/>
                <w:color w:val="000000"/>
                <w:sz w:val="18"/>
              </w:rPr>
              <w:t>× 不適</w:t>
            </w:r>
          </w:p>
        </w:tc>
      </w:tr>
    </w:tbl>
    <w:p>
      <w:pPr>
        <w:spacing w:before="0" w:after="60"/>
      </w:pPr>
    </w:p>
    <w:p>
      <w:pPr>
        <w:spacing w:before="120" w:after="20" w:lineRule="exact" w:line="300"/>
      </w:pPr>
      <w:r>
        <w:rPr>
          <w:rFonts w:ascii="MS PGothic" w:hAnsi="MS PGothic" w:eastAsia="MS PGothic"/>
          <w:b/>
          <w:color w:val="000000"/>
          <w:sz w:val="21"/>
        </w:rPr>
        <w:t>2. エアロゲル形成機構（Figure 1・5）</w:t>
      </w:r>
    </w:p>
    <w:p>
      <w:pPr>
        <w:spacing w:before="60" w:after="0" w:lineRule="exact" w:line="280"/>
      </w:pPr>
      <w:r>
        <w:rPr>
          <w:rFonts w:ascii="MS PGothic" w:hAnsi="MS PGothic" w:eastAsia="MS PGothic"/>
          <w:b/>
          <w:color w:val="000000"/>
          <w:sz w:val="20"/>
        </w:rPr>
        <w:t>・シリカエアロゲル形成の3段階焼結機構</w:t>
      </w:r>
    </w:p>
    <w:p>
      <w:pPr>
        <w:spacing w:before="0" w:after="40" w:lineRule="exact" w:line="280"/>
        <w:ind w:firstLine="227"/>
      </w:pPr>
      <w:r>
        <w:rPr>
          <w:rFonts w:ascii="MS PGothic" w:hAnsi="MS PGothic" w:eastAsia="MS PGothic"/>
          <w:b w:val="0"/>
          <w:color w:val="000000"/>
          <w:sz w:val="19"/>
        </w:rPr>
        <w:t xml:space="preserve">本ゲルが火炎に接触してシリカエアロゲルへと変態するプロセスは、焼結（sintering）の3段階としてモデル化できる </w:t>
      </w:r>
      <w:r>
        <w:rPr>
          <w:rFonts w:ascii="MS PGothic" w:hAnsi="MS PGothic" w:eastAsia="MS PGothic"/>
          <w:b/>
          <w:color w:val="000000"/>
          <w:sz w:val="19"/>
        </w:rPr>
        <w:t>(Fig. 1 模式図)</w:t>
      </w:r>
      <w:r>
        <w:rPr>
          <w:rFonts w:ascii="MS PGothic" w:hAnsi="MS PGothic" w:eastAsia="MS PGothic"/>
          <w:b w:val="0"/>
          <w:color w:val="000000"/>
          <w:sz w:val="19"/>
        </w:rPr>
        <w:t>。</w:t>
      </w:r>
      <w:r>
        <w:rPr>
          <w:rFonts w:ascii="MS PGothic" w:hAnsi="MS PGothic" w:eastAsia="MS PGothic"/>
          <w:b/>
          <w:color w:val="000000"/>
          <w:sz w:val="19"/>
        </w:rPr>
        <w:t>①初期</w:t>
      </w:r>
      <w:r>
        <w:rPr>
          <w:rFonts w:ascii="MS PGothic" w:hAnsi="MS PGothic" w:eastAsia="MS PGothic"/>
          <w:b w:val="0"/>
          <w:color w:val="000000"/>
          <w:sz w:val="19"/>
        </w:rPr>
        <w:t>：CSP（粒径約22 nm）が水・ポリマーマトリクス中に独立分散している。</w:t>
      </w:r>
      <w:r>
        <w:rPr>
          <w:rFonts w:ascii="MS PGothic" w:hAnsi="MS PGothic" w:eastAsia="MS PGothic"/>
          <w:b/>
          <w:color w:val="000000"/>
          <w:sz w:val="19"/>
        </w:rPr>
        <w:t>②中期</w:t>
      </w:r>
      <w:r>
        <w:rPr>
          <w:rFonts w:ascii="MS PGothic" w:hAnsi="MS PGothic" w:eastAsia="MS PGothic"/>
          <w:b w:val="0"/>
          <w:color w:val="000000"/>
          <w:sz w:val="19"/>
        </w:rPr>
        <w:t>：加熱により水分が蒸発・脱水し、隣接する CSP 粒子間に粒界（grain boundary）が形成され始める。</w:t>
      </w:r>
      <w:r>
        <w:rPr>
          <w:rFonts w:ascii="MS PGothic" w:hAnsi="MS PGothic" w:eastAsia="MS PGothic"/>
          <w:b/>
          <w:color w:val="000000"/>
          <w:sz w:val="19"/>
        </w:rPr>
        <w:t>③後期</w:t>
      </w:r>
      <w:r>
        <w:rPr>
          <w:rFonts w:ascii="MS PGothic" w:hAnsi="MS PGothic" w:eastAsia="MS PGothic"/>
          <w:b w:val="0"/>
          <w:color w:val="000000"/>
          <w:sz w:val="19"/>
        </w:rPr>
        <w:t>：さらなる加熱でネック（neck）が粒子間に成長し、粒子同士が共有結合で連結。最終的に3次元の多孔質SiO₂ 骨格（シリカエアロゲル）が完成する。このエアロゲル骨格が低熱伝導率の断熱層として機能する。</w:t>
      </w:r>
    </w:p>
    <w:p>
      <w:pPr>
        <w:spacing w:before="60" w:after="0" w:lineRule="exact" w:line="280"/>
      </w:pPr>
      <w:r>
        <w:rPr>
          <w:rFonts w:ascii="MS PGothic" w:hAnsi="MS PGothic" w:eastAsia="MS PGothic"/>
          <w:b/>
          <w:color w:val="000000"/>
          <w:sz w:val="20"/>
        </w:rPr>
        <w:t>・温度同期性 — エアロゲル化の鍵</w:t>
      </w:r>
    </w:p>
    <w:p>
      <w:pPr>
        <w:spacing w:before="0" w:after="40" w:lineRule="exact" w:line="280"/>
        <w:ind w:firstLine="227"/>
      </w:pPr>
      <w:r>
        <w:rPr>
          <w:rFonts w:ascii="MS PGothic" w:hAnsi="MS PGothic" w:eastAsia="MS PGothic"/>
          <w:b w:val="0"/>
          <w:color w:val="000000"/>
          <w:sz w:val="19"/>
        </w:rPr>
        <w:t>TGA/DSC の結果が示す通り、</w:t>
      </w:r>
      <w:r>
        <w:rPr>
          <w:rFonts w:ascii="MS PGothic" w:hAnsi="MS PGothic" w:eastAsia="MS PGothic"/>
          <w:b/>
          <w:color w:val="000000"/>
          <w:sz w:val="19"/>
        </w:rPr>
        <w:t>CSP の焼結開始温度（約200℃）</w:t>
      </w:r>
      <w:r>
        <w:rPr>
          <w:rFonts w:ascii="MS PGothic" w:hAnsi="MS PGothic" w:eastAsia="MS PGothic"/>
          <w:b w:val="0"/>
          <w:color w:val="000000"/>
          <w:sz w:val="19"/>
        </w:rPr>
        <w:t>と</w:t>
      </w:r>
      <w:r>
        <w:rPr>
          <w:rFonts w:ascii="MS PGothic" w:hAnsi="MS PGothic" w:eastAsia="MS PGothic"/>
          <w:b/>
          <w:color w:val="000000"/>
          <w:sz w:val="19"/>
        </w:rPr>
        <w:t>セルロース有機鎖の分解開始温度（約280℃）</w:t>
      </w:r>
      <w:r>
        <w:rPr>
          <w:rFonts w:ascii="MS PGothic" w:hAnsi="MS PGothic" w:eastAsia="MS PGothic"/>
          <w:b w:val="0"/>
          <w:color w:val="000000"/>
          <w:sz w:val="19"/>
        </w:rPr>
        <w:t>が温度的に重なっている（約80℃の重なり）点が本系の設計上の本質的優位性である。有機骨格が燃焼・除去されていくのとほぼ同時に無機シリカ骨格の連結・緻密化が進行するため、構造が崩壊する前に新たな支持体が形成される。仮に両温度が大きく離れていると、有機骨格が先に焼失して構造崩壊するか、シリカが焼結する前に層が剥落してしまうという問題が生じる。本系はこの温度整合を、材料選択（CSP 粒径22 nm とセルロース誘導体の組み合わせ）によって自然に実現している点が巧妙である。</w:t>
      </w:r>
    </w:p>
    <w:p>
      <w:pPr>
        <w:spacing w:before="120" w:after="20" w:lineRule="exact" w:line="300"/>
      </w:pPr>
      <w:r>
        <w:rPr>
          <w:rFonts w:ascii="MS PGothic" w:hAnsi="MS PGothic" w:eastAsia="MS PGothic"/>
          <w:b/>
          <w:color w:val="000000"/>
          <w:sz w:val="21"/>
        </w:rPr>
        <w:t>3. 長期保存安定性（Supplementary）</w:t>
      </w:r>
    </w:p>
    <w:p>
      <w:pPr>
        <w:spacing w:before="60" w:after="0" w:lineRule="exact" w:line="280"/>
      </w:pPr>
      <w:r>
        <w:rPr>
          <w:rFonts w:ascii="MS PGothic" w:hAnsi="MS PGothic" w:eastAsia="MS PGothic"/>
          <w:b/>
          <w:color w:val="000000"/>
          <w:sz w:val="20"/>
        </w:rPr>
        <w:t>・熟成機構 — 水素結合から共有結合への転移</w:t>
      </w:r>
    </w:p>
    <w:p>
      <w:pPr>
        <w:spacing w:before="0" w:after="40" w:lineRule="exact" w:line="280"/>
        <w:ind w:firstLine="227"/>
      </w:pPr>
      <w:r>
        <w:rPr>
          <w:rFonts w:ascii="MS PGothic" w:hAnsi="MS PGothic" w:eastAsia="MS PGothic"/>
          <w:b w:val="0"/>
          <w:color w:val="000000"/>
          <w:sz w:val="19"/>
        </w:rPr>
        <w:t xml:space="preserve">ゲルを長期保存すると、ネットワーク結合の様式が変化する「熟成（aging）」が起こる。初期のネットワークは可逆的な水素結合（PP 相互作用）で形成されているが、経時的にシリカ表面のシラノール基（Si–OH）とセルロースの水酸基（–OH）との間で脱水縮合が進み、不可逆的な </w:t>
      </w:r>
      <w:r>
        <w:rPr>
          <w:rFonts w:ascii="MS PGothic" w:hAnsi="MS PGothic" w:eastAsia="MS PGothic"/>
          <w:b/>
          <w:color w:val="000000"/>
          <w:sz w:val="19"/>
        </w:rPr>
        <w:t>Si–O–C 共有結合</w:t>
      </w:r>
      <w:r>
        <w:rPr>
          <w:rFonts w:ascii="MS PGothic" w:hAnsi="MS PGothic" w:eastAsia="MS PGothic"/>
          <w:b w:val="0"/>
          <w:color w:val="000000"/>
          <w:sz w:val="19"/>
        </w:rPr>
        <w:t>が形成される。この共有結合化によりゲルは経時的に剛性化（降伏応力の上昇）する。</w:t>
      </w:r>
    </w:p>
    <w:p>
      <w:pPr>
        <w:spacing w:before="60" w:after="0" w:lineRule="exact" w:line="280"/>
      </w:pPr>
      <w:r>
        <w:rPr>
          <w:rFonts w:ascii="MS PGothic" w:hAnsi="MS PGothic" w:eastAsia="MS PGothic"/>
          <w:b/>
          <w:color w:val="000000"/>
          <w:sz w:val="20"/>
        </w:rPr>
        <w:t>・HEC+MC 系と MHEC 系の比較（長期安定性データ）</w:t>
      </w:r>
    </w:p>
    <w:p>
      <w:pPr>
        <w:spacing w:before="0" w:after="40" w:lineRule="exact" w:line="280"/>
        <w:ind w:firstLine="227"/>
      </w:pPr>
      <w:r>
        <w:rPr>
          <w:rFonts w:ascii="MS PGothic" w:hAnsi="MS PGothic" w:eastAsia="MS PGothic"/>
          <w:b w:val="0"/>
          <w:color w:val="000000"/>
          <w:sz w:val="19"/>
        </w:rPr>
        <w:t>長期保存後の降伏応力の変化率は、</w:t>
      </w:r>
      <w:r>
        <w:rPr>
          <w:rFonts w:ascii="MS PGothic" w:hAnsi="MS PGothic" w:eastAsia="MS PGothic"/>
          <w:b/>
          <w:color w:val="000000"/>
          <w:sz w:val="19"/>
        </w:rPr>
        <w:t>HEC+MC 系で +107%</w:t>
      </w:r>
      <w:r>
        <w:rPr>
          <w:rFonts w:ascii="MS PGothic" w:hAnsi="MS PGothic" w:eastAsia="MS PGothic"/>
          <w:b w:val="0"/>
          <w:color w:val="000000"/>
          <w:sz w:val="19"/>
        </w:rPr>
        <w:t>（33 Pa → 約69 Pa）に対し、</w:t>
      </w:r>
      <w:r>
        <w:rPr>
          <w:rFonts w:ascii="MS PGothic" w:hAnsi="MS PGothic" w:eastAsia="MS PGothic"/>
          <w:b/>
          <w:color w:val="000000"/>
          <w:sz w:val="19"/>
        </w:rPr>
        <w:t>MHEC 系で +38%</w:t>
      </w:r>
      <w:r>
        <w:rPr>
          <w:rFonts w:ascii="MS PGothic" w:hAnsi="MS PGothic" w:eastAsia="MS PGothic"/>
          <w:b w:val="0"/>
          <w:color w:val="000000"/>
          <w:sz w:val="19"/>
        </w:rPr>
        <w:t xml:space="preserve"> と穏やかであった。HEC+MC 系の方が剛性化が大きいのは、HEC および MC 分子が MHEC より遊離の水酸基（–OH）を多く持ち、シリカ表面との共有結合化が進みやすいためである（MHEC ではメチル基置換により遊離 –OH が少ない）。重要なのは、</w:t>
      </w:r>
      <w:r>
        <w:rPr>
          <w:rFonts w:ascii="MS PGothic" w:hAnsi="MS PGothic" w:eastAsia="MS PGothic"/>
          <w:b/>
          <w:color w:val="000000"/>
          <w:sz w:val="19"/>
        </w:rPr>
        <w:t>455日間の長期保存後も燃焼挙動（Time to char）は実質的に変化しなかった</w:t>
      </w:r>
      <w:r>
        <w:rPr>
          <w:rFonts w:ascii="MS PGothic" w:hAnsi="MS PGothic" w:eastAsia="MS PGothic"/>
          <w:b w:val="0"/>
          <w:color w:val="000000"/>
          <w:sz w:val="19"/>
        </w:rPr>
        <w:t>ことであり、これは1年を超える実用的な保存安定性を意味する。性能・安定性・コストの総合比較を Table 4 に示す。</w:t>
      </w:r>
    </w:p>
    <w:p>
      <w:pPr>
        <w:spacing w:before="20" w:after="60" w:lineRule="exact" w:line="240"/>
      </w:pPr>
      <w:r>
        <w:rPr>
          <w:rFonts w:ascii="MS PGothic" w:hAnsi="MS PGothic" w:eastAsia="MS PGothic"/>
          <w:b/>
          <w:color w:val="000000"/>
          <w:sz w:val="17"/>
        </w:rPr>
        <w:t>Table 4. HEC+MC 系と MHEC 系の総合比較</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W w:w="2000" w:type="dxa"/>
          </w:tcPr>
          <w:p>
            <w:pPr>
              <w:spacing w:before="20" w:after="20" w:lineRule="exact" w:line="240"/>
              <w:jc w:val="center"/>
            </w:pPr>
            <w:r>
              <w:rPr>
                <w:rFonts w:ascii="MS PGothic" w:hAnsi="MS PGothic" w:eastAsia="MS PGothic"/>
                <w:b/>
                <w:color w:val="000000"/>
                <w:sz w:val="18"/>
              </w:rPr>
              <w:t>評価項目</w:t>
            </w:r>
          </w:p>
        </w:tc>
        <w:tc>
          <w:tcPr>
            <w:tcW w:type="dxa" w:w="2493"/>
            <w:vAlign w:val="center"/>
            <w:tcW w:w="2000" w:type="dxa"/>
          </w:tcPr>
          <w:p>
            <w:pPr>
              <w:spacing w:before="20" w:after="20" w:lineRule="exact" w:line="240"/>
              <w:jc w:val="center"/>
            </w:pPr>
            <w:r>
              <w:rPr>
                <w:rFonts w:ascii="MS PGothic" w:hAnsi="MS PGothic" w:eastAsia="MS PGothic"/>
                <w:b/>
                <w:color w:val="000000"/>
                <w:sz w:val="18"/>
              </w:rPr>
              <w:t>HEC+MC/CSP</w:t>
            </w:r>
          </w:p>
        </w:tc>
        <w:tc>
          <w:tcPr>
            <w:tcW w:type="dxa" w:w="2493"/>
            <w:vAlign w:val="center"/>
            <w:tcW w:w="1800" w:type="dxa"/>
          </w:tcPr>
          <w:p>
            <w:pPr>
              <w:spacing w:before="20" w:after="20" w:lineRule="exact" w:line="240"/>
              <w:jc w:val="center"/>
            </w:pPr>
            <w:r>
              <w:rPr>
                <w:rFonts w:ascii="MS PGothic" w:hAnsi="MS PGothic" w:eastAsia="MS PGothic"/>
                <w:b/>
                <w:color w:val="000000"/>
                <w:sz w:val="18"/>
              </w:rPr>
              <w:t>MHEC/CSP</w:t>
            </w:r>
          </w:p>
        </w:tc>
        <w:tc>
          <w:tcPr>
            <w:tcW w:type="dxa" w:w="2493"/>
            <w:vAlign w:val="center"/>
            <w:tcW w:w="3060" w:type="dxa"/>
          </w:tcPr>
          <w:p>
            <w:pPr>
              <w:spacing w:before="20" w:after="20" w:lineRule="exact" w:line="240"/>
              <w:jc w:val="center"/>
            </w:pPr>
            <w:r>
              <w:rPr>
                <w:rFonts w:ascii="MS PGothic" w:hAnsi="MS PGothic" w:eastAsia="MS PGothic"/>
                <w:b/>
                <w:color w:val="000000"/>
                <w:sz w:val="18"/>
              </w:rPr>
              <w:t>理由・備考</w:t>
            </w:r>
          </w:p>
        </w:tc>
      </w:tr>
      <w:tr>
        <w:tc>
          <w:tcPr>
            <w:tcW w:type="dxa" w:w="2493"/>
            <w:vAlign w:val="center"/>
            <w:tcW w:w="2000" w:type="dxa"/>
          </w:tcPr>
          <w:p>
            <w:pPr>
              <w:spacing w:before="20" w:after="20" w:lineRule="exact" w:line="240"/>
              <w:jc w:val="left"/>
            </w:pPr>
            <w:r>
              <w:rPr>
                <w:rFonts w:ascii="MS PGothic" w:hAnsi="MS PGothic" w:eastAsia="MS PGothic"/>
                <w:b w:val="0"/>
                <w:color w:val="000000"/>
                <w:sz w:val="18"/>
              </w:rPr>
              <w:t>燃焼保護性能</w:t>
            </w:r>
          </w:p>
        </w:tc>
        <w:tc>
          <w:tcPr>
            <w:tcW w:type="dxa" w:w="2493"/>
            <w:vAlign w:val="center"/>
            <w:tcW w:w="2000" w:type="dxa"/>
          </w:tcPr>
          <w:p>
            <w:pPr>
              <w:spacing w:before="20" w:after="20" w:lineRule="exact" w:line="240"/>
              <w:jc w:val="center"/>
            </w:pPr>
            <w:r>
              <w:rPr>
                <w:rFonts w:ascii="MS PGothic" w:hAnsi="MS PGothic" w:eastAsia="MS PGothic"/>
                <w:b w:val="0"/>
                <w:color w:val="000000"/>
                <w:sz w:val="18"/>
              </w:rPr>
              <w:t>◎（やや上）</w:t>
            </w:r>
          </w:p>
        </w:tc>
        <w:tc>
          <w:tcPr>
            <w:tcW w:type="dxa" w:w="2493"/>
            <w:vAlign w:val="center"/>
            <w:tcW w:w="1800" w:type="dxa"/>
          </w:tcPr>
          <w:p>
            <w:pPr>
              <w:spacing w:before="20" w:after="20" w:lineRule="exact" w:line="240"/>
              <w:jc w:val="center"/>
            </w:pPr>
            <w:r>
              <w:rPr>
                <w:rFonts w:ascii="MS PGothic" w:hAnsi="MS PGothic" w:eastAsia="MS PGothic"/>
                <w:b w:val="0"/>
                <w:color w:val="000000"/>
                <w:sz w:val="18"/>
              </w:rPr>
              <w:t>○</w:t>
            </w:r>
          </w:p>
        </w:tc>
        <w:tc>
          <w:tcPr>
            <w:tcW w:type="dxa" w:w="2493"/>
            <w:vAlign w:val="center"/>
            <w:tcW w:w="3060" w:type="dxa"/>
          </w:tcPr>
          <w:p>
            <w:pPr>
              <w:spacing w:before="20" w:after="20" w:lineRule="exact" w:line="240"/>
              <w:jc w:val="center"/>
            </w:pPr>
            <w:r>
              <w:rPr>
                <w:rFonts w:ascii="MS PGothic" w:hAnsi="MS PGothic" w:eastAsia="MS PGothic"/>
                <w:b w:val="0"/>
                <w:color w:val="000000"/>
                <w:sz w:val="18"/>
              </w:rPr>
              <w:t>HEC+MCが僅差で優位</w:t>
            </w:r>
          </w:p>
        </w:tc>
      </w:tr>
      <w:tr>
        <w:tc>
          <w:tcPr>
            <w:tcW w:type="dxa" w:w="2493"/>
            <w:vAlign w:val="center"/>
            <w:tcW w:w="2000" w:type="dxa"/>
          </w:tcPr>
          <w:p>
            <w:pPr>
              <w:spacing w:before="20" w:after="20" w:lineRule="exact" w:line="240"/>
              <w:jc w:val="left"/>
            </w:pPr>
            <w:r>
              <w:rPr>
                <w:rFonts w:ascii="MS PGothic" w:hAnsi="MS PGothic" w:eastAsia="MS PGothic"/>
                <w:b w:val="0"/>
                <w:color w:val="000000"/>
                <w:sz w:val="18"/>
              </w:rPr>
              <w:t>長期安定性</w:t>
            </w:r>
          </w:p>
        </w:tc>
        <w:tc>
          <w:tcPr>
            <w:tcW w:type="dxa" w:w="2493"/>
            <w:vAlign w:val="center"/>
            <w:tcW w:w="2000" w:type="dxa"/>
          </w:tcPr>
          <w:p>
            <w:pPr>
              <w:spacing w:before="20" w:after="20" w:lineRule="exact" w:line="240"/>
              <w:jc w:val="center"/>
            </w:pPr>
            <w:r>
              <w:rPr>
                <w:rFonts w:ascii="MS PGothic" w:hAnsi="MS PGothic" w:eastAsia="MS PGothic"/>
                <w:b w:val="0"/>
                <w:color w:val="000000"/>
                <w:sz w:val="18"/>
              </w:rPr>
              <w:t>△（+107%剛性化）</w:t>
            </w:r>
          </w:p>
        </w:tc>
        <w:tc>
          <w:tcPr>
            <w:tcW w:type="dxa" w:w="2493"/>
            <w:vAlign w:val="center"/>
            <w:tcW w:w="1800" w:type="dxa"/>
          </w:tcPr>
          <w:p>
            <w:pPr>
              <w:spacing w:before="20" w:after="20" w:lineRule="exact" w:line="240"/>
              <w:jc w:val="center"/>
            </w:pPr>
            <w:r>
              <w:rPr>
                <w:rFonts w:ascii="MS PGothic" w:hAnsi="MS PGothic" w:eastAsia="MS PGothic"/>
                <w:b w:val="0"/>
                <w:color w:val="000000"/>
                <w:sz w:val="18"/>
              </w:rPr>
              <w:t>◎（+38%）</w:t>
            </w:r>
          </w:p>
        </w:tc>
        <w:tc>
          <w:tcPr>
            <w:tcW w:type="dxa" w:w="2493"/>
            <w:vAlign w:val="center"/>
            <w:tcW w:w="3060" w:type="dxa"/>
          </w:tcPr>
          <w:p>
            <w:pPr>
              <w:spacing w:before="20" w:after="20" w:lineRule="exact" w:line="240"/>
              <w:jc w:val="center"/>
            </w:pPr>
            <w:r>
              <w:rPr>
                <w:rFonts w:ascii="MS PGothic" w:hAnsi="MS PGothic" w:eastAsia="MS PGothic"/>
                <w:b w:val="0"/>
                <w:color w:val="000000"/>
                <w:sz w:val="18"/>
              </w:rPr>
              <w:t>遊離-OH数の差で共有結合化が異なる</w:t>
            </w:r>
          </w:p>
        </w:tc>
      </w:tr>
      <w:tr>
        <w:tc>
          <w:tcPr>
            <w:tcW w:type="dxa" w:w="2493"/>
            <w:vAlign w:val="center"/>
            <w:tcW w:w="2000" w:type="dxa"/>
          </w:tcPr>
          <w:p>
            <w:pPr>
              <w:spacing w:before="20" w:after="20" w:lineRule="exact" w:line="240"/>
              <w:jc w:val="left"/>
            </w:pPr>
            <w:r>
              <w:rPr>
                <w:rFonts w:ascii="MS PGothic" w:hAnsi="MS PGothic" w:eastAsia="MS PGothic"/>
                <w:b w:val="0"/>
                <w:color w:val="000000"/>
                <w:sz w:val="18"/>
              </w:rPr>
              <w:t>製造・品質管理</w:t>
            </w:r>
          </w:p>
        </w:tc>
        <w:tc>
          <w:tcPr>
            <w:tcW w:type="dxa" w:w="2493"/>
            <w:vAlign w:val="center"/>
            <w:tcW w:w="2000" w:type="dxa"/>
          </w:tcPr>
          <w:p>
            <w:pPr>
              <w:spacing w:before="20" w:after="20" w:lineRule="exact" w:line="240"/>
              <w:jc w:val="center"/>
            </w:pPr>
            <w:r>
              <w:rPr>
                <w:rFonts w:ascii="MS PGothic" w:hAnsi="MS PGothic" w:eastAsia="MS PGothic"/>
                <w:b w:val="0"/>
                <w:color w:val="000000"/>
                <w:sz w:val="18"/>
              </w:rPr>
              <w:t>○（2成分配合）</w:t>
            </w:r>
          </w:p>
        </w:tc>
        <w:tc>
          <w:tcPr>
            <w:tcW w:type="dxa" w:w="2493"/>
            <w:vAlign w:val="center"/>
            <w:tcW w:w="1800" w:type="dxa"/>
          </w:tcPr>
          <w:p>
            <w:pPr>
              <w:spacing w:before="20" w:after="20" w:lineRule="exact" w:line="240"/>
              <w:jc w:val="center"/>
            </w:pPr>
            <w:r>
              <w:rPr>
                <w:rFonts w:ascii="MS PGothic" w:hAnsi="MS PGothic" w:eastAsia="MS PGothic"/>
                <w:b w:val="0"/>
                <w:color w:val="000000"/>
                <w:sz w:val="18"/>
              </w:rPr>
              <w:t>◎（単一ポリマー）</w:t>
            </w:r>
          </w:p>
        </w:tc>
        <w:tc>
          <w:tcPr>
            <w:tcW w:type="dxa" w:w="2493"/>
            <w:vAlign w:val="center"/>
            <w:tcW w:w="3060" w:type="dxa"/>
          </w:tcPr>
          <w:p>
            <w:pPr>
              <w:spacing w:before="20" w:after="20" w:lineRule="exact" w:line="240"/>
              <w:jc w:val="center"/>
            </w:pPr>
            <w:r>
              <w:rPr>
                <w:rFonts w:ascii="MS PGothic" w:hAnsi="MS PGothic" w:eastAsia="MS PGothic"/>
                <w:b w:val="0"/>
                <w:color w:val="000000"/>
                <w:sz w:val="18"/>
              </w:rPr>
              <w:t>MHECは配合比管理不要</w:t>
            </w:r>
          </w:p>
        </w:tc>
      </w:tr>
      <w:tr>
        <w:tc>
          <w:tcPr>
            <w:tcW w:type="dxa" w:w="2493"/>
            <w:vAlign w:val="center"/>
            <w:tcW w:w="2000" w:type="dxa"/>
          </w:tcPr>
          <w:p>
            <w:pPr>
              <w:spacing w:before="20" w:after="20" w:lineRule="exact" w:line="240"/>
              <w:jc w:val="left"/>
            </w:pPr>
            <w:r>
              <w:rPr>
                <w:rFonts w:ascii="MS PGothic" w:hAnsi="MS PGothic" w:eastAsia="MS PGothic"/>
                <w:b w:val="0"/>
                <w:color w:val="000000"/>
                <w:sz w:val="18"/>
              </w:rPr>
              <w:t>コスト</w:t>
            </w:r>
          </w:p>
        </w:tc>
        <w:tc>
          <w:tcPr>
            <w:tcW w:type="dxa" w:w="2493"/>
            <w:vAlign w:val="center"/>
            <w:tcW w:w="2000" w:type="dxa"/>
          </w:tcPr>
          <w:p>
            <w:pPr>
              <w:spacing w:before="20" w:after="20" w:lineRule="exact" w:line="240"/>
              <w:jc w:val="center"/>
            </w:pPr>
            <w:r>
              <w:rPr>
                <w:rFonts w:ascii="MS PGothic" w:hAnsi="MS PGothic" w:eastAsia="MS PGothic"/>
                <w:b w:val="0"/>
                <w:color w:val="000000"/>
                <w:sz w:val="18"/>
              </w:rPr>
              <w:t>○</w:t>
            </w:r>
          </w:p>
        </w:tc>
        <w:tc>
          <w:tcPr>
            <w:tcW w:type="dxa" w:w="2493"/>
            <w:vAlign w:val="center"/>
            <w:tcW w:w="1800" w:type="dxa"/>
          </w:tcPr>
          <w:p>
            <w:pPr>
              <w:spacing w:before="20" w:after="20" w:lineRule="exact" w:line="240"/>
              <w:jc w:val="center"/>
            </w:pPr>
            <w:r>
              <w:rPr>
                <w:rFonts w:ascii="MS PGothic" w:hAnsi="MS PGothic" w:eastAsia="MS PGothic"/>
                <w:b w:val="0"/>
                <w:color w:val="000000"/>
                <w:sz w:val="18"/>
              </w:rPr>
              <w:t>◎</w:t>
            </w:r>
          </w:p>
        </w:tc>
        <w:tc>
          <w:tcPr>
            <w:tcW w:type="dxa" w:w="2493"/>
            <w:vAlign w:val="center"/>
            <w:tcW w:w="3060" w:type="dxa"/>
          </w:tcPr>
          <w:p>
            <w:pPr>
              <w:spacing w:before="20" w:after="20" w:lineRule="exact" w:line="240"/>
              <w:jc w:val="center"/>
            </w:pPr>
            <w:r>
              <w:rPr>
                <w:rFonts w:ascii="MS PGothic" w:hAnsi="MS PGothic" w:eastAsia="MS PGothic"/>
                <w:b w:val="0"/>
                <w:color w:val="000000"/>
                <w:sz w:val="18"/>
              </w:rPr>
              <w:t>MHECが低コスト</w:t>
            </w:r>
          </w:p>
        </w:tc>
      </w:tr>
    </w:tbl>
    <w:p>
      <w:pPr>
        <w:spacing w:before="0" w:after="60"/>
      </w:pPr>
    </w:p>
    <w:p>
      <w:pPr>
        <w:spacing w:before="120" w:after="20" w:lineRule="exact" w:line="300"/>
      </w:pPr>
      <w:r>
        <w:rPr>
          <w:rFonts w:ascii="MS PGothic" w:hAnsi="MS PGothic" w:eastAsia="MS PGothic"/>
          <w:b/>
          <w:color w:val="000000"/>
          <w:sz w:val="21"/>
        </w:rPr>
        <w:t>4. 燃焼試験による防火性能（Figure 3）</w:t>
      </w:r>
    </w:p>
    <w:p>
      <w:pPr>
        <w:spacing w:before="60" w:after="0" w:lineRule="exact" w:line="280"/>
      </w:pPr>
      <w:r>
        <w:rPr>
          <w:rFonts w:ascii="MS PGothic" w:hAnsi="MS PGothic" w:eastAsia="MS PGothic"/>
          <w:b/>
          <w:color w:val="000000"/>
          <w:sz w:val="20"/>
        </w:rPr>
        <w:t>・Time to char：5配合の定量比較（主結果）</w:t>
      </w:r>
    </w:p>
    <w:p>
      <w:pPr>
        <w:spacing w:before="0" w:after="40" w:lineRule="exact" w:line="280"/>
        <w:ind w:firstLine="227"/>
      </w:pPr>
      <w:r>
        <w:rPr>
          <w:rFonts w:ascii="MS PGothic" w:hAnsi="MS PGothic" w:eastAsia="MS PGothic"/>
          <w:b w:val="0"/>
          <w:color w:val="000000"/>
          <w:sz w:val="19"/>
        </w:rPr>
      </w:r>
      <w:r>
        <w:rPr>
          <w:rFonts w:ascii="MS PGothic" w:hAnsi="MS PGothic" w:eastAsia="MS PGothic"/>
          <w:b/>
          <w:color w:val="000000"/>
          <w:sz w:val="19"/>
        </w:rPr>
        <w:t>水のみ：約0.3分（約18秒）</w:t>
      </w:r>
      <w:r>
        <w:rPr>
          <w:rFonts w:ascii="MS PGothic" w:hAnsi="MS PGothic" w:eastAsia="MS PGothic"/>
          <w:b w:val="0"/>
          <w:color w:val="000000"/>
          <w:sz w:val="19"/>
        </w:rPr>
        <w:t>で木材表面が炭化した。</w:t>
      </w:r>
      <w:r>
        <w:rPr>
          <w:rFonts w:ascii="MS PGothic" w:hAnsi="MS PGothic" w:eastAsia="MS PGothic"/>
          <w:b/>
          <w:color w:val="000000"/>
          <w:sz w:val="19"/>
        </w:rPr>
        <w:t>市販品 AquaGel-K：約1.5分</w:t>
      </w:r>
      <w:r>
        <w:rPr>
          <w:rFonts w:ascii="MS PGothic" w:hAnsi="MS PGothic" w:eastAsia="MS PGothic"/>
          <w:b w:val="0"/>
          <w:color w:val="000000"/>
          <w:sz w:val="19"/>
        </w:rPr>
        <w:t>で炭化。</w:t>
      </w:r>
      <w:r>
        <w:rPr>
          <w:rFonts w:ascii="MS PGothic" w:hAnsi="MS PGothic" w:eastAsia="MS PGothic"/>
          <w:b/>
          <w:color w:val="000000"/>
          <w:sz w:val="19"/>
        </w:rPr>
        <w:t>本研究の WEG（HEC+MC/CSP および MHEC/CSP）：7分以上</w:t>
      </w:r>
      <w:r>
        <w:rPr>
          <w:rFonts w:ascii="MS PGothic" w:hAnsi="MS PGothic" w:eastAsia="MS PGothic"/>
          <w:b w:val="0"/>
          <w:color w:val="000000"/>
          <w:sz w:val="19"/>
        </w:rPr>
        <w:t xml:space="preserve">にわたって炭化を防いだ </w:t>
      </w:r>
      <w:r>
        <w:rPr>
          <w:rFonts w:ascii="MS PGothic" w:hAnsi="MS PGothic" w:eastAsia="MS PGothic"/>
          <w:b/>
          <w:color w:val="000000"/>
          <w:sz w:val="19"/>
        </w:rPr>
        <w:t>(Fig. 3b)</w:t>
      </w:r>
      <w:r>
        <w:rPr>
          <w:rFonts w:ascii="MS PGothic" w:hAnsi="MS PGothic" w:eastAsia="MS PGothic"/>
          <w:b w:val="0"/>
          <w:color w:val="000000"/>
          <w:sz w:val="19"/>
        </w:rPr>
        <w:t>。これは市販品の</w:t>
      </w:r>
      <w:r>
        <w:rPr>
          <w:rFonts w:ascii="MS PGothic" w:hAnsi="MS PGothic" w:eastAsia="MS PGothic"/>
          <w:b/>
          <w:color w:val="000000"/>
          <w:sz w:val="19"/>
        </w:rPr>
        <w:t>3〜6倍</w:t>
      </w:r>
      <w:r>
        <w:rPr>
          <w:rFonts w:ascii="MS PGothic" w:hAnsi="MS PGothic" w:eastAsia="MS PGothic"/>
          <w:b w:val="0"/>
          <w:color w:val="000000"/>
          <w:sz w:val="19"/>
        </w:rPr>
        <w:t>に相当する保護時間である（全試験 n ≥ 3、誤差棒付きで再現性確認済み）。SDS 添加系（0.1%・0.5%）は Time to char がわずかに低下し、前述のレオロジー・発泡デメリットが最終保護性能にも反映された。定量結果を Table 5 にまとめる。</w:t>
      </w:r>
    </w:p>
    <w:p>
      <w:pPr>
        <w:spacing w:before="20" w:after="60" w:lineRule="exact" w:line="240"/>
      </w:pPr>
      <w:r>
        <w:rPr>
          <w:rFonts w:ascii="MS PGothic" w:hAnsi="MS PGothic" w:eastAsia="MS PGothic"/>
          <w:b/>
          <w:color w:val="000000"/>
          <w:sz w:val="17"/>
        </w:rPr>
        <w:t>Table 5. 燃焼試験（Time to char）の定量比較</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W w:w="2300" w:type="dxa"/>
          </w:tcPr>
          <w:p>
            <w:pPr>
              <w:spacing w:before="20" w:after="20" w:lineRule="exact" w:line="240"/>
              <w:jc w:val="center"/>
            </w:pPr>
            <w:r>
              <w:rPr>
                <w:rFonts w:ascii="MS PGothic" w:hAnsi="MS PGothic" w:eastAsia="MS PGothic"/>
                <w:b/>
                <w:color w:val="000000"/>
                <w:sz w:val="18"/>
              </w:rPr>
              <w:t>試料</w:t>
            </w:r>
          </w:p>
        </w:tc>
        <w:tc>
          <w:tcPr>
            <w:tcW w:type="dxa" w:w="2493"/>
            <w:vAlign w:val="center"/>
            <w:tcW w:w="2200" w:type="dxa"/>
          </w:tcPr>
          <w:p>
            <w:pPr>
              <w:spacing w:before="20" w:after="20" w:lineRule="exact" w:line="240"/>
              <w:jc w:val="center"/>
            </w:pPr>
            <w:r>
              <w:rPr>
                <w:rFonts w:ascii="MS PGothic" w:hAnsi="MS PGothic" w:eastAsia="MS PGothic"/>
                <w:b/>
                <w:color w:val="000000"/>
                <w:sz w:val="18"/>
              </w:rPr>
              <w:t>Time to char</w:t>
            </w:r>
          </w:p>
        </w:tc>
        <w:tc>
          <w:tcPr>
            <w:tcW w:type="dxa" w:w="2493"/>
            <w:vAlign w:val="center"/>
            <w:tcW w:w="1500" w:type="dxa"/>
          </w:tcPr>
          <w:p>
            <w:pPr>
              <w:spacing w:before="20" w:after="20" w:lineRule="exact" w:line="240"/>
              <w:jc w:val="center"/>
            </w:pPr>
            <w:r>
              <w:rPr>
                <w:rFonts w:ascii="MS PGothic" w:hAnsi="MS PGothic" w:eastAsia="MS PGothic"/>
                <w:b/>
                <w:color w:val="000000"/>
                <w:sz w:val="18"/>
              </w:rPr>
              <w:t>市販品比</w:t>
            </w:r>
          </w:p>
        </w:tc>
        <w:tc>
          <w:tcPr>
            <w:tcW w:type="dxa" w:w="2493"/>
            <w:vAlign w:val="center"/>
            <w:tcW w:w="2860" w:type="dxa"/>
          </w:tcPr>
          <w:p>
            <w:pPr>
              <w:spacing w:before="20" w:after="20" w:lineRule="exact" w:line="240"/>
              <w:jc w:val="center"/>
            </w:pPr>
            <w:r>
              <w:rPr>
                <w:rFonts w:ascii="MS PGothic" w:hAnsi="MS PGothic" w:eastAsia="MS PGothic"/>
                <w:b/>
                <w:color w:val="000000"/>
                <w:sz w:val="18"/>
              </w:rPr>
              <w:t>300秒時点の表面状態</w:t>
            </w:r>
          </w:p>
        </w:tc>
      </w:tr>
      <w:tr>
        <w:tc>
          <w:tcPr>
            <w:tcW w:type="dxa" w:w="2493"/>
            <w:vAlign w:val="center"/>
            <w:tcW w:w="2300" w:type="dxa"/>
          </w:tcPr>
          <w:p>
            <w:pPr>
              <w:spacing w:before="20" w:after="20" w:lineRule="exact" w:line="240"/>
              <w:jc w:val="left"/>
            </w:pPr>
            <w:r>
              <w:rPr>
                <w:rFonts w:ascii="MS PGothic" w:hAnsi="MS PGothic" w:eastAsia="MS PGothic"/>
                <w:b w:val="0"/>
                <w:color w:val="000000"/>
                <w:sz w:val="18"/>
              </w:rPr>
              <w:t>水のみ</w:t>
            </w:r>
          </w:p>
        </w:tc>
        <w:tc>
          <w:tcPr>
            <w:tcW w:type="dxa" w:w="2493"/>
            <w:vAlign w:val="center"/>
            <w:tcW w:w="2200" w:type="dxa"/>
          </w:tcPr>
          <w:p>
            <w:pPr>
              <w:spacing w:before="20" w:after="20" w:lineRule="exact" w:line="240"/>
              <w:jc w:val="center"/>
            </w:pPr>
            <w:r>
              <w:rPr>
                <w:rFonts w:ascii="MS PGothic" w:hAnsi="MS PGothic" w:eastAsia="MS PGothic"/>
                <w:b w:val="0"/>
                <w:color w:val="000000"/>
                <w:sz w:val="18"/>
              </w:rPr>
              <w:t>約0.3分（約18秒）</w:t>
            </w:r>
          </w:p>
        </w:tc>
        <w:tc>
          <w:tcPr>
            <w:tcW w:type="dxa" w:w="2493"/>
            <w:vAlign w:val="center"/>
            <w:tcW w:w="1500" w:type="dxa"/>
          </w:tcPr>
          <w:p>
            <w:pPr>
              <w:spacing w:before="20" w:after="20" w:lineRule="exact" w:line="240"/>
              <w:jc w:val="center"/>
            </w:pPr>
            <w:r>
              <w:rPr>
                <w:rFonts w:ascii="MS PGothic" w:hAnsi="MS PGothic" w:eastAsia="MS PGothic"/>
                <w:b w:val="0"/>
                <w:color w:val="000000"/>
                <w:sz w:val="18"/>
              </w:rPr>
              <w:t>基準以下</w:t>
            </w:r>
          </w:p>
        </w:tc>
        <w:tc>
          <w:tcPr>
            <w:tcW w:type="dxa" w:w="2493"/>
            <w:vAlign w:val="center"/>
            <w:tcW w:w="2860" w:type="dxa"/>
          </w:tcPr>
          <w:p>
            <w:pPr>
              <w:spacing w:before="20" w:after="20" w:lineRule="exact" w:line="240"/>
              <w:jc w:val="center"/>
            </w:pPr>
            <w:r>
              <w:rPr>
                <w:rFonts w:ascii="MS PGothic" w:hAnsi="MS PGothic" w:eastAsia="MS PGothic"/>
                <w:b w:val="0"/>
                <w:color w:val="000000"/>
                <w:sz w:val="18"/>
              </w:rPr>
              <w:t>完全に炭化（黒色）</w:t>
            </w:r>
          </w:p>
        </w:tc>
      </w:tr>
      <w:tr>
        <w:tc>
          <w:tcPr>
            <w:tcW w:type="dxa" w:w="2493"/>
            <w:vAlign w:val="center"/>
            <w:tcW w:w="2300" w:type="dxa"/>
          </w:tcPr>
          <w:p>
            <w:pPr>
              <w:spacing w:before="20" w:after="20" w:lineRule="exact" w:line="240"/>
              <w:jc w:val="left"/>
            </w:pPr>
            <w:r>
              <w:rPr>
                <w:rFonts w:ascii="MS PGothic" w:hAnsi="MS PGothic" w:eastAsia="MS PGothic"/>
                <w:b w:val="0"/>
                <w:color w:val="000000"/>
                <w:sz w:val="18"/>
              </w:rPr>
              <w:t>AquaGel-K（市販）</w:t>
            </w:r>
          </w:p>
        </w:tc>
        <w:tc>
          <w:tcPr>
            <w:tcW w:type="dxa" w:w="2493"/>
            <w:vAlign w:val="center"/>
            <w:tcW w:w="2200" w:type="dxa"/>
          </w:tcPr>
          <w:p>
            <w:pPr>
              <w:spacing w:before="20" w:after="20" w:lineRule="exact" w:line="240"/>
              <w:jc w:val="center"/>
            </w:pPr>
            <w:r>
              <w:rPr>
                <w:rFonts w:ascii="MS PGothic" w:hAnsi="MS PGothic" w:eastAsia="MS PGothic"/>
                <w:b w:val="0"/>
                <w:color w:val="000000"/>
                <w:sz w:val="18"/>
              </w:rPr>
              <w:t>約1.5分</w:t>
            </w:r>
          </w:p>
        </w:tc>
        <w:tc>
          <w:tcPr>
            <w:tcW w:type="dxa" w:w="2493"/>
            <w:vAlign w:val="center"/>
            <w:tcW w:w="1500" w:type="dxa"/>
          </w:tcPr>
          <w:p>
            <w:pPr>
              <w:spacing w:before="20" w:after="20" w:lineRule="exact" w:line="240"/>
              <w:jc w:val="center"/>
            </w:pPr>
            <w:r>
              <w:rPr>
                <w:rFonts w:ascii="MS PGothic" w:hAnsi="MS PGothic" w:eastAsia="MS PGothic"/>
                <w:b w:val="0"/>
                <w:color w:val="000000"/>
                <w:sz w:val="18"/>
              </w:rPr>
              <w:t>1×（基準）</w:t>
            </w:r>
          </w:p>
        </w:tc>
        <w:tc>
          <w:tcPr>
            <w:tcW w:type="dxa" w:w="2493"/>
            <w:vAlign w:val="center"/>
            <w:tcW w:w="2860" w:type="dxa"/>
          </w:tcPr>
          <w:p>
            <w:pPr>
              <w:spacing w:before="20" w:after="20" w:lineRule="exact" w:line="240"/>
              <w:jc w:val="center"/>
            </w:pPr>
            <w:r>
              <w:rPr>
                <w:rFonts w:ascii="MS PGothic" w:hAnsi="MS PGothic" w:eastAsia="MS PGothic"/>
                <w:b w:val="0"/>
                <w:color w:val="000000"/>
                <w:sz w:val="18"/>
              </w:rPr>
              <w:t>炭化（黒色）</w:t>
            </w:r>
          </w:p>
        </w:tc>
      </w:tr>
      <w:tr>
        <w:tc>
          <w:tcPr>
            <w:tcW w:type="dxa" w:w="2493"/>
            <w:vAlign w:val="center"/>
            <w:tcW w:w="2300" w:type="dxa"/>
          </w:tcPr>
          <w:p>
            <w:pPr>
              <w:spacing w:before="20" w:after="20" w:lineRule="exact" w:line="240"/>
              <w:jc w:val="left"/>
            </w:pPr>
            <w:r>
              <w:rPr>
                <w:rFonts w:ascii="MS PGothic" w:hAnsi="MS PGothic" w:eastAsia="MS PGothic"/>
                <w:b w:val="0"/>
                <w:color w:val="000000"/>
                <w:sz w:val="18"/>
              </w:rPr>
              <w:t>本研究 WEG</w:t>
            </w:r>
          </w:p>
        </w:tc>
        <w:tc>
          <w:tcPr>
            <w:tcW w:type="dxa" w:w="2493"/>
            <w:vAlign w:val="center"/>
            <w:tcW w:w="2200" w:type="dxa"/>
          </w:tcPr>
          <w:p>
            <w:pPr>
              <w:spacing w:before="20" w:after="20" w:lineRule="exact" w:line="240"/>
              <w:jc w:val="center"/>
            </w:pPr>
            <w:r>
              <w:rPr>
                <w:rFonts w:ascii="MS PGothic" w:hAnsi="MS PGothic" w:eastAsia="MS PGothic"/>
                <w:b w:val="0"/>
                <w:color w:val="000000"/>
                <w:sz w:val="18"/>
              </w:rPr>
              <w:t>7分以上</w:t>
            </w:r>
          </w:p>
        </w:tc>
        <w:tc>
          <w:tcPr>
            <w:tcW w:type="dxa" w:w="2493"/>
            <w:vAlign w:val="center"/>
            <w:tcW w:w="1500" w:type="dxa"/>
          </w:tcPr>
          <w:p>
            <w:pPr>
              <w:spacing w:before="20" w:after="20" w:lineRule="exact" w:line="240"/>
              <w:jc w:val="center"/>
            </w:pPr>
            <w:r>
              <w:rPr>
                <w:rFonts w:ascii="MS PGothic" w:hAnsi="MS PGothic" w:eastAsia="MS PGothic"/>
                <w:b w:val="0"/>
                <w:color w:val="000000"/>
                <w:sz w:val="18"/>
              </w:rPr>
              <w:t>3〜6×</w:t>
            </w:r>
          </w:p>
        </w:tc>
        <w:tc>
          <w:tcPr>
            <w:tcW w:type="dxa" w:w="2493"/>
            <w:vAlign w:val="center"/>
            <w:tcW w:w="2860" w:type="dxa"/>
          </w:tcPr>
          <w:p>
            <w:pPr>
              <w:spacing w:before="20" w:after="20" w:lineRule="exact" w:line="240"/>
              <w:jc w:val="center"/>
            </w:pPr>
            <w:r>
              <w:rPr>
                <w:rFonts w:ascii="MS PGothic" w:hAnsi="MS PGothic" w:eastAsia="MS PGothic"/>
                <w:b w:val="0"/>
                <w:color w:val="000000"/>
                <w:sz w:val="18"/>
              </w:rPr>
              <w:t>ほぼ無傷・白色断熱層が残存</w:t>
            </w:r>
          </w:p>
        </w:tc>
      </w:tr>
    </w:tbl>
    <w:p>
      <w:pPr>
        <w:spacing w:before="0" w:after="60"/>
      </w:pPr>
    </w:p>
    <w:p>
      <w:pPr>
        <w:spacing w:before="60" w:after="0" w:lineRule="exact" w:line="280"/>
      </w:pPr>
      <w:r>
        <w:rPr>
          <w:rFonts w:ascii="MS PGothic" w:hAnsi="MS PGothic" w:eastAsia="MS PGothic"/>
          <w:b/>
          <w:color w:val="000000"/>
          <w:sz w:val="20"/>
        </w:rPr>
        <w:t>・表面状態の比較（120 秒・300 秒）とタイムラプス観察</w:t>
      </w:r>
    </w:p>
    <w:p>
      <w:pPr>
        <w:spacing w:before="0" w:after="40" w:lineRule="exact" w:line="280"/>
        <w:ind w:firstLine="227"/>
      </w:pPr>
      <w:r>
        <w:rPr>
          <w:rFonts w:ascii="MS PGothic" w:hAnsi="MS PGothic" w:eastAsia="MS PGothic"/>
          <w:b w:val="0"/>
          <w:color w:val="000000"/>
          <w:sz w:val="19"/>
        </w:rPr>
        <w:t xml:space="preserve">120 秒・300 秒時点の表面写真比較 </w:t>
      </w:r>
      <w:r>
        <w:rPr>
          <w:rFonts w:ascii="MS PGothic" w:hAnsi="MS PGothic" w:eastAsia="MS PGothic"/>
          <w:b/>
          <w:color w:val="000000"/>
          <w:sz w:val="19"/>
        </w:rPr>
        <w:t>(Fig. 3c)</w:t>
      </w:r>
      <w:r>
        <w:rPr>
          <w:rFonts w:ascii="MS PGothic" w:hAnsi="MS PGothic" w:eastAsia="MS PGothic"/>
          <w:b w:val="0"/>
          <w:color w:val="000000"/>
          <w:sz w:val="19"/>
        </w:rPr>
        <w:t xml:space="preserve"> では、水は120秒で既に炭化が顕著、AquaGel-K は水分蒸発とともに保護を失い300秒で一様に黒く炭化したのに対し、本研究の WEG は300秒時点でも表面がほぼ無傷のまま白色の断熱層（エアロゲル層）に覆われていた。燃焼過程のタイムラプス撮影 </w:t>
      </w:r>
      <w:r>
        <w:rPr>
          <w:rFonts w:ascii="MS PGothic" w:hAnsi="MS PGothic" w:eastAsia="MS PGothic"/>
          <w:b/>
          <w:color w:val="000000"/>
          <w:sz w:val="19"/>
        </w:rPr>
        <w:t>(Fig. 3d)</w:t>
      </w:r>
      <w:r>
        <w:rPr>
          <w:rFonts w:ascii="MS PGothic" w:hAnsi="MS PGothic" w:eastAsia="MS PGothic"/>
          <w:b w:val="0"/>
          <w:color w:val="000000"/>
          <w:sz w:val="19"/>
        </w:rPr>
        <w:t xml:space="preserve"> により保護メカニズムの本質的な違いが可視化された：</w:t>
      </w:r>
      <w:r>
        <w:rPr>
          <w:rFonts w:ascii="MS PGothic" w:hAnsi="MS PGothic" w:eastAsia="MS PGothic"/>
          <w:b/>
          <w:color w:val="000000"/>
          <w:sz w:val="19"/>
        </w:rPr>
        <w:t>水</w:t>
      </w:r>
      <w:r>
        <w:rPr>
          <w:rFonts w:ascii="MS PGothic" w:hAnsi="MS PGothic" w:eastAsia="MS PGothic"/>
          <w:b w:val="0"/>
          <w:color w:val="000000"/>
          <w:sz w:val="19"/>
        </w:rPr>
        <w:t>は加熱とともに即座に蒸発・流失し保護はほぼ瞬時に終了。</w:t>
      </w:r>
      <w:r>
        <w:rPr>
          <w:rFonts w:ascii="MS PGothic" w:hAnsi="MS PGothic" w:eastAsia="MS PGothic"/>
          <w:b/>
          <w:color w:val="000000"/>
          <w:sz w:val="19"/>
        </w:rPr>
        <w:t>AquaGel-K</w:t>
      </w:r>
      <w:r>
        <w:rPr>
          <w:rFonts w:ascii="MS PGothic" w:hAnsi="MS PGothic" w:eastAsia="MS PGothic"/>
          <w:b w:val="0"/>
          <w:color w:val="000000"/>
          <w:sz w:val="19"/>
        </w:rPr>
        <w:t>は保持水分が蒸発するまでは保護するが水が飛んだ時点で終了。</w:t>
      </w:r>
      <w:r>
        <w:rPr>
          <w:rFonts w:ascii="MS PGothic" w:hAnsi="MS PGothic" w:eastAsia="MS PGothic"/>
          <w:b/>
          <w:color w:val="000000"/>
          <w:sz w:val="19"/>
        </w:rPr>
        <w:t>本研究 WEG</w:t>
      </w:r>
      <w:r>
        <w:rPr>
          <w:rFonts w:ascii="MS PGothic" w:hAnsi="MS PGothic" w:eastAsia="MS PGothic"/>
          <w:b w:val="0"/>
          <w:color w:val="000000"/>
          <w:sz w:val="19"/>
        </w:rPr>
        <w:t>は水分蒸発と同時にゲルが発泡・膨張して白色の多孔質エアロゲル層を形成し、この固体断熱層が7分以上にわたって木材を保護し続けた。写真中の白色の「モコモコ」した膨張層がその場生成したシリカエアロゲルである。つまり他製品が</w:t>
      </w:r>
      <w:r>
        <w:rPr>
          <w:rFonts w:ascii="MS PGothic" w:hAnsi="MS PGothic" w:eastAsia="MS PGothic"/>
          <w:b/>
          <w:color w:val="000000"/>
          <w:sz w:val="19"/>
        </w:rPr>
        <w:t>「水が飛んだら終わり」</w:t>
      </w:r>
      <w:r>
        <w:rPr>
          <w:rFonts w:ascii="MS PGothic" w:hAnsi="MS PGothic" w:eastAsia="MS PGothic"/>
          <w:b w:val="0"/>
          <w:color w:val="000000"/>
          <w:sz w:val="19"/>
        </w:rPr>
        <w:t>であるのに対し、本ゲルは</w:t>
      </w:r>
      <w:r>
        <w:rPr>
          <w:rFonts w:ascii="MS PGothic" w:hAnsi="MS PGothic" w:eastAsia="MS PGothic"/>
          <w:b/>
          <w:color w:val="000000"/>
          <w:sz w:val="19"/>
        </w:rPr>
        <w:t>「水が飛んでからが本番」</w:t>
      </w:r>
      <w:r>
        <w:rPr>
          <w:rFonts w:ascii="MS PGothic" w:hAnsi="MS PGothic" w:eastAsia="MS PGothic"/>
          <w:b w:val="0"/>
          <w:color w:val="000000"/>
          <w:sz w:val="19"/>
        </w:rPr>
        <w:t>という正反対の動作原理を持つ点が決定的な差別化要因である。</w:t>
      </w:r>
    </w:p>
    <w:tbl>
      <w:tblPr>
        <w:tblStyle w:val="TableGrid"/>
        <w:tblW w:type="auto" w:w="0"/>
        <w:jc w:val="center"/>
        <w:tblLook w:firstColumn="1" w:firstRow="1" w:lastColumn="0" w:lastRow="0" w:noHBand="0" w:noVBand="1" w:val="04A0"/>
      </w:tblPr>
      <w:tblGrid>
        <w:gridCol w:w="9972"/>
      </w:tblGrid>
      <w:tr>
        <w:trPr>
          <w:trHeight w:val="3402" w:hRule="exact"/>
        </w:trPr>
        <w:tc>
          <w:tcPr>
            <w:tcW w:type="dxa" w:w="9972"/>
            <w:tcW w:w="9360" w:type="dxa"/>
            <w:vAlign w:val="center"/>
          </w:tcPr>
          <w:p>
            <w:pPr>
              <w:spacing w:before="0" w:after="0"/>
              <w:jc w:val="center"/>
            </w:pPr>
            <w:r>
              <w:rPr>
                <w:rFonts w:ascii="MS PGothic" w:hAnsi="MS PGothic" w:eastAsia="MS PGothic"/>
                <w:b w:val="0"/>
                <w:color w:val="000000"/>
                <w:sz w:val="18"/>
              </w:rPr>
              <w:t>［図挿入欄］Fig. 3a–d：(a) 燃焼試験セットアップ（MAP-Proトーチ・合板）、(b) 5配合の Time to char 棒グラフ（n≥3）、(c) 120s/300s 表面状態写真、(d) タイムラプス比較（0/30/60/120/300s）</w:t>
            </w:r>
          </w:p>
        </w:tc>
      </w:tr>
    </w:tbl>
    <w:p>
      <w:pPr>
        <w:spacing w:before="0" w:after="40"/>
      </w:pPr>
    </w:p>
    <w:p>
      <w:pPr>
        <w:spacing w:before="120" w:after="20" w:lineRule="exact" w:line="300"/>
      </w:pPr>
      <w:r>
        <w:rPr>
          <w:rFonts w:ascii="MS PGothic" w:hAnsi="MS PGothic" w:eastAsia="MS PGothic"/>
          <w:b/>
          <w:color w:val="000000"/>
          <w:sz w:val="21"/>
        </w:rPr>
        <w:t>5. 化学・熱分析によるメカニズムの裏付け（Figure 4, 5）</w:t>
      </w:r>
    </w:p>
    <w:p>
      <w:pPr>
        <w:spacing w:before="60" w:after="0" w:lineRule="exact" w:line="280"/>
      </w:pPr>
      <w:r>
        <w:rPr>
          <w:rFonts w:ascii="MS PGothic" w:hAnsi="MS PGothic" w:eastAsia="MS PGothic"/>
          <w:b/>
          <w:color w:val="000000"/>
          <w:sz w:val="20"/>
        </w:rPr>
        <w:t>・FT-IR：燃焼前後のスペクトル変化（Fig. 4a–b）</w:t>
      </w:r>
    </w:p>
    <w:p>
      <w:pPr>
        <w:spacing w:before="0" w:after="40" w:lineRule="exact" w:line="280"/>
        <w:ind w:firstLine="227"/>
      </w:pPr>
      <w:r>
        <w:rPr>
          <w:rFonts w:ascii="MS PGothic" w:hAnsi="MS PGothic" w:eastAsia="MS PGothic"/>
          <w:b w:val="0"/>
          <w:color w:val="000000"/>
          <w:sz w:val="19"/>
        </w:rPr>
        <w:t>燃焼</w:t>
      </w:r>
      <w:r>
        <w:rPr>
          <w:rFonts w:ascii="MS PGothic" w:hAnsi="MS PGothic" w:eastAsia="MS PGothic"/>
          <w:b/>
          <w:color w:val="000000"/>
          <w:sz w:val="19"/>
        </w:rPr>
        <w:t>前</w:t>
      </w:r>
      <w:r>
        <w:rPr>
          <w:rFonts w:ascii="MS PGothic" w:hAnsi="MS PGothic" w:eastAsia="MS PGothic"/>
          <w:b w:val="0"/>
          <w:color w:val="000000"/>
          <w:sz w:val="19"/>
        </w:rPr>
        <w:t>：O–H 伸縮（～3400 cm⁻¹）および C–H 伸縮（～2900 cm⁻¹）の明瞭なピークが存在し、セルロース有機成分の存在を示す。燃焼</w:t>
      </w:r>
      <w:r>
        <w:rPr>
          <w:rFonts w:ascii="MS PGothic" w:hAnsi="MS PGothic" w:eastAsia="MS PGothic"/>
          <w:b/>
          <w:color w:val="000000"/>
          <w:sz w:val="19"/>
        </w:rPr>
        <w:t>後</w:t>
      </w:r>
      <w:r>
        <w:rPr>
          <w:rFonts w:ascii="MS PGothic" w:hAnsi="MS PGothic" w:eastAsia="MS PGothic"/>
          <w:b w:val="0"/>
          <w:color w:val="000000"/>
          <w:sz w:val="19"/>
        </w:rPr>
        <w:t xml:space="preserve">：O–H・C–H ピークが完全に消失し、Si–O–Si ピーク（～1100 cm⁻¹）が顕著に増強・先鋭化して純粋なシリカ構造の形成を示す。両配合（HEC+MC 系・MHEC 系）で同様の変化が確認された </w:t>
      </w:r>
      <w:r>
        <w:rPr>
          <w:rFonts w:ascii="MS PGothic" w:hAnsi="MS PGothic" w:eastAsia="MS PGothic"/>
          <w:b/>
          <w:color w:val="000000"/>
          <w:sz w:val="19"/>
        </w:rPr>
        <w:t>(Fig. 4a–b)</w:t>
      </w:r>
      <w:r>
        <w:rPr>
          <w:rFonts w:ascii="MS PGothic" w:hAnsi="MS PGothic" w:eastAsia="MS PGothic"/>
          <w:b w:val="0"/>
          <w:color w:val="000000"/>
          <w:sz w:val="19"/>
        </w:rPr>
        <w:t>。これはゲルが火炎によって有機セルロース成分を失い無機シリカ骨格のみが残存することを化学結合レベルで直接裏付ける。</w:t>
      </w:r>
    </w:p>
    <w:p>
      <w:pPr>
        <w:spacing w:before="60" w:after="0" w:lineRule="exact" w:line="280"/>
      </w:pPr>
      <w:r>
        <w:rPr>
          <w:rFonts w:ascii="MS PGothic" w:hAnsi="MS PGothic" w:eastAsia="MS PGothic"/>
          <w:b/>
          <w:color w:val="000000"/>
          <w:sz w:val="20"/>
        </w:rPr>
        <w:t>・XPS：元素組成の定量（Fig. 4c–d）</w:t>
      </w:r>
    </w:p>
    <w:p>
      <w:pPr>
        <w:spacing w:before="0" w:after="40" w:lineRule="exact" w:line="280"/>
        <w:ind w:firstLine="227"/>
      </w:pPr>
      <w:r>
        <w:rPr>
          <w:rFonts w:ascii="MS PGothic" w:hAnsi="MS PGothic" w:eastAsia="MS PGothic"/>
          <w:b w:val="0"/>
          <w:color w:val="000000"/>
          <w:sz w:val="19"/>
        </w:rPr>
        <w:t>XPS による表面元素組成の定量結果：</w:t>
      </w:r>
      <w:r>
        <w:rPr>
          <w:rFonts w:ascii="MS PGothic" w:hAnsi="MS PGothic" w:eastAsia="MS PGothic"/>
          <w:b/>
          <w:color w:val="000000"/>
          <w:sz w:val="19"/>
        </w:rPr>
        <w:t>MHEC 系</w:t>
      </w:r>
      <w:r>
        <w:rPr>
          <w:rFonts w:ascii="MS PGothic" w:hAnsi="MS PGothic" w:eastAsia="MS PGothic"/>
          <w:b w:val="0"/>
          <w:color w:val="000000"/>
          <w:sz w:val="19"/>
        </w:rPr>
        <w:t xml:space="preserve">では燃焼前 </w:t>
      </w:r>
      <w:r>
        <w:rPr>
          <w:rFonts w:ascii="MS PGothic" w:hAnsi="MS PGothic" w:eastAsia="MS PGothic"/>
          <w:b/>
          <w:color w:val="000000"/>
          <w:sz w:val="19"/>
        </w:rPr>
        <w:t>C = 38.3 at%</w:t>
      </w:r>
      <w:r>
        <w:rPr>
          <w:rFonts w:ascii="MS PGothic" w:hAnsi="MS PGothic" w:eastAsia="MS PGothic"/>
          <w:b w:val="0"/>
          <w:color w:val="000000"/>
          <w:sz w:val="19"/>
        </w:rPr>
        <w:t xml:space="preserve"> → 燃焼後 </w:t>
      </w:r>
      <w:r>
        <w:rPr>
          <w:rFonts w:ascii="MS PGothic" w:hAnsi="MS PGothic" w:eastAsia="MS PGothic"/>
          <w:b/>
          <w:color w:val="000000"/>
          <w:sz w:val="19"/>
        </w:rPr>
        <w:t>C = 4.8 at%</w:t>
      </w:r>
      <w:r>
        <w:rPr>
          <w:rFonts w:ascii="MS PGothic" w:hAnsi="MS PGothic" w:eastAsia="MS PGothic"/>
          <w:b w:val="0"/>
          <w:color w:val="000000"/>
          <w:sz w:val="19"/>
        </w:rPr>
        <w:t>（約87%の炭素減少）</w:t>
      </w:r>
      <w:r>
        <w:rPr>
          <w:rFonts w:ascii="MS PGothic" w:hAnsi="MS PGothic" w:eastAsia="MS PGothic"/>
          <w:b/>
          <w:color w:val="000000"/>
          <w:sz w:val="19"/>
        </w:rPr>
        <w:t>(Fig. 4c)</w:t>
      </w:r>
      <w:r>
        <w:rPr>
          <w:rFonts w:ascii="MS PGothic" w:hAnsi="MS PGothic" w:eastAsia="MS PGothic"/>
          <w:b w:val="0"/>
          <w:color w:val="000000"/>
          <w:sz w:val="19"/>
        </w:rPr>
        <w:t>。</w:t>
      </w:r>
      <w:r>
        <w:rPr>
          <w:rFonts w:ascii="MS PGothic" w:hAnsi="MS PGothic" w:eastAsia="MS PGothic"/>
          <w:b/>
          <w:color w:val="000000"/>
          <w:sz w:val="19"/>
        </w:rPr>
        <w:t>HEC+MC 系</w:t>
      </w:r>
      <w:r>
        <w:rPr>
          <w:rFonts w:ascii="MS PGothic" w:hAnsi="MS PGothic" w:eastAsia="MS PGothic"/>
          <w:b w:val="0"/>
          <w:color w:val="000000"/>
          <w:sz w:val="19"/>
        </w:rPr>
        <w:t xml:space="preserve">でも同等の大幅な炭素減少が確認された </w:t>
      </w:r>
      <w:r>
        <w:rPr>
          <w:rFonts w:ascii="MS PGothic" w:hAnsi="MS PGothic" w:eastAsia="MS PGothic"/>
          <w:b/>
          <w:color w:val="000000"/>
          <w:sz w:val="19"/>
        </w:rPr>
        <w:t>(Fig. 4d)</w:t>
      </w:r>
      <w:r>
        <w:rPr>
          <w:rFonts w:ascii="MS PGothic" w:hAnsi="MS PGothic" w:eastAsia="MS PGothic"/>
          <w:b w:val="0"/>
          <w:color w:val="000000"/>
          <w:sz w:val="19"/>
        </w:rPr>
        <w:t>。Si と O の組成比は燃焼後に増加し、SiO₂ 化学量論比に近づいた。化学・熱分析の主要数値を Table 6 にまとめる。</w:t>
      </w:r>
    </w:p>
    <w:p>
      <w:pPr>
        <w:spacing w:before="20" w:after="60" w:lineRule="exact" w:line="240"/>
      </w:pPr>
      <w:r>
        <w:rPr>
          <w:rFonts w:ascii="MS PGothic" w:hAnsi="MS PGothic" w:eastAsia="MS PGothic"/>
          <w:b/>
          <w:color w:val="000000"/>
          <w:sz w:val="17"/>
        </w:rPr>
        <w:t>Table 6. 化学・熱分析の主要データ</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W w:w="1700" w:type="dxa"/>
          </w:tcPr>
          <w:p>
            <w:pPr>
              <w:spacing w:before="20" w:after="20" w:lineRule="exact" w:line="240"/>
              <w:jc w:val="center"/>
            </w:pPr>
            <w:r>
              <w:rPr>
                <w:rFonts w:ascii="MS PGothic" w:hAnsi="MS PGothic" w:eastAsia="MS PGothic"/>
                <w:b/>
                <w:color w:val="000000"/>
                <w:sz w:val="18"/>
              </w:rPr>
              <w:t>分析</w:t>
            </w:r>
          </w:p>
        </w:tc>
        <w:tc>
          <w:tcPr>
            <w:tcW w:type="dxa" w:w="2493"/>
            <w:vAlign w:val="center"/>
            <w:tcW w:w="2400" w:type="dxa"/>
          </w:tcPr>
          <w:p>
            <w:pPr>
              <w:spacing w:before="20" w:after="20" w:lineRule="exact" w:line="240"/>
              <w:jc w:val="center"/>
            </w:pPr>
            <w:r>
              <w:rPr>
                <w:rFonts w:ascii="MS PGothic" w:hAnsi="MS PGothic" w:eastAsia="MS PGothic"/>
                <w:b/>
                <w:color w:val="000000"/>
                <w:sz w:val="18"/>
              </w:rPr>
              <w:t>指標</w:t>
            </w:r>
          </w:p>
        </w:tc>
        <w:tc>
          <w:tcPr>
            <w:tcW w:type="dxa" w:w="2493"/>
            <w:vAlign w:val="center"/>
            <w:tcW w:w="2300" w:type="dxa"/>
          </w:tcPr>
          <w:p>
            <w:pPr>
              <w:spacing w:before="20" w:after="20" w:lineRule="exact" w:line="240"/>
              <w:jc w:val="center"/>
            </w:pPr>
            <w:r>
              <w:rPr>
                <w:rFonts w:ascii="MS PGothic" w:hAnsi="MS PGothic" w:eastAsia="MS PGothic"/>
                <w:b/>
                <w:color w:val="000000"/>
                <w:sz w:val="18"/>
              </w:rPr>
              <w:t>燃焼前 / 加熱前</w:t>
            </w:r>
          </w:p>
        </w:tc>
        <w:tc>
          <w:tcPr>
            <w:tcW w:type="dxa" w:w="2493"/>
            <w:vAlign w:val="center"/>
            <w:tcW w:w="2460" w:type="dxa"/>
          </w:tcPr>
          <w:p>
            <w:pPr>
              <w:spacing w:before="20" w:after="20" w:lineRule="exact" w:line="240"/>
              <w:jc w:val="center"/>
            </w:pPr>
            <w:r>
              <w:rPr>
                <w:rFonts w:ascii="MS PGothic" w:hAnsi="MS PGothic" w:eastAsia="MS PGothic"/>
                <w:b/>
                <w:color w:val="000000"/>
                <w:sz w:val="18"/>
              </w:rPr>
              <w:t>燃焼後 / 加熱後</w:t>
            </w:r>
          </w:p>
        </w:tc>
      </w:tr>
      <w:tr>
        <w:tc>
          <w:tcPr>
            <w:tcW w:type="dxa" w:w="2493"/>
            <w:vAlign w:val="center"/>
            <w:tcW w:w="1700" w:type="dxa"/>
          </w:tcPr>
          <w:p>
            <w:pPr>
              <w:spacing w:before="20" w:after="20" w:lineRule="exact" w:line="240"/>
              <w:jc w:val="left"/>
            </w:pPr>
            <w:r>
              <w:rPr>
                <w:rFonts w:ascii="MS PGothic" w:hAnsi="MS PGothic" w:eastAsia="MS PGothic"/>
                <w:b w:val="0"/>
                <w:color w:val="000000"/>
                <w:sz w:val="18"/>
              </w:rPr>
              <w:t>FT-IR</w:t>
            </w:r>
          </w:p>
        </w:tc>
        <w:tc>
          <w:tcPr>
            <w:tcW w:type="dxa" w:w="2493"/>
            <w:vAlign w:val="center"/>
            <w:tcW w:w="2400" w:type="dxa"/>
          </w:tcPr>
          <w:p>
            <w:pPr>
              <w:spacing w:before="20" w:after="20" w:lineRule="exact" w:line="240"/>
              <w:jc w:val="center"/>
            </w:pPr>
            <w:r>
              <w:rPr>
                <w:rFonts w:ascii="MS PGothic" w:hAnsi="MS PGothic" w:eastAsia="MS PGothic"/>
                <w:b w:val="0"/>
                <w:color w:val="000000"/>
                <w:sz w:val="18"/>
              </w:rPr>
              <w:t>O–H, C–H（～3400/2900）</w:t>
            </w:r>
          </w:p>
        </w:tc>
        <w:tc>
          <w:tcPr>
            <w:tcW w:type="dxa" w:w="2493"/>
            <w:vAlign w:val="center"/>
            <w:tcW w:w="2300" w:type="dxa"/>
          </w:tcPr>
          <w:p>
            <w:pPr>
              <w:spacing w:before="20" w:after="20" w:lineRule="exact" w:line="240"/>
              <w:jc w:val="center"/>
            </w:pPr>
            <w:r>
              <w:rPr>
                <w:rFonts w:ascii="MS PGothic" w:hAnsi="MS PGothic" w:eastAsia="MS PGothic"/>
                <w:b w:val="0"/>
                <w:color w:val="000000"/>
                <w:sz w:val="18"/>
              </w:rPr>
              <w:t>明瞭に存在</w:t>
            </w:r>
          </w:p>
        </w:tc>
        <w:tc>
          <w:tcPr>
            <w:tcW w:type="dxa" w:w="2493"/>
            <w:vAlign w:val="center"/>
            <w:tcW w:w="2460" w:type="dxa"/>
          </w:tcPr>
          <w:p>
            <w:pPr>
              <w:spacing w:before="20" w:after="20" w:lineRule="exact" w:line="240"/>
              <w:jc w:val="center"/>
            </w:pPr>
            <w:r>
              <w:rPr>
                <w:rFonts w:ascii="MS PGothic" w:hAnsi="MS PGothic" w:eastAsia="MS PGothic"/>
                <w:b w:val="0"/>
                <w:color w:val="000000"/>
                <w:sz w:val="18"/>
              </w:rPr>
              <w:t>消失</w:t>
            </w:r>
          </w:p>
        </w:tc>
      </w:tr>
      <w:tr>
        <w:tc>
          <w:tcPr>
            <w:tcW w:type="dxa" w:w="2493"/>
            <w:vAlign w:val="center"/>
            <w:tcW w:w="1700" w:type="dxa"/>
          </w:tcPr>
          <w:p>
            <w:pPr>
              <w:spacing w:before="20" w:after="20" w:lineRule="exact" w:line="240"/>
              <w:jc w:val="left"/>
            </w:pPr>
            <w:r>
              <w:rPr>
                <w:rFonts w:ascii="MS PGothic" w:hAnsi="MS PGothic" w:eastAsia="MS PGothic"/>
                <w:b w:val="0"/>
                <w:color w:val="000000"/>
                <w:sz w:val="18"/>
              </w:rPr>
              <w:t>FT-IR</w:t>
            </w:r>
          </w:p>
        </w:tc>
        <w:tc>
          <w:tcPr>
            <w:tcW w:type="dxa" w:w="2493"/>
            <w:vAlign w:val="center"/>
            <w:tcW w:w="2400" w:type="dxa"/>
          </w:tcPr>
          <w:p>
            <w:pPr>
              <w:spacing w:before="20" w:after="20" w:lineRule="exact" w:line="240"/>
              <w:jc w:val="center"/>
            </w:pPr>
            <w:r>
              <w:rPr>
                <w:rFonts w:ascii="MS PGothic" w:hAnsi="MS PGothic" w:eastAsia="MS PGothic"/>
                <w:b w:val="0"/>
                <w:color w:val="000000"/>
                <w:sz w:val="18"/>
              </w:rPr>
              <w:t>Si–O–Si（～1100 cm⁻¹）</w:t>
            </w:r>
          </w:p>
        </w:tc>
        <w:tc>
          <w:tcPr>
            <w:tcW w:type="dxa" w:w="2493"/>
            <w:vAlign w:val="center"/>
            <w:tcW w:w="2300" w:type="dxa"/>
          </w:tcPr>
          <w:p>
            <w:pPr>
              <w:spacing w:before="20" w:after="20" w:lineRule="exact" w:line="240"/>
              <w:jc w:val="center"/>
            </w:pPr>
            <w:r>
              <w:rPr>
                <w:rFonts w:ascii="MS PGothic" w:hAnsi="MS PGothic" w:eastAsia="MS PGothic"/>
                <w:b w:val="0"/>
                <w:color w:val="000000"/>
                <w:sz w:val="18"/>
              </w:rPr>
              <w:t>ブロード</w:t>
            </w:r>
          </w:p>
        </w:tc>
        <w:tc>
          <w:tcPr>
            <w:tcW w:type="dxa" w:w="2493"/>
            <w:vAlign w:val="center"/>
            <w:tcW w:w="2460" w:type="dxa"/>
          </w:tcPr>
          <w:p>
            <w:pPr>
              <w:spacing w:before="20" w:after="20" w:lineRule="exact" w:line="240"/>
              <w:jc w:val="center"/>
            </w:pPr>
            <w:r>
              <w:rPr>
                <w:rFonts w:ascii="MS PGothic" w:hAnsi="MS PGothic" w:eastAsia="MS PGothic"/>
                <w:b w:val="0"/>
                <w:color w:val="000000"/>
                <w:sz w:val="18"/>
              </w:rPr>
              <w:t>増強・先鋭化</w:t>
            </w:r>
          </w:p>
        </w:tc>
      </w:tr>
      <w:tr>
        <w:tc>
          <w:tcPr>
            <w:tcW w:type="dxa" w:w="2493"/>
            <w:vAlign w:val="center"/>
            <w:tcW w:w="1700" w:type="dxa"/>
          </w:tcPr>
          <w:p>
            <w:pPr>
              <w:spacing w:before="20" w:after="20" w:lineRule="exact" w:line="240"/>
              <w:jc w:val="left"/>
            </w:pPr>
            <w:r>
              <w:rPr>
                <w:rFonts w:ascii="MS PGothic" w:hAnsi="MS PGothic" w:eastAsia="MS PGothic"/>
                <w:b w:val="0"/>
                <w:color w:val="000000"/>
                <w:sz w:val="18"/>
              </w:rPr>
              <w:t>XPS（MHEC系）</w:t>
            </w:r>
          </w:p>
        </w:tc>
        <w:tc>
          <w:tcPr>
            <w:tcW w:type="dxa" w:w="2493"/>
            <w:vAlign w:val="center"/>
            <w:tcW w:w="2400" w:type="dxa"/>
          </w:tcPr>
          <w:p>
            <w:pPr>
              <w:spacing w:before="20" w:after="20" w:lineRule="exact" w:line="240"/>
              <w:jc w:val="center"/>
            </w:pPr>
            <w:r>
              <w:rPr>
                <w:rFonts w:ascii="MS PGothic" w:hAnsi="MS PGothic" w:eastAsia="MS PGothic"/>
                <w:b w:val="0"/>
                <w:color w:val="000000"/>
                <w:sz w:val="18"/>
              </w:rPr>
              <w:t>炭素組成 C 1s</w:t>
            </w:r>
          </w:p>
        </w:tc>
        <w:tc>
          <w:tcPr>
            <w:tcW w:type="dxa" w:w="2493"/>
            <w:vAlign w:val="center"/>
            <w:tcW w:w="2300" w:type="dxa"/>
          </w:tcPr>
          <w:p>
            <w:pPr>
              <w:spacing w:before="20" w:after="20" w:lineRule="exact" w:line="240"/>
              <w:jc w:val="center"/>
            </w:pPr>
            <w:r>
              <w:rPr>
                <w:rFonts w:ascii="MS PGothic" w:hAnsi="MS PGothic" w:eastAsia="MS PGothic"/>
                <w:b w:val="0"/>
                <w:color w:val="000000"/>
                <w:sz w:val="18"/>
              </w:rPr>
              <w:t>38.3 at%</w:t>
            </w:r>
          </w:p>
        </w:tc>
        <w:tc>
          <w:tcPr>
            <w:tcW w:type="dxa" w:w="2493"/>
            <w:vAlign w:val="center"/>
            <w:tcW w:w="2460" w:type="dxa"/>
          </w:tcPr>
          <w:p>
            <w:pPr>
              <w:spacing w:before="20" w:after="20" w:lineRule="exact" w:line="240"/>
              <w:jc w:val="center"/>
            </w:pPr>
            <w:r>
              <w:rPr>
                <w:rFonts w:ascii="MS PGothic" w:hAnsi="MS PGothic" w:eastAsia="MS PGothic"/>
                <w:b w:val="0"/>
                <w:color w:val="000000"/>
                <w:sz w:val="18"/>
              </w:rPr>
              <w:t>4.8 at%（約87%減）</w:t>
            </w:r>
          </w:p>
        </w:tc>
      </w:tr>
      <w:tr>
        <w:tc>
          <w:tcPr>
            <w:tcW w:type="dxa" w:w="2493"/>
            <w:vAlign w:val="center"/>
            <w:tcW w:w="1700" w:type="dxa"/>
          </w:tcPr>
          <w:p>
            <w:pPr>
              <w:spacing w:before="20" w:after="20" w:lineRule="exact" w:line="240"/>
              <w:jc w:val="left"/>
            </w:pPr>
            <w:r>
              <w:rPr>
                <w:rFonts w:ascii="MS PGothic" w:hAnsi="MS PGothic" w:eastAsia="MS PGothic"/>
                <w:b w:val="0"/>
                <w:color w:val="000000"/>
                <w:sz w:val="18"/>
              </w:rPr>
              <w:t>TGA</w:t>
            </w:r>
          </w:p>
        </w:tc>
        <w:tc>
          <w:tcPr>
            <w:tcW w:type="dxa" w:w="2493"/>
            <w:vAlign w:val="center"/>
            <w:tcW w:w="2400" w:type="dxa"/>
          </w:tcPr>
          <w:p>
            <w:pPr>
              <w:spacing w:before="20" w:after="20" w:lineRule="exact" w:line="240"/>
              <w:jc w:val="center"/>
            </w:pPr>
            <w:r>
              <w:rPr>
                <w:rFonts w:ascii="MS PGothic" w:hAnsi="MS PGothic" w:eastAsia="MS PGothic"/>
                <w:b w:val="0"/>
                <w:color w:val="000000"/>
                <w:sz w:val="18"/>
              </w:rPr>
              <w:t>主分解温度 / 残渣</w:t>
            </w:r>
          </w:p>
        </w:tc>
        <w:tc>
          <w:tcPr>
            <w:tcW w:type="dxa" w:w="2493"/>
            <w:vAlign w:val="center"/>
            <w:tcW w:w="2300" w:type="dxa"/>
          </w:tcPr>
          <w:p>
            <w:pPr>
              <w:spacing w:before="20" w:after="20" w:lineRule="exact" w:line="240"/>
              <w:jc w:val="center"/>
            </w:pPr>
            <w:r>
              <w:rPr>
                <w:rFonts w:ascii="MS PGothic" w:hAnsi="MS PGothic" w:eastAsia="MS PGothic"/>
                <w:b w:val="0"/>
                <w:color w:val="000000"/>
                <w:sz w:val="18"/>
              </w:rPr>
              <w:t>有機鎖 約280℃</w:t>
            </w:r>
          </w:p>
        </w:tc>
        <w:tc>
          <w:tcPr>
            <w:tcW w:type="dxa" w:w="2493"/>
            <w:vAlign w:val="center"/>
            <w:tcW w:w="2460" w:type="dxa"/>
          </w:tcPr>
          <w:p>
            <w:pPr>
              <w:spacing w:before="20" w:after="20" w:lineRule="exact" w:line="240"/>
              <w:jc w:val="center"/>
            </w:pPr>
            <w:r>
              <w:rPr>
                <w:rFonts w:ascii="MS PGothic" w:hAnsi="MS PGothic" w:eastAsia="MS PGothic"/>
                <w:b w:val="0"/>
                <w:color w:val="000000"/>
                <w:sz w:val="18"/>
              </w:rPr>
              <w:t>シリカ残渣 5〜8 wt%</w:t>
            </w:r>
          </w:p>
        </w:tc>
      </w:tr>
      <w:tr>
        <w:tc>
          <w:tcPr>
            <w:tcW w:type="dxa" w:w="2493"/>
            <w:vAlign w:val="center"/>
            <w:tcW w:w="1700" w:type="dxa"/>
          </w:tcPr>
          <w:p>
            <w:pPr>
              <w:spacing w:before="20" w:after="20" w:lineRule="exact" w:line="240"/>
              <w:jc w:val="left"/>
            </w:pPr>
            <w:r>
              <w:rPr>
                <w:rFonts w:ascii="MS PGothic" w:hAnsi="MS PGothic" w:eastAsia="MS PGothic"/>
                <w:b w:val="0"/>
                <w:color w:val="000000"/>
                <w:sz w:val="18"/>
              </w:rPr>
              <w:t>TGA/DSC</w:t>
            </w:r>
          </w:p>
        </w:tc>
        <w:tc>
          <w:tcPr>
            <w:tcW w:type="dxa" w:w="2493"/>
            <w:vAlign w:val="center"/>
            <w:tcW w:w="2400" w:type="dxa"/>
          </w:tcPr>
          <w:p>
            <w:pPr>
              <w:spacing w:before="20" w:after="20" w:lineRule="exact" w:line="240"/>
              <w:jc w:val="center"/>
            </w:pPr>
            <w:r>
              <w:rPr>
                <w:rFonts w:ascii="MS PGothic" w:hAnsi="MS PGothic" w:eastAsia="MS PGothic"/>
                <w:b w:val="0"/>
                <w:color w:val="000000"/>
                <w:sz w:val="18"/>
              </w:rPr>
              <w:t>焼結開始 vs 分解開始</w:t>
            </w:r>
          </w:p>
        </w:tc>
        <w:tc>
          <w:tcPr>
            <w:tcW w:type="dxa" w:w="2493"/>
            <w:vAlign w:val="center"/>
            <w:tcW w:w="2300" w:type="dxa"/>
          </w:tcPr>
          <w:p>
            <w:pPr>
              <w:spacing w:before="20" w:after="20" w:lineRule="exact" w:line="240"/>
              <w:jc w:val="center"/>
            </w:pPr>
            <w:r>
              <w:rPr>
                <w:rFonts w:ascii="MS PGothic" w:hAnsi="MS PGothic" w:eastAsia="MS PGothic"/>
                <w:b w:val="0"/>
                <w:color w:val="000000"/>
                <w:sz w:val="18"/>
              </w:rPr>
              <w:t>CSP 約200℃</w:t>
            </w:r>
          </w:p>
        </w:tc>
        <w:tc>
          <w:tcPr>
            <w:tcW w:type="dxa" w:w="2493"/>
            <w:vAlign w:val="center"/>
            <w:tcW w:w="2460" w:type="dxa"/>
          </w:tcPr>
          <w:p>
            <w:pPr>
              <w:spacing w:before="20" w:after="20" w:lineRule="exact" w:line="240"/>
              <w:jc w:val="center"/>
            </w:pPr>
            <w:r>
              <w:rPr>
                <w:rFonts w:ascii="MS PGothic" w:hAnsi="MS PGothic" w:eastAsia="MS PGothic"/>
                <w:b w:val="0"/>
                <w:color w:val="000000"/>
                <w:sz w:val="18"/>
              </w:rPr>
              <w:t>セルロース 約280℃</w:t>
            </w:r>
          </w:p>
        </w:tc>
      </w:tr>
    </w:tbl>
    <w:p>
      <w:pPr>
        <w:spacing w:before="0" w:after="60"/>
      </w:pPr>
    </w:p>
    <w:tbl>
      <w:tblPr>
        <w:tblStyle w:val="TableGrid"/>
        <w:tblW w:type="auto" w:w="0"/>
        <w:jc w:val="center"/>
        <w:tblLook w:firstColumn="1" w:firstRow="1" w:lastColumn="0" w:lastRow="0" w:noHBand="0" w:noVBand="1" w:val="04A0"/>
      </w:tblPr>
      <w:tblGrid>
        <w:gridCol w:w="9972"/>
      </w:tblGrid>
      <w:tr>
        <w:trPr>
          <w:trHeight w:val="2835" w:hRule="exact"/>
        </w:trPr>
        <w:tc>
          <w:tcPr>
            <w:tcW w:type="dxa" w:w="9972"/>
            <w:tcW w:w="9360" w:type="dxa"/>
            <w:vAlign w:val="center"/>
          </w:tcPr>
          <w:p>
            <w:pPr>
              <w:spacing w:before="0" w:after="0"/>
              <w:jc w:val="center"/>
            </w:pPr>
            <w:r>
              <w:rPr>
                <w:rFonts w:ascii="MS PGothic" w:hAnsi="MS PGothic" w:eastAsia="MS PGothic"/>
                <w:b w:val="0"/>
                <w:color w:val="000000"/>
                <w:sz w:val="18"/>
              </w:rPr>
              <w:t>［図挿入欄］Fig. 4a–d：燃焼前後の FT-IR スペクトル（a: HEC+MC 系、b: MHEC 系）、XPS 炭素組成比（c: MHEC 38.3→4.8 at%、d: HEC+MC 系）</w:t>
            </w:r>
          </w:p>
        </w:tc>
      </w:tr>
    </w:tbl>
    <w:p>
      <w:pPr>
        <w:spacing w:before="0" w:after="40"/>
      </w:pPr>
    </w:p>
    <w:p>
      <w:pPr>
        <w:spacing w:before="60" w:after="0" w:lineRule="exact" w:line="280"/>
      </w:pPr>
      <w:r>
        <w:rPr>
          <w:rFonts w:ascii="MS PGothic" w:hAnsi="MS PGothic" w:eastAsia="MS PGothic"/>
          <w:b/>
          <w:color w:val="000000"/>
          <w:sz w:val="20"/>
        </w:rPr>
        <w:t>・TGA/DSC：熱分解プロファイル（Fig. 5a）</w:t>
      </w:r>
    </w:p>
    <w:p>
      <w:pPr>
        <w:spacing w:before="0" w:after="40" w:lineRule="exact" w:line="280"/>
        <w:ind w:firstLine="227"/>
      </w:pPr>
      <w:r>
        <w:rPr>
          <w:rFonts w:ascii="MS PGothic" w:hAnsi="MS PGothic" w:eastAsia="MS PGothic"/>
          <w:b w:val="0"/>
          <w:color w:val="000000"/>
          <w:sz w:val="19"/>
        </w:rPr>
        <w:t>TGA 測定の主要結果：</w:t>
      </w:r>
      <w:r>
        <w:rPr>
          <w:rFonts w:ascii="MS PGothic" w:hAnsi="MS PGothic" w:eastAsia="MS PGothic"/>
          <w:b/>
          <w:color w:val="000000"/>
          <w:sz w:val="19"/>
        </w:rPr>
        <w:t>室温〜約200℃</w:t>
      </w:r>
      <w:r>
        <w:rPr>
          <w:rFonts w:ascii="MS PGothic" w:hAnsi="MS PGothic" w:eastAsia="MS PGothic"/>
          <w:b w:val="0"/>
          <w:color w:val="000000"/>
          <w:sz w:val="19"/>
        </w:rPr>
        <w:t>で水分蒸発による初期重量減少（吸熱）、</w:t>
      </w:r>
      <w:r>
        <w:rPr>
          <w:rFonts w:ascii="MS PGothic" w:hAnsi="MS PGothic" w:eastAsia="MS PGothic"/>
          <w:b/>
          <w:color w:val="000000"/>
          <w:sz w:val="19"/>
        </w:rPr>
        <w:t>約200℃〜</w:t>
      </w:r>
      <w:r>
        <w:rPr>
          <w:rFonts w:ascii="MS PGothic" w:hAnsi="MS PGothic" w:eastAsia="MS PGothic"/>
          <w:b w:val="0"/>
          <w:color w:val="000000"/>
          <w:sz w:val="19"/>
        </w:rPr>
        <w:t>で CSP の粒子間ネック形成・焼結が開始、</w:t>
      </w:r>
      <w:r>
        <w:rPr>
          <w:rFonts w:ascii="MS PGothic" w:hAnsi="MS PGothic" w:eastAsia="MS PGothic"/>
          <w:b/>
          <w:color w:val="000000"/>
          <w:sz w:val="19"/>
        </w:rPr>
        <w:t>約280℃付近</w:t>
      </w:r>
      <w:r>
        <w:rPr>
          <w:rFonts w:ascii="MS PGothic" w:hAnsi="MS PGothic" w:eastAsia="MS PGothic"/>
          <w:b w:val="0"/>
          <w:color w:val="000000"/>
          <w:sz w:val="19"/>
        </w:rPr>
        <w:t>でセルロース誘導体の主鎖熱分解が始まり急激な重量減少と発熱ピーク（DSC）が観測される。</w:t>
      </w:r>
      <w:r>
        <w:rPr>
          <w:rFonts w:ascii="MS PGothic" w:hAnsi="MS PGothic" w:eastAsia="MS PGothic"/>
          <w:b/>
          <w:color w:val="000000"/>
          <w:sz w:val="19"/>
        </w:rPr>
        <w:t>約400〜500℃</w:t>
      </w:r>
      <w:r>
        <w:rPr>
          <w:rFonts w:ascii="MS PGothic" w:hAnsi="MS PGothic" w:eastAsia="MS PGothic"/>
          <w:b w:val="0"/>
          <w:color w:val="000000"/>
          <w:sz w:val="19"/>
        </w:rPr>
        <w:t>で有機成分がほぼ完全に分解・揮発し、</w:t>
      </w:r>
      <w:r>
        <w:rPr>
          <w:rFonts w:ascii="MS PGothic" w:hAnsi="MS PGothic" w:eastAsia="MS PGothic"/>
          <w:b/>
          <w:color w:val="000000"/>
          <w:sz w:val="19"/>
        </w:rPr>
        <w:t>600℃超</w:t>
      </w:r>
      <w:r>
        <w:rPr>
          <w:rFonts w:ascii="MS PGothic" w:hAnsi="MS PGothic" w:eastAsia="MS PGothic"/>
          <w:b w:val="0"/>
          <w:color w:val="000000"/>
          <w:sz w:val="19"/>
        </w:rPr>
        <w:t>の残渣は</w:t>
      </w:r>
      <w:r>
        <w:rPr>
          <w:rFonts w:ascii="MS PGothic" w:hAnsi="MS PGothic" w:eastAsia="MS PGothic"/>
          <w:b/>
          <w:color w:val="000000"/>
          <w:sz w:val="19"/>
        </w:rPr>
        <w:t>シリカ約5〜8 wt%</w:t>
      </w:r>
      <w:r>
        <w:rPr>
          <w:rFonts w:ascii="MS PGothic" w:hAnsi="MS PGothic" w:eastAsia="MS PGothic"/>
          <w:b w:val="0"/>
          <w:color w:val="000000"/>
          <w:sz w:val="19"/>
        </w:rPr>
        <w:t xml:space="preserve">（仕込み CSP 5 wt% にほぼ一致）であった </w:t>
      </w:r>
      <w:r>
        <w:rPr>
          <w:rFonts w:ascii="MS PGothic" w:hAnsi="MS PGothic" w:eastAsia="MS PGothic"/>
          <w:b/>
          <w:color w:val="000000"/>
          <w:sz w:val="19"/>
        </w:rPr>
        <w:t>(Fig. 5a)</w:t>
      </w:r>
      <w:r>
        <w:rPr>
          <w:rFonts w:ascii="MS PGothic" w:hAnsi="MS PGothic" w:eastAsia="MS PGothic"/>
          <w:b w:val="0"/>
          <w:color w:val="000000"/>
          <w:sz w:val="19"/>
        </w:rPr>
        <w:t>。CSP 焼結開始（約200℃）とセルロース分解開始（約280℃）の温度重なりが、エアロゲル化の連続性を保証する温度同期性である。</w:t>
      </w:r>
    </w:p>
    <w:p>
      <w:pPr>
        <w:spacing w:before="60" w:after="0" w:lineRule="exact" w:line="280"/>
      </w:pPr>
      <w:r>
        <w:rPr>
          <w:rFonts w:ascii="MS PGothic" w:hAnsi="MS PGothic" w:eastAsia="MS PGothic"/>
          <w:b/>
          <w:color w:val="000000"/>
          <w:sz w:val="20"/>
        </w:rPr>
        <w:t>・断面 SEM：焼結進行の時間分解観察（Fig. 5b）</w:t>
      </w:r>
    </w:p>
    <w:p>
      <w:pPr>
        <w:spacing w:before="0" w:after="40" w:lineRule="exact" w:line="280"/>
        <w:ind w:firstLine="227"/>
      </w:pPr>
      <w:r>
        <w:rPr>
          <w:rFonts w:ascii="MS PGothic" w:hAnsi="MS PGothic" w:eastAsia="MS PGothic"/>
          <w:b w:val="0"/>
          <w:color w:val="000000"/>
          <w:sz w:val="19"/>
        </w:rPr>
        <w:t xml:space="preserve">加熱時間を段階的に変えた試料の断面 SEM 観察で、焼結の進行が直接可視化された </w:t>
      </w:r>
      <w:r>
        <w:rPr>
          <w:rFonts w:ascii="MS PGothic" w:hAnsi="MS PGothic" w:eastAsia="MS PGothic"/>
          <w:b/>
          <w:color w:val="000000"/>
          <w:sz w:val="19"/>
        </w:rPr>
        <w:t>(Fig. 5b)</w:t>
      </w:r>
      <w:r>
        <w:rPr>
          <w:rFonts w:ascii="MS PGothic" w:hAnsi="MS PGothic" w:eastAsia="MS PGothic"/>
          <w:b w:val="0"/>
          <w:color w:val="000000"/>
          <w:sz w:val="19"/>
        </w:rPr>
        <w:t>。</w:t>
      </w:r>
      <w:r>
        <w:rPr>
          <w:rFonts w:ascii="MS PGothic" w:hAnsi="MS PGothic" w:eastAsia="MS PGothic"/>
          <w:b/>
          <w:color w:val="000000"/>
          <w:sz w:val="19"/>
        </w:rPr>
        <w:t>0分（未加熱）</w:t>
      </w:r>
      <w:r>
        <w:rPr>
          <w:rFonts w:ascii="MS PGothic" w:hAnsi="MS PGothic" w:eastAsia="MS PGothic"/>
          <w:b w:val="0"/>
          <w:color w:val="000000"/>
          <w:sz w:val="19"/>
        </w:rPr>
        <w:t>：CSP がマトリクス中に独立分散、粒子間空隙が多く焼結なし。</w:t>
      </w:r>
      <w:r>
        <w:rPr>
          <w:rFonts w:ascii="MS PGothic" w:hAnsi="MS PGothic" w:eastAsia="MS PGothic"/>
          <w:b/>
          <w:color w:val="000000"/>
          <w:sz w:val="19"/>
        </w:rPr>
        <w:t>1分</w:t>
      </w:r>
      <w:r>
        <w:rPr>
          <w:rFonts w:ascii="MS PGothic" w:hAnsi="MS PGothic" w:eastAsia="MS PGothic"/>
          <w:b w:val="0"/>
          <w:color w:val="000000"/>
          <w:sz w:val="19"/>
        </w:rPr>
        <w:t>：隣接粒子間に粒界形成が始まり、一部でネック形成。</w:t>
      </w:r>
      <w:r>
        <w:rPr>
          <w:rFonts w:ascii="MS PGothic" w:hAnsi="MS PGothic" w:eastAsia="MS PGothic"/>
          <w:b/>
          <w:color w:val="000000"/>
          <w:sz w:val="19"/>
        </w:rPr>
        <w:t>2分</w:t>
      </w:r>
      <w:r>
        <w:rPr>
          <w:rFonts w:ascii="MS PGothic" w:hAnsi="MS PGothic" w:eastAsia="MS PGothic"/>
          <w:b w:val="0"/>
          <w:color w:val="000000"/>
          <w:sz w:val="19"/>
        </w:rPr>
        <w:t>：ネックが成長し粒子が連結してクラスターを形成、多孔質構造が発達。</w:t>
      </w:r>
      <w:r>
        <w:rPr>
          <w:rFonts w:ascii="MS PGothic" w:hAnsi="MS PGothic" w:eastAsia="MS PGothic"/>
          <w:b/>
          <w:color w:val="000000"/>
          <w:sz w:val="19"/>
        </w:rPr>
        <w:t>4分</w:t>
      </w:r>
      <w:r>
        <w:rPr>
          <w:rFonts w:ascii="MS PGothic" w:hAnsi="MS PGothic" w:eastAsia="MS PGothic"/>
          <w:b w:val="0"/>
          <w:color w:val="000000"/>
          <w:sz w:val="19"/>
        </w:rPr>
        <w:t>：緻密で連続した多孔質 SiO₂ 骨格（断熱エアロゲル層）が完成し、粒子境界が不明瞭になり共有結合ネットワークとして一体化。これは焼結3段階モデル（分散→粒界形成→ネック成長）を実際の微細構造として時間分解的に直接裏付けるものである。</w:t>
      </w:r>
    </w:p>
    <w:tbl>
      <w:tblPr>
        <w:tblStyle w:val="TableGrid"/>
        <w:tblW w:type="auto" w:w="0"/>
        <w:jc w:val="center"/>
        <w:tblLook w:firstColumn="1" w:firstRow="1" w:lastColumn="0" w:lastRow="0" w:noHBand="0" w:noVBand="1" w:val="04A0"/>
      </w:tblPr>
      <w:tblGrid>
        <w:gridCol w:w="9972"/>
      </w:tblGrid>
      <w:tr>
        <w:trPr>
          <w:trHeight w:val="3402" w:hRule="exact"/>
        </w:trPr>
        <w:tc>
          <w:tcPr>
            <w:tcW w:type="dxa" w:w="9972"/>
            <w:tcW w:w="9360" w:type="dxa"/>
            <w:vAlign w:val="center"/>
          </w:tcPr>
          <w:p>
            <w:pPr>
              <w:spacing w:before="0" w:after="0"/>
              <w:jc w:val="center"/>
            </w:pPr>
            <w:r>
              <w:rPr>
                <w:rFonts w:ascii="MS PGothic" w:hAnsi="MS PGothic" w:eastAsia="MS PGothic"/>
                <w:b w:val="0"/>
                <w:color w:val="000000"/>
                <w:sz w:val="18"/>
              </w:rPr>
              <w:t>［図挿入欄］Fig. 5a–b：(a) TGA/DSC 熱分解曲線（有機分解280℃・残渣5〜8wt%・焼結開始200℃）、(b) 加熱時間別断面 SEM（0/1/2/4 分の焼結進行）</w:t>
            </w:r>
          </w:p>
        </w:tc>
      </w:tr>
    </w:tbl>
    <w:p>
      <w:pPr>
        <w:spacing w:before="0" w:after="40"/>
      </w:pPr>
    </w:p>
    <w:p>
      <w:pPr>
        <w:spacing w:before="120" w:after="20" w:lineRule="exact" w:line="300"/>
      </w:pPr>
      <w:r>
        <w:rPr>
          <w:rFonts w:ascii="MS PGothic" w:hAnsi="MS PGothic" w:eastAsia="MS PGothic"/>
          <w:b/>
          <w:color w:val="000000"/>
          <w:sz w:val="21"/>
        </w:rPr>
        <w:t>6. 既存製品との総合比較（Figure 6）</w:t>
      </w:r>
    </w:p>
    <w:p>
      <w:pPr>
        <w:spacing w:before="0" w:after="40" w:lineRule="exact" w:line="280"/>
        <w:ind w:firstLine="227"/>
      </w:pPr>
      <w:r>
        <w:rPr>
          <w:rFonts w:ascii="MS PGothic" w:hAnsi="MS PGothic" w:eastAsia="MS PGothic"/>
          <w:b w:val="0"/>
          <w:color w:val="000000"/>
          <w:sz w:val="19"/>
        </w:rPr>
        <w:t xml:space="preserve">実用材料としての総合評価を5要件で整理した </w:t>
      </w:r>
      <w:r>
        <w:rPr>
          <w:rFonts w:ascii="MS PGothic" w:hAnsi="MS PGothic" w:eastAsia="MS PGothic"/>
          <w:b/>
          <w:color w:val="000000"/>
          <w:sz w:val="19"/>
        </w:rPr>
        <w:t>(Fig. 6)</w:t>
      </w:r>
      <w:r>
        <w:rPr>
          <w:rFonts w:ascii="MS PGothic" w:hAnsi="MS PGothic" w:eastAsia="MS PGothic"/>
          <w:b w:val="0"/>
          <w:color w:val="000000"/>
          <w:sz w:val="19"/>
        </w:rPr>
        <w:t>。本研究の WEG のみが全5項目で最高評価を達成しており、特に③乾燥後の保護継続・④発泡による断熱層形成・⑤長期保存安定性は、既存製品が解決できていなかった課題である。比較結果を Table 7 に示す（評価凡例：◎優れる／○可能／△限定的／×不可）。</w:t>
      </w:r>
    </w:p>
    <w:p>
      <w:pPr>
        <w:spacing w:before="20" w:after="60" w:lineRule="exact" w:line="240"/>
      </w:pPr>
      <w:r>
        <w:rPr>
          <w:rFonts w:ascii="MS PGothic" w:hAnsi="MS PGothic" w:eastAsia="MS PGothic"/>
          <w:b/>
          <w:color w:val="000000"/>
          <w:sz w:val="17"/>
        </w:rPr>
        <w:t>Table 7. 既存製品との5要件充足比較</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W w:w="3600" w:type="dxa"/>
          </w:tcPr>
          <w:p>
            <w:pPr>
              <w:spacing w:before="20" w:after="20" w:lineRule="exact" w:line="240"/>
              <w:jc w:val="center"/>
            </w:pPr>
            <w:r>
              <w:rPr>
                <w:rFonts w:ascii="MS PGothic" w:hAnsi="MS PGothic" w:eastAsia="MS PGothic"/>
                <w:b/>
                <w:color w:val="000000"/>
                <w:sz w:val="18"/>
              </w:rPr>
              <w:t>要件</w:t>
            </w:r>
          </w:p>
        </w:tc>
        <w:tc>
          <w:tcPr>
            <w:tcW w:type="dxa" w:w="2493"/>
            <w:vAlign w:val="center"/>
            <w:tcW w:w="1820" w:type="dxa"/>
          </w:tcPr>
          <w:p>
            <w:pPr>
              <w:spacing w:before="20" w:after="20" w:lineRule="exact" w:line="240"/>
              <w:jc w:val="center"/>
            </w:pPr>
            <w:r>
              <w:rPr>
                <w:rFonts w:ascii="MS PGothic" w:hAnsi="MS PGothic" w:eastAsia="MS PGothic"/>
                <w:b/>
                <w:color w:val="000000"/>
                <w:sz w:val="18"/>
              </w:rPr>
              <w:t>水</w:t>
            </w:r>
          </w:p>
        </w:tc>
        <w:tc>
          <w:tcPr>
            <w:tcW w:type="dxa" w:w="2493"/>
            <w:vAlign w:val="center"/>
            <w:tcW w:w="1980" w:type="dxa"/>
          </w:tcPr>
          <w:p>
            <w:pPr>
              <w:spacing w:before="20" w:after="20" w:lineRule="exact" w:line="240"/>
              <w:jc w:val="center"/>
            </w:pPr>
            <w:r>
              <w:rPr>
                <w:rFonts w:ascii="MS PGothic" w:hAnsi="MS PGothic" w:eastAsia="MS PGothic"/>
                <w:b/>
                <w:color w:val="000000"/>
                <w:sz w:val="18"/>
              </w:rPr>
              <w:t>AquaGel-K</w:t>
            </w:r>
          </w:p>
        </w:tc>
        <w:tc>
          <w:tcPr>
            <w:tcW w:type="dxa" w:w="2493"/>
            <w:vAlign w:val="center"/>
            <w:tcW w:w="1960" w:type="dxa"/>
          </w:tcPr>
          <w:p>
            <w:pPr>
              <w:spacing w:before="20" w:after="20" w:lineRule="exact" w:line="240"/>
              <w:jc w:val="center"/>
            </w:pPr>
            <w:r>
              <w:rPr>
                <w:rFonts w:ascii="MS PGothic" w:hAnsi="MS PGothic" w:eastAsia="MS PGothic"/>
                <w:b/>
                <w:color w:val="000000"/>
                <w:sz w:val="18"/>
              </w:rPr>
              <w:t>本研究 WEG</w:t>
            </w:r>
          </w:p>
        </w:tc>
      </w:tr>
      <w:tr>
        <w:tc>
          <w:tcPr>
            <w:tcW w:type="dxa" w:w="2493"/>
            <w:vAlign w:val="center"/>
            <w:tcW w:w="3600" w:type="dxa"/>
          </w:tcPr>
          <w:p>
            <w:pPr>
              <w:spacing w:before="20" w:after="20" w:lineRule="exact" w:line="240"/>
              <w:jc w:val="left"/>
            </w:pPr>
            <w:r>
              <w:rPr>
                <w:rFonts w:ascii="MS PGothic" w:hAnsi="MS PGothic" w:eastAsia="MS PGothic"/>
                <w:b w:val="0"/>
                <w:color w:val="000000"/>
                <w:sz w:val="18"/>
              </w:rPr>
              <w:t>① 噴霧可能性</w:t>
            </w:r>
          </w:p>
        </w:tc>
        <w:tc>
          <w:tcPr>
            <w:tcW w:type="dxa" w:w="2493"/>
            <w:vAlign w:val="center"/>
            <w:tcW w:w="1820" w:type="dxa"/>
          </w:tcPr>
          <w:p>
            <w:pPr>
              <w:spacing w:before="20" w:after="20" w:lineRule="exact" w:line="240"/>
              <w:jc w:val="center"/>
            </w:pPr>
            <w:r>
              <w:rPr>
                <w:rFonts w:ascii="MS PGothic" w:hAnsi="MS PGothic" w:eastAsia="MS PGothic"/>
                <w:b w:val="0"/>
                <w:color w:val="000000"/>
                <w:sz w:val="18"/>
              </w:rPr>
              <w:t>○</w:t>
            </w:r>
          </w:p>
        </w:tc>
        <w:tc>
          <w:tcPr>
            <w:tcW w:type="dxa" w:w="2493"/>
            <w:vAlign w:val="center"/>
            <w:tcW w:w="1980" w:type="dxa"/>
          </w:tcPr>
          <w:p>
            <w:pPr>
              <w:spacing w:before="20" w:after="20" w:lineRule="exact" w:line="240"/>
              <w:jc w:val="center"/>
            </w:pPr>
            <w:r>
              <w:rPr>
                <w:rFonts w:ascii="MS PGothic" w:hAnsi="MS PGothic" w:eastAsia="MS PGothic"/>
                <w:b w:val="0"/>
                <w:color w:val="000000"/>
                <w:sz w:val="18"/>
              </w:rPr>
              <w:t>○</w:t>
            </w:r>
          </w:p>
        </w:tc>
        <w:tc>
          <w:tcPr>
            <w:tcW w:type="dxa" w:w="2493"/>
            <w:vAlign w:val="center"/>
            <w:tcW w:w="1960" w:type="dxa"/>
          </w:tcPr>
          <w:p>
            <w:pPr>
              <w:spacing w:before="20" w:after="20" w:lineRule="exact" w:line="240"/>
              <w:jc w:val="center"/>
            </w:pPr>
            <w:r>
              <w:rPr>
                <w:rFonts w:ascii="MS PGothic" w:hAnsi="MS PGothic" w:eastAsia="MS PGothic"/>
                <w:b w:val="0"/>
                <w:color w:val="000000"/>
                <w:sz w:val="18"/>
              </w:rPr>
              <w:t>◎</w:t>
            </w:r>
          </w:p>
        </w:tc>
      </w:tr>
      <w:tr>
        <w:tc>
          <w:tcPr>
            <w:tcW w:type="dxa" w:w="2493"/>
            <w:vAlign w:val="center"/>
            <w:tcW w:w="3600" w:type="dxa"/>
          </w:tcPr>
          <w:p>
            <w:pPr>
              <w:spacing w:before="20" w:after="20" w:lineRule="exact" w:line="240"/>
              <w:jc w:val="left"/>
            </w:pPr>
            <w:r>
              <w:rPr>
                <w:rFonts w:ascii="MS PGothic" w:hAnsi="MS PGothic" w:eastAsia="MS PGothic"/>
                <w:b w:val="0"/>
                <w:color w:val="000000"/>
                <w:sz w:val="18"/>
              </w:rPr>
              <w:t>② 基材への付着</w:t>
            </w:r>
          </w:p>
        </w:tc>
        <w:tc>
          <w:tcPr>
            <w:tcW w:type="dxa" w:w="2493"/>
            <w:vAlign w:val="center"/>
            <w:tcW w:w="1820" w:type="dxa"/>
          </w:tcPr>
          <w:p>
            <w:pPr>
              <w:spacing w:before="20" w:after="20" w:lineRule="exact" w:line="240"/>
              <w:jc w:val="center"/>
            </w:pPr>
            <w:r>
              <w:rPr>
                <w:rFonts w:ascii="MS PGothic" w:hAnsi="MS PGothic" w:eastAsia="MS PGothic"/>
                <w:b w:val="0"/>
                <w:color w:val="000000"/>
                <w:sz w:val="18"/>
              </w:rPr>
              <w:t>△</w:t>
            </w:r>
          </w:p>
        </w:tc>
        <w:tc>
          <w:tcPr>
            <w:tcW w:type="dxa" w:w="2493"/>
            <w:vAlign w:val="center"/>
            <w:tcW w:w="1980" w:type="dxa"/>
          </w:tcPr>
          <w:p>
            <w:pPr>
              <w:spacing w:before="20" w:after="20" w:lineRule="exact" w:line="240"/>
              <w:jc w:val="center"/>
            </w:pPr>
            <w:r>
              <w:rPr>
                <w:rFonts w:ascii="MS PGothic" w:hAnsi="MS PGothic" w:eastAsia="MS PGothic"/>
                <w:b w:val="0"/>
                <w:color w:val="000000"/>
                <w:sz w:val="18"/>
              </w:rPr>
              <w:t>○</w:t>
            </w:r>
          </w:p>
        </w:tc>
        <w:tc>
          <w:tcPr>
            <w:tcW w:type="dxa" w:w="2493"/>
            <w:vAlign w:val="center"/>
            <w:tcW w:w="1960" w:type="dxa"/>
          </w:tcPr>
          <w:p>
            <w:pPr>
              <w:spacing w:before="20" w:after="20" w:lineRule="exact" w:line="240"/>
              <w:jc w:val="center"/>
            </w:pPr>
            <w:r>
              <w:rPr>
                <w:rFonts w:ascii="MS PGothic" w:hAnsi="MS PGothic" w:eastAsia="MS PGothic"/>
                <w:b w:val="0"/>
                <w:color w:val="000000"/>
                <w:sz w:val="18"/>
              </w:rPr>
              <w:t>◎</w:t>
            </w:r>
          </w:p>
        </w:tc>
      </w:tr>
      <w:tr>
        <w:tc>
          <w:tcPr>
            <w:tcW w:type="dxa" w:w="2493"/>
            <w:vAlign w:val="center"/>
            <w:tcW w:w="3600" w:type="dxa"/>
          </w:tcPr>
          <w:p>
            <w:pPr>
              <w:spacing w:before="20" w:after="20" w:lineRule="exact" w:line="240"/>
              <w:jc w:val="left"/>
            </w:pPr>
            <w:r>
              <w:rPr>
                <w:rFonts w:ascii="MS PGothic" w:hAnsi="MS PGothic" w:eastAsia="MS PGothic"/>
                <w:b w:val="0"/>
                <w:color w:val="000000"/>
                <w:sz w:val="18"/>
              </w:rPr>
              <w:t>③ 乾燥後の保護継続</w:t>
            </w:r>
          </w:p>
        </w:tc>
        <w:tc>
          <w:tcPr>
            <w:tcW w:type="dxa" w:w="2493"/>
            <w:vAlign w:val="center"/>
            <w:tcW w:w="1820" w:type="dxa"/>
          </w:tcPr>
          <w:p>
            <w:pPr>
              <w:spacing w:before="20" w:after="20" w:lineRule="exact" w:line="240"/>
              <w:jc w:val="center"/>
            </w:pPr>
            <w:r>
              <w:rPr>
                <w:rFonts w:ascii="MS PGothic" w:hAnsi="MS PGothic" w:eastAsia="MS PGothic"/>
                <w:b w:val="0"/>
                <w:color w:val="000000"/>
                <w:sz w:val="18"/>
              </w:rPr>
              <w:t>×</w:t>
            </w:r>
          </w:p>
        </w:tc>
        <w:tc>
          <w:tcPr>
            <w:tcW w:type="dxa" w:w="2493"/>
            <w:vAlign w:val="center"/>
            <w:tcW w:w="1980" w:type="dxa"/>
          </w:tcPr>
          <w:p>
            <w:pPr>
              <w:spacing w:before="20" w:after="20" w:lineRule="exact" w:line="240"/>
              <w:jc w:val="center"/>
            </w:pPr>
            <w:r>
              <w:rPr>
                <w:rFonts w:ascii="MS PGothic" w:hAnsi="MS PGothic" w:eastAsia="MS PGothic"/>
                <w:b w:val="0"/>
                <w:color w:val="000000"/>
                <w:sz w:val="18"/>
              </w:rPr>
              <w:t>△</w:t>
            </w:r>
          </w:p>
        </w:tc>
        <w:tc>
          <w:tcPr>
            <w:tcW w:type="dxa" w:w="2493"/>
            <w:vAlign w:val="center"/>
            <w:tcW w:w="1960" w:type="dxa"/>
          </w:tcPr>
          <w:p>
            <w:pPr>
              <w:spacing w:before="20" w:after="20" w:lineRule="exact" w:line="240"/>
              <w:jc w:val="center"/>
            </w:pPr>
            <w:r>
              <w:rPr>
                <w:rFonts w:ascii="MS PGothic" w:hAnsi="MS PGothic" w:eastAsia="MS PGothic"/>
                <w:b w:val="0"/>
                <w:color w:val="000000"/>
                <w:sz w:val="18"/>
              </w:rPr>
              <w:t>◎</w:t>
            </w:r>
          </w:p>
        </w:tc>
      </w:tr>
      <w:tr>
        <w:tc>
          <w:tcPr>
            <w:tcW w:type="dxa" w:w="2493"/>
            <w:vAlign w:val="center"/>
            <w:tcW w:w="3600" w:type="dxa"/>
          </w:tcPr>
          <w:p>
            <w:pPr>
              <w:spacing w:before="20" w:after="20" w:lineRule="exact" w:line="240"/>
              <w:jc w:val="left"/>
            </w:pPr>
            <w:r>
              <w:rPr>
                <w:rFonts w:ascii="MS PGothic" w:hAnsi="MS PGothic" w:eastAsia="MS PGothic"/>
                <w:b w:val="0"/>
                <w:color w:val="000000"/>
                <w:sz w:val="18"/>
              </w:rPr>
              <w:t>④ 発泡による断熱層形成</w:t>
            </w:r>
          </w:p>
        </w:tc>
        <w:tc>
          <w:tcPr>
            <w:tcW w:type="dxa" w:w="2493"/>
            <w:vAlign w:val="center"/>
            <w:tcW w:w="1820" w:type="dxa"/>
          </w:tcPr>
          <w:p>
            <w:pPr>
              <w:spacing w:before="20" w:after="20" w:lineRule="exact" w:line="240"/>
              <w:jc w:val="center"/>
            </w:pPr>
            <w:r>
              <w:rPr>
                <w:rFonts w:ascii="MS PGothic" w:hAnsi="MS PGothic" w:eastAsia="MS PGothic"/>
                <w:b w:val="0"/>
                <w:color w:val="000000"/>
                <w:sz w:val="18"/>
              </w:rPr>
              <w:t>×</w:t>
            </w:r>
          </w:p>
        </w:tc>
        <w:tc>
          <w:tcPr>
            <w:tcW w:type="dxa" w:w="2493"/>
            <w:vAlign w:val="center"/>
            <w:tcW w:w="1980" w:type="dxa"/>
          </w:tcPr>
          <w:p>
            <w:pPr>
              <w:spacing w:before="20" w:after="20" w:lineRule="exact" w:line="240"/>
              <w:jc w:val="center"/>
            </w:pPr>
            <w:r>
              <w:rPr>
                <w:rFonts w:ascii="MS PGothic" w:hAnsi="MS PGothic" w:eastAsia="MS PGothic"/>
                <w:b w:val="0"/>
                <w:color w:val="000000"/>
                <w:sz w:val="18"/>
              </w:rPr>
              <w:t>×</w:t>
            </w:r>
          </w:p>
        </w:tc>
        <w:tc>
          <w:tcPr>
            <w:tcW w:type="dxa" w:w="2493"/>
            <w:vAlign w:val="center"/>
            <w:tcW w:w="1960" w:type="dxa"/>
          </w:tcPr>
          <w:p>
            <w:pPr>
              <w:spacing w:before="20" w:after="20" w:lineRule="exact" w:line="240"/>
              <w:jc w:val="center"/>
            </w:pPr>
            <w:r>
              <w:rPr>
                <w:rFonts w:ascii="MS PGothic" w:hAnsi="MS PGothic" w:eastAsia="MS PGothic"/>
                <w:b w:val="0"/>
                <w:color w:val="000000"/>
                <w:sz w:val="18"/>
              </w:rPr>
              <w:t>◎</w:t>
            </w:r>
          </w:p>
        </w:tc>
      </w:tr>
      <w:tr>
        <w:tc>
          <w:tcPr>
            <w:tcW w:type="dxa" w:w="2493"/>
            <w:vAlign w:val="center"/>
            <w:tcW w:w="3600" w:type="dxa"/>
          </w:tcPr>
          <w:p>
            <w:pPr>
              <w:spacing w:before="20" w:after="20" w:lineRule="exact" w:line="240"/>
              <w:jc w:val="left"/>
            </w:pPr>
            <w:r>
              <w:rPr>
                <w:rFonts w:ascii="MS PGothic" w:hAnsi="MS PGothic" w:eastAsia="MS PGothic"/>
                <w:b w:val="0"/>
                <w:color w:val="000000"/>
                <w:sz w:val="18"/>
              </w:rPr>
              <w:t>⑤ 長期保存安定性</w:t>
            </w:r>
          </w:p>
        </w:tc>
        <w:tc>
          <w:tcPr>
            <w:tcW w:type="dxa" w:w="2493"/>
            <w:vAlign w:val="center"/>
            <w:tcW w:w="1820" w:type="dxa"/>
          </w:tcPr>
          <w:p>
            <w:pPr>
              <w:spacing w:before="20" w:after="20" w:lineRule="exact" w:line="240"/>
              <w:jc w:val="center"/>
            </w:pPr>
            <w:r>
              <w:rPr>
                <w:rFonts w:ascii="MS PGothic" w:hAnsi="MS PGothic" w:eastAsia="MS PGothic"/>
                <w:b w:val="0"/>
                <w:color w:val="000000"/>
                <w:sz w:val="18"/>
              </w:rPr>
              <w:t>×</w:t>
            </w:r>
          </w:p>
        </w:tc>
        <w:tc>
          <w:tcPr>
            <w:tcW w:type="dxa" w:w="2493"/>
            <w:vAlign w:val="center"/>
            <w:tcW w:w="1980" w:type="dxa"/>
          </w:tcPr>
          <w:p>
            <w:pPr>
              <w:spacing w:before="20" w:after="20" w:lineRule="exact" w:line="240"/>
              <w:jc w:val="center"/>
            </w:pPr>
            <w:r>
              <w:rPr>
                <w:rFonts w:ascii="MS PGothic" w:hAnsi="MS PGothic" w:eastAsia="MS PGothic"/>
                <w:b w:val="0"/>
                <w:color w:val="000000"/>
                <w:sz w:val="18"/>
              </w:rPr>
              <w:t>△</w:t>
            </w:r>
          </w:p>
        </w:tc>
        <w:tc>
          <w:tcPr>
            <w:tcW w:type="dxa" w:w="2493"/>
            <w:vAlign w:val="center"/>
            <w:tcW w:w="1960" w:type="dxa"/>
          </w:tcPr>
          <w:p>
            <w:pPr>
              <w:spacing w:before="20" w:after="20" w:lineRule="exact" w:line="240"/>
              <w:jc w:val="center"/>
            </w:pPr>
            <w:r>
              <w:rPr>
                <w:rFonts w:ascii="MS PGothic" w:hAnsi="MS PGothic" w:eastAsia="MS PGothic"/>
                <w:b w:val="0"/>
                <w:color w:val="000000"/>
                <w:sz w:val="18"/>
              </w:rPr>
              <w:t>◎</w:t>
            </w:r>
          </w:p>
        </w:tc>
      </w:tr>
    </w:tbl>
    <w:p>
      <w:pPr>
        <w:spacing w:before="0" w:after="60"/>
      </w:pPr>
    </w:p>
    <w:tbl>
      <w:tblPr>
        <w:tblStyle w:val="TableGrid"/>
        <w:tblW w:type="auto" w:w="0"/>
        <w:jc w:val="center"/>
        <w:tblLook w:firstColumn="1" w:firstRow="1" w:lastColumn="0" w:lastRow="0" w:noHBand="0" w:noVBand="1" w:val="04A0"/>
      </w:tblPr>
      <w:tblGrid>
        <w:gridCol w:w="9972"/>
      </w:tblGrid>
      <w:tr>
        <w:trPr>
          <w:trHeight w:val="1984" w:hRule="exact"/>
        </w:trPr>
        <w:tc>
          <w:tcPr>
            <w:tcW w:type="dxa" w:w="9972"/>
            <w:tcW w:w="9360" w:type="dxa"/>
            <w:vAlign w:val="center"/>
          </w:tcPr>
          <w:p>
            <w:pPr>
              <w:spacing w:before="0" w:after="0"/>
              <w:jc w:val="center"/>
            </w:pPr>
            <w:r>
              <w:rPr>
                <w:rFonts w:ascii="MS PGothic" w:hAnsi="MS PGothic" w:eastAsia="MS PGothic"/>
                <w:b w:val="0"/>
                <w:color w:val="000000"/>
                <w:sz w:val="18"/>
              </w:rPr>
              <w:t>［図挿入欄］Fig. 6：水 / AquaGel-K / 本研究 WEG の5要件充足比較図（◎○△×）</w:t>
            </w:r>
          </w:p>
        </w:tc>
      </w:tr>
    </w:tbl>
    <w:p>
      <w:pPr>
        <w:spacing w:before="0" w:after="40"/>
      </w:pPr>
    </w:p>
    <w:p>
      <w:pPr>
        <w:spacing w:before="160" w:after="40"/>
      </w:pPr>
      <w:r>
        <w:rPr>
          <w:rFonts w:ascii="MS PGothic" w:hAnsi="MS PGothic" w:eastAsia="MS PGothic"/>
          <w:b/>
          <w:color w:val="000000"/>
          <w:sz w:val="22"/>
        </w:rPr>
        <w:t>【結論】</w:t>
      </w:r>
    </w:p>
    <w:p>
      <w:pPr>
        <w:spacing w:before="0" w:after="40" w:lineRule="exact" w:line="280"/>
        <w:ind w:firstLine="227"/>
      </w:pPr>
      <w:r>
        <w:rPr>
          <w:rFonts w:ascii="MS PGothic" w:hAnsi="MS PGothic" w:eastAsia="MS PGothic"/>
          <w:b w:val="0"/>
          <w:color w:val="000000"/>
          <w:sz w:val="19"/>
        </w:rPr>
        <w:t>本研究の核心メカニズムは3ステップに集約される：①</w:t>
      </w:r>
      <w:r>
        <w:rPr>
          <w:rFonts w:ascii="MS PGothic" w:hAnsi="MS PGothic" w:eastAsia="MS PGothic"/>
          <w:b/>
          <w:color w:val="000000"/>
          <w:sz w:val="19"/>
        </w:rPr>
        <w:t>水の蒸発</w:t>
      </w:r>
      <w:r>
        <w:rPr>
          <w:rFonts w:ascii="MS PGothic" w:hAnsi="MS PGothic" w:eastAsia="MS PGothic"/>
          <w:b w:val="0"/>
          <w:color w:val="000000"/>
          <w:sz w:val="19"/>
        </w:rPr>
        <w:t>（火炎の輻射熱を吸収し基材を冷却する初期保護）→ ②</w:t>
      </w:r>
      <w:r>
        <w:rPr>
          <w:rFonts w:ascii="MS PGothic" w:hAnsi="MS PGothic" w:eastAsia="MS PGothic"/>
          <w:b/>
          <w:color w:val="000000"/>
          <w:sz w:val="19"/>
        </w:rPr>
        <w:t>CSP の焼結</w:t>
      </w:r>
      <w:r>
        <w:rPr>
          <w:rFonts w:ascii="MS PGothic" w:hAnsi="MS PGothic" w:eastAsia="MS PGothic"/>
          <w:b w:val="0"/>
          <w:color w:val="000000"/>
          <w:sz w:val="19"/>
        </w:rPr>
        <w:t>（温度上昇に伴う粒子間ネック形成・共有結合化） → ③</w:t>
      </w:r>
      <w:r>
        <w:rPr>
          <w:rFonts w:ascii="MS PGothic" w:hAnsi="MS PGothic" w:eastAsia="MS PGothic"/>
          <w:b/>
          <w:color w:val="000000"/>
          <w:sz w:val="19"/>
        </w:rPr>
        <w:t>多孔質シリカエアロゲル断熱層の形成</w:t>
      </w:r>
      <w:r>
        <w:rPr>
          <w:rFonts w:ascii="MS PGothic" w:hAnsi="MS PGothic" w:eastAsia="MS PGothic"/>
          <w:b w:val="0"/>
          <w:color w:val="000000"/>
          <w:sz w:val="19"/>
        </w:rPr>
        <w:t>（7分以上の継続保護を実現）。得られた4つの主要成果は、(1) 市販品の</w:t>
      </w:r>
      <w:r>
        <w:rPr>
          <w:rFonts w:ascii="MS PGothic" w:hAnsi="MS PGothic" w:eastAsia="MS PGothic"/>
          <w:b/>
          <w:color w:val="000000"/>
          <w:sz w:val="19"/>
        </w:rPr>
        <w:t>3〜6倍</w:t>
      </w:r>
      <w:r>
        <w:rPr>
          <w:rFonts w:ascii="MS PGothic" w:hAnsi="MS PGothic" w:eastAsia="MS PGothic"/>
          <w:b w:val="0"/>
          <w:color w:val="000000"/>
          <w:sz w:val="19"/>
        </w:rPr>
        <w:t xml:space="preserve">に及ぶ保護時間（Time to char ≥ 7分 vs. AquaGel-K 1.5分）、(2) </w:t>
      </w:r>
      <w:r>
        <w:rPr>
          <w:rFonts w:ascii="MS PGothic" w:hAnsi="MS PGothic" w:eastAsia="MS PGothic"/>
          <w:b/>
          <w:color w:val="000000"/>
          <w:sz w:val="19"/>
        </w:rPr>
        <w:t>455日超</w:t>
      </w:r>
      <w:r>
        <w:rPr>
          <w:rFonts w:ascii="MS PGothic" w:hAnsi="MS PGothic" w:eastAsia="MS PGothic"/>
          <w:b w:val="0"/>
          <w:color w:val="000000"/>
          <w:sz w:val="19"/>
        </w:rPr>
        <w:t>の長期保存安定性、(3) 既存機材でそのまま使える</w:t>
      </w:r>
      <w:r>
        <w:rPr>
          <w:rFonts w:ascii="MS PGothic" w:hAnsi="MS PGothic" w:eastAsia="MS PGothic"/>
          <w:b/>
          <w:color w:val="000000"/>
          <w:sz w:val="19"/>
        </w:rPr>
        <w:t>噴霧可能性</w:t>
      </w:r>
      <w:r>
        <w:rPr>
          <w:rFonts w:ascii="MS PGothic" w:hAnsi="MS PGothic" w:eastAsia="MS PGothic"/>
          <w:b w:val="0"/>
          <w:color w:val="000000"/>
          <w:sz w:val="19"/>
        </w:rPr>
        <w:t>（せん断希薄化・自己修復性に基づく）、(4) 食品グレード原料のみによる</w:t>
      </w:r>
      <w:r>
        <w:rPr>
          <w:rFonts w:ascii="MS PGothic" w:hAnsi="MS PGothic" w:eastAsia="MS PGothic"/>
          <w:b/>
          <w:color w:val="000000"/>
          <w:sz w:val="19"/>
        </w:rPr>
        <w:t>持続可能性・生分解性</w:t>
      </w:r>
      <w:r>
        <w:rPr>
          <w:rFonts w:ascii="MS PGothic" w:hAnsi="MS PGothic" w:eastAsia="MS PGothic"/>
          <w:b w:val="0"/>
          <w:color w:val="000000"/>
          <w:sz w:val="19"/>
        </w:rPr>
        <w:t>である。</w:t>
      </w:r>
    </w:p>
    <w:p>
      <w:pPr>
        <w:spacing w:before="0" w:after="40" w:lineRule="exact" w:line="280"/>
        <w:ind w:firstLine="227"/>
      </w:pPr>
      <w:r>
        <w:rPr>
          <w:rFonts w:ascii="MS PGothic" w:hAnsi="MS PGothic" w:eastAsia="MS PGothic"/>
          <w:b w:val="0"/>
          <w:color w:val="000000"/>
          <w:sz w:val="19"/>
        </w:rPr>
        <w:t>これらにより、WEG は「単なる水のキャリア」から「熱を受けて自分自身を断熱材へと能動的に変態させる難燃材料」へと概念的に進化した。乾燥という従来の致命的弱点を、逆に保護発現のトリガーへ転換した点に本研究の独創性がある。WUI における重要インフラ防御の実用的な次世代ソリューションとなりうる。今後の課題としては、大規模製造へのスケールアップ、コスト低減、屋外環境での長期耐候性（紫外線・降雨・温度変動）の実地検証などが挙げられ、本論文は基礎実証の段階に位置づけられる。自身の研究との関連では、共有結合架橋を用いずに動的水素結合のみで付着性・噴霧性・自己修復性を作り込むレオロジー設計の考え方、および LAOS と Herschel–Bulkley 解析を組み合わせた降伏応力の2側面評価は、自身のハイドロゲル系の物性設計・評価にも応用できる有用な指針である。</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