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pPr>
      <w:r>
        <w:rPr>
          <w:rFonts w:ascii="MS PGothic" w:hAnsi="MS PGothic" w:eastAsia="MS PGothic"/>
          <w:b w:val="0"/>
          <w:color w:val="000000"/>
          <w:sz w:val="18"/>
        </w:rPr>
        <w:t>2026/XX/XX　雑誌会_B4　山道大誠</w:t>
      </w:r>
    </w:p>
    <w:p>
      <w:pPr>
        <w:spacing w:before="0" w:after="40"/>
      </w:pPr>
      <w:r>
        <w:rPr>
          <w:rFonts w:ascii="MS PGothic" w:hAnsi="MS PGothic" w:eastAsia="MS PGothic"/>
          <w:b/>
          <w:color w:val="000000"/>
          <w:sz w:val="36"/>
        </w:rPr>
        <w:t>ADVANCED MATERIALS</w:t>
      </w:r>
    </w:p>
    <w:p>
      <w:pPr>
        <w:spacing w:before="0" w:after="20" w:lineRule="exact" w:line="280"/>
      </w:pPr>
      <w:r>
        <w:rPr>
          <w:rFonts w:ascii="MS PGothic" w:hAnsi="MS PGothic" w:eastAsia="MS PGothic"/>
          <w:b/>
          <w:color w:val="000000"/>
          <w:sz w:val="20"/>
        </w:rPr>
        <w:t>Water-Enhancing Gels Exhibiting Heat-Activated Formation of Silica Aerogels for Protection of Critical Infrastructure During Catastrophic Wildfire</w:t>
      </w:r>
    </w:p>
    <w:p>
      <w:pPr>
        <w:spacing w:before="20" w:after="0" w:lineRule="exact" w:line="260"/>
      </w:pPr>
      <w:r>
        <w:rPr>
          <w:rFonts w:ascii="MS PGothic" w:hAnsi="MS PGothic" w:eastAsia="MS PGothic"/>
          <w:b w:val="0"/>
          <w:color w:val="000000"/>
          <w:sz w:val="18"/>
        </w:rPr>
        <w:t>Changxin Dong, Andrea I. d’Aquino, Samya Sen, Ian A. Hall, Anthony C. Yu, Gabriel B. Crane, Jesse D. Acosta, Eric A. Appel*</w:t>
      </w:r>
    </w:p>
    <w:p>
      <w:pPr>
        <w:spacing w:before="0" w:after="80" w:lineRule="exact" w:line="260"/>
      </w:pPr>
      <w:r>
        <w:rPr>
          <w:rFonts w:ascii="MS PGothic" w:hAnsi="MS PGothic" w:eastAsia="MS PGothic"/>
          <w:b w:val="0"/>
          <w:color w:val="000000"/>
          <w:sz w:val="18"/>
        </w:rPr>
        <w:t>Adv. Mater. 2024, 36, 2407375.　DOI: 10.1002/adma.202407375</w:t>
      </w:r>
    </w:p>
    <w:p>
      <w:pPr>
        <w:spacing w:before="160" w:after="40"/>
      </w:pPr>
      <w:r>
        <w:rPr>
          <w:rFonts w:ascii="MS PGothic" w:hAnsi="MS PGothic" w:eastAsia="MS PGothic"/>
          <w:b/>
          <w:color w:val="000000"/>
          <w:sz w:val="22"/>
        </w:rPr>
        <w:t>【論文の選定理由】</w:t>
      </w:r>
    </w:p>
    <w:p>
      <w:pPr>
        <w:spacing w:before="0" w:after="40" w:lineRule="exact" w:line="280"/>
        <w:ind w:firstLine="227"/>
      </w:pPr>
      <w:r>
        <w:rPr>
          <w:rFonts w:ascii="MS PGothic" w:hAnsi="MS PGothic" w:eastAsia="MS PGothic"/>
          <w:b w:val="0"/>
          <w:color w:val="000000"/>
          <w:sz w:val="19"/>
        </w:rPr>
        <w:t>自身もハイドロゲルを用いた研究を行っており、本論文のゲルが示すせん断希薄化・降伏応力（静的・動的）・自己修復性といったレオロジー特性が、自身が扱う材料系と類似していたため、振動・定常せん断レオロジーや LAOS、Herschel–Bulkley 解析といった測定・解析手法の点で直接の参考になると考えた。特に、共有結合架橋を用いずポリマーとシリカ粒子間の動的な水素結合（PP 相互作用）のみで付着性・噴霧性・自己修復性を作り込む設計思想は、ゲル設計の指針として参照価値が高い。また、本研究は物性評価にとどまらず、既存の散布機材での噴霧性や455日に及ぶ長期保存安定性まで踏み込んだ製品化志向の研究であり、市販の水強化ゲル製品（AquaGel-K）と定量的なベンチマーク比較を行っている点が興味深かった。界面活性剤（SDS）添加が逆効果であったというネガティブな結果も率直に提示しており、研究としての誠実さを感じたため本論文を選定した。</w:t>
      </w:r>
    </w:p>
    <w:p>
      <w:pPr>
        <w:spacing w:before="160" w:after="40"/>
      </w:pPr>
      <w:r>
        <w:rPr>
          <w:rFonts w:ascii="MS PGothic" w:hAnsi="MS PGothic" w:eastAsia="MS PGothic"/>
          <w:b/>
          <w:color w:val="000000"/>
          <w:sz w:val="22"/>
        </w:rPr>
        <w:t>【緒言】</w:t>
      </w:r>
    </w:p>
    <w:p>
      <w:pPr>
        <w:spacing w:before="0" w:after="40" w:lineRule="exact" w:line="280"/>
        <w:ind w:firstLine="227"/>
      </w:pPr>
      <w:r>
        <w:rPr>
          <w:rFonts w:ascii="MS PGothic" w:hAnsi="MS PGothic" w:eastAsia="MS PGothic"/>
          <w:b w:val="0"/>
          <w:color w:val="000000"/>
          <w:sz w:val="19"/>
        </w:rPr>
        <w:t>大規模な山火事は気候変動を背景に深刻化しており、特に森林と都市が接する境界地帯（WUI: Wildland-Urban Interface）では、住宅や送電網などの重要インフラが延焼リスクにさらされている。高温・乾燥・強風の長期化により、従来の消火戦略では延焼に対応しきれず、構造物を事前にコーティングして守る受動的防御材料への需要が高まっている。林野火災用の薬剤は、長期遅延剤（Phos-Chek 等のリン酸塩系）・泡消火剤・水強化ゲル（WEG: Water-Enhancing Gel）の3種に大別される。WEG は高吸水性ポリマーで大量の水を保持して構造物表面に保護膜を作るため建物保護に有効だが、保護効果が保持水分に完全依存し、火炎の輻射熱や強風で乾燥すると効果を失うという致命的な弱点を抱えている。</w:t>
      </w:r>
    </w:p>
    <w:p>
      <w:pPr>
        <w:spacing w:before="0" w:after="40" w:lineRule="exact" w:line="280"/>
        <w:ind w:firstLine="227"/>
      </w:pPr>
      <w:r>
        <w:rPr>
          <w:rFonts w:ascii="MS PGothic" w:hAnsi="MS PGothic" w:eastAsia="MS PGothic"/>
          <w:b w:val="0"/>
          <w:color w:val="000000"/>
          <w:sz w:val="19"/>
        </w:rPr>
        <w:t>本研究は、火炎接触時に材料自身が断熱性のシリカエアロゲルへと不可逆的に変態する「熱活性化エアロゲル形成」を提案している（Fig. 1a, d）。水分蒸発で保護が終わるのではなく、水分蒸発をトリガーとして固体の多孔質断熱層が形成され、乾燥後にこそ保護性能が発揮されるという発想の転換である。シリカエアロゲルはメソ多孔質で比表面積が大きく（500〜1000 m²/g）、密度が低く（0.001〜0.200 g/cm³）、熱伝導率が極めて低い（最低約12 mW/m/K）既知の高性能断熱材であり、それを火災現場でその場生成させる点に独創性がある。本ゲルは食品グレードの持続可能・生分解性原料のみで構成され、既存の散布機材でそのまま噴霧でき、散布 → 火炎接触 → エアロゲル形成 → 継続的断熱保護、という4段階のプロセスで構造物を保護する。</w:t>
      </w:r>
    </w:p>
    <w:tbl>
      <w:tblPr>
        <w:tblStyle w:val="TableGrid"/>
        <w:tblW w:type="auto" w:w="0"/>
        <w:jc w:val="center"/>
        <w:tblLook w:firstColumn="1" w:firstRow="1" w:lastColumn="0" w:lastRow="0" w:noHBand="0" w:noVBand="1" w:val="04A0"/>
      </w:tblPr>
      <w:tblGrid>
        <w:gridCol w:w="9972"/>
      </w:tblGrid>
      <w:tr>
        <w:trPr>
          <w:trHeight w:val="3118" w:hRule="exact"/>
        </w:trPr>
        <w:tc>
          <w:tcPr>
            <w:tcW w:type="dxa" w:w="9972"/>
            <w:tcW w:w="9360" w:type="dxa"/>
            <w:vAlign w:val="center"/>
          </w:tcPr>
          <w:p>
            <w:pPr>
              <w:spacing w:before="0" w:after="0"/>
              <w:jc w:val="center"/>
            </w:pPr>
            <w:r>
              <w:rPr>
                <w:rFonts w:ascii="MS PGothic" w:hAnsi="MS PGothic" w:eastAsia="MS PGothic"/>
                <w:b w:val="0"/>
                <w:color w:val="000000"/>
                <w:sz w:val="18"/>
              </w:rPr>
              <w:t>［図挿入欄］Fig. 1：(a) WUI の家屋へのスプレー処理と protected surface / aerogel 形成の概念図、(b) HEC＋MC＋CSP → HEC+MC/CSP ゲル、(c) MHEC＋CSP → MHEC/CSP ゲルの構成、(d) i 基材塗布 → ii 火炎接触 → iii シリカエアロゲル形成 → iv 無傷の基材（実写）</w:t>
            </w:r>
          </w:p>
        </w:tc>
      </w:tr>
    </w:tbl>
    <w:p>
      <w:pPr>
        <w:spacing w:before="0" w:after="40"/>
      </w:pPr>
    </w:p>
    <w:p>
      <w:pPr>
        <w:spacing w:before="160" w:after="40"/>
      </w:pPr>
      <w:r>
        <w:rPr>
          <w:rFonts w:ascii="MS PGothic" w:hAnsi="MS PGothic" w:eastAsia="MS PGothic"/>
          <w:b/>
          <w:color w:val="000000"/>
          <w:sz w:val="22"/>
        </w:rPr>
        <w:t>【実験材料・方法】</w:t>
      </w:r>
    </w:p>
    <w:p>
      <w:pPr>
        <w:spacing w:before="120" w:after="20" w:lineRule="exact" w:line="300"/>
      </w:pPr>
      <w:r>
        <w:rPr>
          <w:rFonts w:ascii="MS PGothic" w:hAnsi="MS PGothic" w:eastAsia="MS PGothic"/>
          <w:b/>
          <w:color w:val="000000"/>
          <w:sz w:val="21"/>
        </w:rPr>
        <w:t>1. 材料と配合</w:t>
      </w:r>
    </w:p>
    <w:p>
      <w:pPr>
        <w:spacing w:before="0" w:after="40" w:lineRule="exact" w:line="280"/>
        <w:ind w:firstLine="227"/>
      </w:pPr>
      <w:r>
        <w:rPr>
          <w:rFonts w:ascii="MS PGothic" w:hAnsi="MS PGothic" w:eastAsia="MS PGothic"/>
          <w:b w:val="0"/>
          <w:color w:val="000000"/>
          <w:sz w:val="19"/>
        </w:rPr>
        <w:t>ゲルはセルロース系バイオポリマーとコロイダルシリカ粒子（CSP: LUDOX TM-50、粒径約22 nm の単分散アニオン性シリカ、pH 9 以上で安定分散）から構成される。先行研究（Yu et al., PNAS 2016）で、HEC（ヒドロキシエチルセルロース、Mv 約1300 kDa）と MC（メチルセルロース、Mv 約90 kDa）のうち特定のセルロース系ポリマーのみがCSP 表面に選択的に吸着してゲルを形成することが見出されていた。すなわちゲル化は加熱によるものではなく、ポリマー鎖が CSP に多価・非共有結合的に吸着する PP 相互作用（Polymer–Particle 相互作用）による物理架橋で達成される。この吸着が一過性（可逆的）であることが、せん断希薄化と自己修復性をもたらす。MHEC（メチル-2-ヒドロキシエチルセルロース）は methyl 基と hydroxyethyl 基を併せ持つ単一セルロース誘導体で、HEC＋MC の2成分を1成分に置き換え、3成分系（HEC＋MC＋CSP）を2成分系（MHEC＋CSP）へ簡略化できる。一部配合では SDS（ドデシル硫酸ナトリウム）を添加して発泡・濡れ性への影響を検討した。評価した配合を Table 1 に示す。</w:t>
      </w:r>
    </w:p>
    <w:p>
      <w:pPr>
        <w:spacing w:before="20" w:after="40" w:lineRule="exact" w:line="240"/>
      </w:pPr>
      <w:r>
        <w:rPr>
          <w:rFonts w:ascii="MS PGothic" w:hAnsi="MS PGothic" w:eastAsia="MS PGothic"/>
          <w:b/>
          <w:color w:val="000000"/>
          <w:sz w:val="17"/>
        </w:rPr>
        <w:t>Table 1. 評価した主な配合（表記＝ポリマー総量-CSP量、wt%）</w:t>
      </w:r>
    </w:p>
    <w:tbl>
      <w:tblPr>
        <w:tblStyle w:val="TableGrid"/>
        <w:tblW w:type="auto" w:w="0"/>
        <w:jc w:val="center"/>
        <w:tblLook w:firstColumn="1" w:firstRow="1" w:lastColumn="0" w:lastRow="0" w:noHBand="0" w:noVBand="1" w:val="04A0"/>
      </w:tblPr>
      <w:tblGrid>
        <w:gridCol w:w="1994"/>
        <w:gridCol w:w="1994"/>
        <w:gridCol w:w="1994"/>
        <w:gridCol w:w="1994"/>
        <w:gridCol w:w="1994"/>
      </w:tblGrid>
      <w:tr>
        <w:tc>
          <w:tcPr>
            <w:tcW w:type="dxa" w:w="1994"/>
            <w:vAlign w:val="center"/>
            <w:tcW w:w="2700" w:type="dxa"/>
          </w:tcPr>
          <w:p>
            <w:pPr>
              <w:spacing w:before="20" w:after="20" w:lineRule="exact" w:line="240"/>
              <w:jc w:val="center"/>
            </w:pPr>
            <w:r>
              <w:rPr>
                <w:rFonts w:ascii="MS PGothic" w:hAnsi="MS PGothic" w:eastAsia="MS PGothic"/>
                <w:b/>
                <w:color w:val="000000"/>
                <w:sz w:val="18"/>
              </w:rPr>
              <w:t>配合（呼称）</w:t>
            </w:r>
          </w:p>
        </w:tc>
        <w:tc>
          <w:tcPr>
            <w:tcW w:type="dxa" w:w="1994"/>
            <w:vAlign w:val="center"/>
            <w:tcW w:w="2600" w:type="dxa"/>
          </w:tcPr>
          <w:p>
            <w:pPr>
              <w:spacing w:before="20" w:after="20" w:lineRule="exact" w:line="240"/>
              <w:jc w:val="center"/>
            </w:pPr>
            <w:r>
              <w:rPr>
                <w:rFonts w:ascii="MS PGothic" w:hAnsi="MS PGothic" w:eastAsia="MS PGothic"/>
                <w:b/>
                <w:color w:val="000000"/>
                <w:sz w:val="18"/>
              </w:rPr>
              <w:t>構成</w:t>
            </w:r>
          </w:p>
        </w:tc>
        <w:tc>
          <w:tcPr>
            <w:tcW w:type="dxa" w:w="1994"/>
            <w:vAlign w:val="center"/>
            <w:tcW w:w="900" w:type="dxa"/>
          </w:tcPr>
          <w:p>
            <w:pPr>
              <w:spacing w:before="20" w:after="20" w:lineRule="exact" w:line="240"/>
              <w:jc w:val="center"/>
            </w:pPr>
            <w:r>
              <w:rPr>
                <w:rFonts w:ascii="MS PGothic" w:hAnsi="MS PGothic" w:eastAsia="MS PGothic"/>
                <w:b/>
                <w:color w:val="000000"/>
                <w:sz w:val="18"/>
              </w:rPr>
              <w:t>CSP</w:t>
            </w:r>
          </w:p>
        </w:tc>
        <w:tc>
          <w:tcPr>
            <w:tcW w:type="dxa" w:w="1994"/>
            <w:vAlign w:val="center"/>
            <w:tcW w:w="1100" w:type="dxa"/>
          </w:tcPr>
          <w:p>
            <w:pPr>
              <w:spacing w:before="20" w:after="20" w:lineRule="exact" w:line="240"/>
              <w:jc w:val="center"/>
            </w:pPr>
            <w:r>
              <w:rPr>
                <w:rFonts w:ascii="MS PGothic" w:hAnsi="MS PGothic" w:eastAsia="MS PGothic"/>
                <w:b/>
                <w:color w:val="000000"/>
                <w:sz w:val="18"/>
              </w:rPr>
              <w:t>SDS</w:t>
            </w:r>
          </w:p>
        </w:tc>
        <w:tc>
          <w:tcPr>
            <w:tcW w:type="dxa" w:w="1994"/>
            <w:vAlign w:val="center"/>
            <w:tcW w:w="1960" w:type="dxa"/>
          </w:tcPr>
          <w:p>
            <w:pPr>
              <w:spacing w:before="20" w:after="20" w:lineRule="exact" w:line="240"/>
              <w:jc w:val="center"/>
            </w:pPr>
            <w:r>
              <w:rPr>
                <w:rFonts w:ascii="MS PGothic" w:hAnsi="MS PGothic" w:eastAsia="MS PGothic"/>
                <w:b/>
                <w:color w:val="000000"/>
                <w:sz w:val="18"/>
              </w:rPr>
              <w:t>位置づけ</w:t>
            </w:r>
          </w:p>
        </w:tc>
      </w:tr>
      <w:tr>
        <w:tc>
          <w:tcPr>
            <w:tcW w:type="dxa" w:w="1994"/>
            <w:vAlign w:val="center"/>
            <w:tcW w:w="2700" w:type="dxa"/>
          </w:tcPr>
          <w:p>
            <w:pPr>
              <w:spacing w:before="20" w:after="20" w:lineRule="exact" w:line="240"/>
              <w:jc w:val="left"/>
            </w:pPr>
            <w:r>
              <w:rPr>
                <w:rFonts w:ascii="MS PGothic" w:hAnsi="MS PGothic" w:eastAsia="MS PGothic"/>
                <w:b w:val="0"/>
                <w:color w:val="000000"/>
                <w:sz w:val="18"/>
              </w:rPr>
              <w:t>AquaGel-K</w:t>
            </w:r>
          </w:p>
        </w:tc>
        <w:tc>
          <w:tcPr>
            <w:tcW w:type="dxa" w:w="1994"/>
            <w:vAlign w:val="center"/>
            <w:tcW w:w="2600" w:type="dxa"/>
          </w:tcPr>
          <w:p>
            <w:pPr>
              <w:spacing w:before="20" w:after="20" w:lineRule="exact" w:line="240"/>
              <w:jc w:val="center"/>
            </w:pPr>
            <w:r>
              <w:rPr>
                <w:rFonts w:ascii="MS PGothic" w:hAnsi="MS PGothic" w:eastAsia="MS PGothic"/>
                <w:b w:val="0"/>
                <w:color w:val="000000"/>
                <w:sz w:val="18"/>
              </w:rPr>
              <w:t>市販 WEG（高吸水性ポリマー）</w:t>
            </w:r>
          </w:p>
        </w:tc>
        <w:tc>
          <w:tcPr>
            <w:tcW w:type="dxa" w:w="1994"/>
            <w:vAlign w:val="center"/>
            <w:tcW w:w="900" w:type="dxa"/>
          </w:tcPr>
          <w:p>
            <w:pPr>
              <w:spacing w:before="20" w:after="20" w:lineRule="exact" w:line="240"/>
              <w:jc w:val="center"/>
            </w:pPr>
            <w:r>
              <w:rPr>
                <w:rFonts w:ascii="MS PGothic" w:hAnsi="MS PGothic" w:eastAsia="MS PGothic"/>
                <w:b w:val="0"/>
                <w:color w:val="000000"/>
                <w:sz w:val="18"/>
              </w:rPr>
              <w:t>—</w:t>
            </w:r>
          </w:p>
        </w:tc>
        <w:tc>
          <w:tcPr>
            <w:tcW w:type="dxa" w:w="1994"/>
            <w:vAlign w:val="center"/>
            <w:tcW w:w="1100" w:type="dxa"/>
          </w:tcPr>
          <w:p>
            <w:pPr>
              <w:spacing w:before="20" w:after="20" w:lineRule="exact" w:line="240"/>
              <w:jc w:val="center"/>
            </w:pPr>
            <w:r>
              <w:rPr>
                <w:rFonts w:ascii="MS PGothic" w:hAnsi="MS PGothic" w:eastAsia="MS PGothic"/>
                <w:b w:val="0"/>
                <w:color w:val="000000"/>
                <w:sz w:val="18"/>
              </w:rPr>
              <w:t>—</w:t>
            </w:r>
          </w:p>
        </w:tc>
        <w:tc>
          <w:tcPr>
            <w:tcW w:type="dxa" w:w="1994"/>
            <w:vAlign w:val="center"/>
            <w:tcW w:w="1960" w:type="dxa"/>
          </w:tcPr>
          <w:p>
            <w:pPr>
              <w:spacing w:before="20" w:after="20" w:lineRule="exact" w:line="240"/>
              <w:jc w:val="center"/>
            </w:pPr>
            <w:r>
              <w:rPr>
                <w:rFonts w:ascii="MS PGothic" w:hAnsi="MS PGothic" w:eastAsia="MS PGothic"/>
                <w:b w:val="0"/>
                <w:color w:val="000000"/>
                <w:sz w:val="18"/>
              </w:rPr>
              <w:t>対照（市販品）</w:t>
            </w:r>
          </w:p>
        </w:tc>
      </w:tr>
      <w:tr>
        <w:tc>
          <w:tcPr>
            <w:tcW w:type="dxa" w:w="1994"/>
            <w:vAlign w:val="center"/>
            <w:tcW w:w="2700" w:type="dxa"/>
          </w:tcPr>
          <w:p>
            <w:pPr>
              <w:spacing w:before="20" w:after="20" w:lineRule="exact" w:line="240"/>
              <w:jc w:val="left"/>
            </w:pPr>
            <w:r>
              <w:rPr>
                <w:rFonts w:ascii="MS PGothic" w:hAnsi="MS PGothic" w:eastAsia="MS PGothic"/>
                <w:b w:val="0"/>
                <w:color w:val="000000"/>
                <w:sz w:val="18"/>
              </w:rPr>
              <w:t>HEC+MC/CSP 1-5</w:t>
            </w:r>
          </w:p>
        </w:tc>
        <w:tc>
          <w:tcPr>
            <w:tcW w:type="dxa" w:w="1994"/>
            <w:vAlign w:val="center"/>
            <w:tcW w:w="2600" w:type="dxa"/>
          </w:tcPr>
          <w:p>
            <w:pPr>
              <w:spacing w:before="20" w:after="20" w:lineRule="exact" w:line="240"/>
              <w:jc w:val="center"/>
            </w:pPr>
            <w:r>
              <w:rPr>
                <w:rFonts w:ascii="MS PGothic" w:hAnsi="MS PGothic" w:eastAsia="MS PGothic"/>
                <w:b w:val="0"/>
                <w:color w:val="000000"/>
                <w:sz w:val="18"/>
              </w:rPr>
              <w:t>HEC＋MC（3成分系）</w:t>
            </w:r>
          </w:p>
        </w:tc>
        <w:tc>
          <w:tcPr>
            <w:tcW w:type="dxa" w:w="1994"/>
            <w:vAlign w:val="center"/>
            <w:tcW w:w="900" w:type="dxa"/>
          </w:tcPr>
          <w:p>
            <w:pPr>
              <w:spacing w:before="20" w:after="20" w:lineRule="exact" w:line="240"/>
              <w:jc w:val="center"/>
            </w:pPr>
            <w:r>
              <w:rPr>
                <w:rFonts w:ascii="MS PGothic" w:hAnsi="MS PGothic" w:eastAsia="MS PGothic"/>
                <w:b w:val="0"/>
                <w:color w:val="000000"/>
                <w:sz w:val="18"/>
              </w:rPr>
              <w:t>5 wt%</w:t>
            </w:r>
          </w:p>
        </w:tc>
        <w:tc>
          <w:tcPr>
            <w:tcW w:type="dxa" w:w="1994"/>
            <w:vAlign w:val="center"/>
            <w:tcW w:w="1100" w:type="dxa"/>
          </w:tcPr>
          <w:p>
            <w:pPr>
              <w:spacing w:before="20" w:after="20" w:lineRule="exact" w:line="240"/>
              <w:jc w:val="center"/>
            </w:pPr>
            <w:r>
              <w:rPr>
                <w:rFonts w:ascii="MS PGothic" w:hAnsi="MS PGothic" w:eastAsia="MS PGothic"/>
                <w:b w:val="0"/>
                <w:color w:val="000000"/>
                <w:sz w:val="18"/>
              </w:rPr>
              <w:t>0</w:t>
            </w:r>
          </w:p>
        </w:tc>
        <w:tc>
          <w:tcPr>
            <w:tcW w:type="dxa" w:w="1994"/>
            <w:vAlign w:val="center"/>
            <w:tcW w:w="1960" w:type="dxa"/>
          </w:tcPr>
          <w:p>
            <w:pPr>
              <w:spacing w:before="20" w:after="20" w:lineRule="exact" w:line="240"/>
              <w:jc w:val="center"/>
            </w:pPr>
            <w:r>
              <w:rPr>
                <w:rFonts w:ascii="MS PGothic" w:hAnsi="MS PGothic" w:eastAsia="MS PGothic"/>
                <w:b w:val="0"/>
                <w:color w:val="000000"/>
                <w:sz w:val="18"/>
              </w:rPr>
              <w:t>試験系・基準</w:t>
            </w:r>
          </w:p>
        </w:tc>
      </w:tr>
      <w:tr>
        <w:tc>
          <w:tcPr>
            <w:tcW w:type="dxa" w:w="1994"/>
            <w:vAlign w:val="center"/>
            <w:tcW w:w="2700" w:type="dxa"/>
          </w:tcPr>
          <w:p>
            <w:pPr>
              <w:spacing w:before="20" w:after="20" w:lineRule="exact" w:line="240"/>
              <w:jc w:val="left"/>
            </w:pPr>
            <w:r>
              <w:rPr>
                <w:rFonts w:ascii="MS PGothic" w:hAnsi="MS PGothic" w:eastAsia="MS PGothic"/>
                <w:b w:val="0"/>
                <w:color w:val="000000"/>
                <w:sz w:val="18"/>
              </w:rPr>
              <w:t>MHEC/CSP 1-5</w:t>
            </w:r>
          </w:p>
        </w:tc>
        <w:tc>
          <w:tcPr>
            <w:tcW w:type="dxa" w:w="1994"/>
            <w:vAlign w:val="center"/>
            <w:tcW w:w="2600" w:type="dxa"/>
          </w:tcPr>
          <w:p>
            <w:pPr>
              <w:spacing w:before="20" w:after="20" w:lineRule="exact" w:line="240"/>
              <w:jc w:val="center"/>
            </w:pPr>
            <w:r>
              <w:rPr>
                <w:rFonts w:ascii="MS PGothic" w:hAnsi="MS PGothic" w:eastAsia="MS PGothic"/>
                <w:b w:val="0"/>
                <w:color w:val="000000"/>
                <w:sz w:val="18"/>
              </w:rPr>
              <w:t>MHEC（2成分系）</w:t>
            </w:r>
          </w:p>
        </w:tc>
        <w:tc>
          <w:tcPr>
            <w:tcW w:type="dxa" w:w="1994"/>
            <w:vAlign w:val="center"/>
            <w:tcW w:w="900" w:type="dxa"/>
          </w:tcPr>
          <w:p>
            <w:pPr>
              <w:spacing w:before="20" w:after="20" w:lineRule="exact" w:line="240"/>
              <w:jc w:val="center"/>
            </w:pPr>
            <w:r>
              <w:rPr>
                <w:rFonts w:ascii="MS PGothic" w:hAnsi="MS PGothic" w:eastAsia="MS PGothic"/>
                <w:b w:val="0"/>
                <w:color w:val="000000"/>
                <w:sz w:val="18"/>
              </w:rPr>
              <w:t>5 wt%</w:t>
            </w:r>
          </w:p>
        </w:tc>
        <w:tc>
          <w:tcPr>
            <w:tcW w:type="dxa" w:w="1994"/>
            <w:vAlign w:val="center"/>
            <w:tcW w:w="1100" w:type="dxa"/>
          </w:tcPr>
          <w:p>
            <w:pPr>
              <w:spacing w:before="20" w:after="20" w:lineRule="exact" w:line="240"/>
              <w:jc w:val="center"/>
            </w:pPr>
            <w:r>
              <w:rPr>
                <w:rFonts w:ascii="MS PGothic" w:hAnsi="MS PGothic" w:eastAsia="MS PGothic"/>
                <w:b w:val="0"/>
                <w:color w:val="000000"/>
                <w:sz w:val="18"/>
              </w:rPr>
              <w:t>0</w:t>
            </w:r>
          </w:p>
        </w:tc>
        <w:tc>
          <w:tcPr>
            <w:tcW w:type="dxa" w:w="1994"/>
            <w:vAlign w:val="center"/>
            <w:tcW w:w="1960" w:type="dxa"/>
          </w:tcPr>
          <w:p>
            <w:pPr>
              <w:spacing w:before="20" w:after="20" w:lineRule="exact" w:line="240"/>
              <w:jc w:val="center"/>
            </w:pPr>
            <w:r>
              <w:rPr>
                <w:rFonts w:ascii="MS PGothic" w:hAnsi="MS PGothic" w:eastAsia="MS PGothic"/>
                <w:b w:val="0"/>
                <w:color w:val="000000"/>
                <w:sz w:val="18"/>
              </w:rPr>
              <w:t>試験系・単一ポリマー</w:t>
            </w:r>
          </w:p>
        </w:tc>
      </w:tr>
      <w:tr>
        <w:tc>
          <w:tcPr>
            <w:tcW w:type="dxa" w:w="1994"/>
            <w:vAlign w:val="center"/>
            <w:tcW w:w="2700" w:type="dxa"/>
          </w:tcPr>
          <w:p>
            <w:pPr>
              <w:spacing w:before="20" w:after="20" w:lineRule="exact" w:line="240"/>
              <w:jc w:val="left"/>
            </w:pPr>
            <w:r>
              <w:rPr>
                <w:rFonts w:ascii="MS PGothic" w:hAnsi="MS PGothic" w:eastAsia="MS PGothic"/>
                <w:b w:val="0"/>
                <w:color w:val="000000"/>
                <w:sz w:val="18"/>
              </w:rPr>
              <w:t>HEC+MC/CSP/SDS 1-5-0.1</w:t>
            </w:r>
          </w:p>
        </w:tc>
        <w:tc>
          <w:tcPr>
            <w:tcW w:type="dxa" w:w="1994"/>
            <w:vAlign w:val="center"/>
            <w:tcW w:w="2600" w:type="dxa"/>
          </w:tcPr>
          <w:p>
            <w:pPr>
              <w:spacing w:before="20" w:after="20" w:lineRule="exact" w:line="240"/>
              <w:jc w:val="center"/>
            </w:pPr>
            <w:r>
              <w:rPr>
                <w:rFonts w:ascii="MS PGothic" w:hAnsi="MS PGothic" w:eastAsia="MS PGothic"/>
                <w:b w:val="0"/>
                <w:color w:val="000000"/>
                <w:sz w:val="18"/>
              </w:rPr>
              <w:t>HEC＋MC＋SDS</w:t>
            </w:r>
          </w:p>
        </w:tc>
        <w:tc>
          <w:tcPr>
            <w:tcW w:type="dxa" w:w="1994"/>
            <w:vAlign w:val="center"/>
            <w:tcW w:w="900" w:type="dxa"/>
          </w:tcPr>
          <w:p>
            <w:pPr>
              <w:spacing w:before="20" w:after="20" w:lineRule="exact" w:line="240"/>
              <w:jc w:val="center"/>
            </w:pPr>
            <w:r>
              <w:rPr>
                <w:rFonts w:ascii="MS PGothic" w:hAnsi="MS PGothic" w:eastAsia="MS PGothic"/>
                <w:b w:val="0"/>
                <w:color w:val="000000"/>
                <w:sz w:val="18"/>
              </w:rPr>
              <w:t>5 wt%</w:t>
            </w:r>
          </w:p>
        </w:tc>
        <w:tc>
          <w:tcPr>
            <w:tcW w:type="dxa" w:w="1994"/>
            <w:vAlign w:val="center"/>
            <w:tcW w:w="1100" w:type="dxa"/>
          </w:tcPr>
          <w:p>
            <w:pPr>
              <w:spacing w:before="20" w:after="20" w:lineRule="exact" w:line="240"/>
              <w:jc w:val="center"/>
            </w:pPr>
            <w:r>
              <w:rPr>
                <w:rFonts w:ascii="MS PGothic" w:hAnsi="MS PGothic" w:eastAsia="MS PGothic"/>
                <w:b w:val="0"/>
                <w:color w:val="000000"/>
                <w:sz w:val="18"/>
              </w:rPr>
              <w:t>0.1 wt%</w:t>
            </w:r>
          </w:p>
        </w:tc>
        <w:tc>
          <w:tcPr>
            <w:tcW w:type="dxa" w:w="1994"/>
            <w:vAlign w:val="center"/>
            <w:tcW w:w="1960" w:type="dxa"/>
          </w:tcPr>
          <w:p>
            <w:pPr>
              <w:spacing w:before="20" w:after="20" w:lineRule="exact" w:line="240"/>
              <w:jc w:val="center"/>
            </w:pPr>
            <w:r>
              <w:rPr>
                <w:rFonts w:ascii="MS PGothic" w:hAnsi="MS PGothic" w:eastAsia="MS PGothic"/>
                <w:b w:val="0"/>
                <w:color w:val="000000"/>
                <w:sz w:val="18"/>
              </w:rPr>
              <w:t>SDS 低濃度</w:t>
            </w:r>
          </w:p>
        </w:tc>
      </w:tr>
      <w:tr>
        <w:tc>
          <w:tcPr>
            <w:tcW w:type="dxa" w:w="1994"/>
            <w:vAlign w:val="center"/>
            <w:tcW w:w="2700" w:type="dxa"/>
          </w:tcPr>
          <w:p>
            <w:pPr>
              <w:spacing w:before="20" w:after="20" w:lineRule="exact" w:line="240"/>
              <w:jc w:val="left"/>
            </w:pPr>
            <w:r>
              <w:rPr>
                <w:rFonts w:ascii="MS PGothic" w:hAnsi="MS PGothic" w:eastAsia="MS PGothic"/>
                <w:b w:val="0"/>
                <w:color w:val="000000"/>
                <w:sz w:val="18"/>
              </w:rPr>
              <w:t>HEC+MC/CSP/SDS 1-5-0.5</w:t>
            </w:r>
          </w:p>
        </w:tc>
        <w:tc>
          <w:tcPr>
            <w:tcW w:type="dxa" w:w="1994"/>
            <w:vAlign w:val="center"/>
            <w:tcW w:w="2600" w:type="dxa"/>
          </w:tcPr>
          <w:p>
            <w:pPr>
              <w:spacing w:before="20" w:after="20" w:lineRule="exact" w:line="240"/>
              <w:jc w:val="center"/>
            </w:pPr>
            <w:r>
              <w:rPr>
                <w:rFonts w:ascii="MS PGothic" w:hAnsi="MS PGothic" w:eastAsia="MS PGothic"/>
                <w:b w:val="0"/>
                <w:color w:val="000000"/>
                <w:sz w:val="18"/>
              </w:rPr>
              <w:t>HEC＋MC＋SDS</w:t>
            </w:r>
          </w:p>
        </w:tc>
        <w:tc>
          <w:tcPr>
            <w:tcW w:type="dxa" w:w="1994"/>
            <w:vAlign w:val="center"/>
            <w:tcW w:w="900" w:type="dxa"/>
          </w:tcPr>
          <w:p>
            <w:pPr>
              <w:spacing w:before="20" w:after="20" w:lineRule="exact" w:line="240"/>
              <w:jc w:val="center"/>
            </w:pPr>
            <w:r>
              <w:rPr>
                <w:rFonts w:ascii="MS PGothic" w:hAnsi="MS PGothic" w:eastAsia="MS PGothic"/>
                <w:b w:val="0"/>
                <w:color w:val="000000"/>
                <w:sz w:val="18"/>
              </w:rPr>
              <w:t>5 wt%</w:t>
            </w:r>
          </w:p>
        </w:tc>
        <w:tc>
          <w:tcPr>
            <w:tcW w:type="dxa" w:w="1994"/>
            <w:vAlign w:val="center"/>
            <w:tcW w:w="1100" w:type="dxa"/>
          </w:tcPr>
          <w:p>
            <w:pPr>
              <w:spacing w:before="20" w:after="20" w:lineRule="exact" w:line="240"/>
              <w:jc w:val="center"/>
            </w:pPr>
            <w:r>
              <w:rPr>
                <w:rFonts w:ascii="MS PGothic" w:hAnsi="MS PGothic" w:eastAsia="MS PGothic"/>
                <w:b w:val="0"/>
                <w:color w:val="000000"/>
                <w:sz w:val="18"/>
              </w:rPr>
              <w:t>0.5 wt%</w:t>
            </w:r>
          </w:p>
        </w:tc>
        <w:tc>
          <w:tcPr>
            <w:tcW w:type="dxa" w:w="1994"/>
            <w:vAlign w:val="center"/>
            <w:tcW w:w="1960" w:type="dxa"/>
          </w:tcPr>
          <w:p>
            <w:pPr>
              <w:spacing w:before="20" w:after="20" w:lineRule="exact" w:line="240"/>
              <w:jc w:val="center"/>
            </w:pPr>
            <w:r>
              <w:rPr>
                <w:rFonts w:ascii="MS PGothic" w:hAnsi="MS PGothic" w:eastAsia="MS PGothic"/>
                <w:b w:val="0"/>
                <w:color w:val="000000"/>
                <w:sz w:val="18"/>
              </w:rPr>
              <w:t>SDS 高濃度</w:t>
            </w:r>
          </w:p>
        </w:tc>
      </w:tr>
    </w:tbl>
    <w:p>
      <w:pPr>
        <w:spacing w:before="0" w:after="60"/>
      </w:pPr>
    </w:p>
    <w:p>
      <w:pPr>
        <w:spacing w:before="120" w:after="20" w:lineRule="exact" w:line="300"/>
      </w:pPr>
      <w:r>
        <w:rPr>
          <w:rFonts w:ascii="MS PGothic" w:hAnsi="MS PGothic" w:eastAsia="MS PGothic"/>
          <w:b/>
          <w:color w:val="000000"/>
          <w:sz w:val="21"/>
        </w:rPr>
        <w:t>2. 測定手法</w:t>
      </w:r>
    </w:p>
    <w:p>
      <w:pPr>
        <w:spacing w:before="0" w:after="40" w:lineRule="exact" w:line="280"/>
        <w:ind w:firstLine="227"/>
      </w:pPr>
      <w:r>
        <w:rPr>
          <w:rFonts w:ascii="MS PGothic" w:hAnsi="MS PGothic" w:eastAsia="MS PGothic"/>
          <w:b w:val="0"/>
          <w:color w:val="000000"/>
          <w:sz w:val="19"/>
        </w:rPr>
        <w:t>レオロジーは TA Instruments Discovery HR-2 等で実施した。線形粘弾性領域内での周波数掃引により貯蔵弾性率 G' と損失正接 tan(δ)（= G''/G'）を、ステップひずみ試験により自己修復性を評価した。定常フロースイープ（せん断速度を100 から 0.01 s⁻¹ へ低下）を Herschel–Bulkley（HB）モデル σ = σ_y + K·γ̇ⁿ でフィットして動的降伏応力 σ_y を、LAOS（大振幅振動せん断）の第1高調波 G'₁ と G''₁ のクロスオーバー応力として静的降伏応力をそれぞれ算出した。燃焼試験では、合板（2.54 × 2.54 cm）にゲル 20 g（厚さ約1/4インチ）を塗布し、Benzomatic MAP-Pro トーチ（プロピレン 99.5〜100 vol%＋プロパン 0〜0.5 vol%、炎温度約2054℃）で加熱、木材が炭化し始めるまでの時間（Time to char）を指標とした（n ≥ 3）。さらに SEM（断面・焼結観察）、TGA（熱重量分析、水分保持と難燃性の比較）、FT-IR ATR・XPS（燃焼前後の化学組成変化）を実施した。なお本論文に DSC データは含まれない。</w:t>
      </w:r>
    </w:p>
    <w:p>
      <w:pPr>
        <w:spacing w:before="160" w:after="40"/>
      </w:pPr>
      <w:r>
        <w:rPr>
          <w:rFonts w:ascii="MS PGothic" w:hAnsi="MS PGothic" w:eastAsia="MS PGothic"/>
          <w:b/>
          <w:color w:val="000000"/>
          <w:sz w:val="22"/>
        </w:rPr>
        <w:t>【実験結果と考察】</w:t>
      </w:r>
    </w:p>
    <w:p>
      <w:pPr>
        <w:spacing w:before="120" w:after="20" w:lineRule="exact" w:line="300"/>
      </w:pPr>
      <w:r>
        <w:rPr>
          <w:rFonts w:ascii="MS PGothic" w:hAnsi="MS PGothic" w:eastAsia="MS PGothic"/>
          <w:b/>
          <w:color w:val="000000"/>
          <w:sz w:val="21"/>
        </w:rPr>
        <w:t>1. レオロジー特性とゲル化の確認（Figure 2, S1, S3）</w:t>
      </w:r>
    </w:p>
    <w:p>
      <w:pPr>
        <w:spacing w:before="0" w:after="40" w:lineRule="exact" w:line="280"/>
        <w:ind w:firstLine="227"/>
      </w:pPr>
      <w:r>
        <w:rPr>
          <w:rFonts w:ascii="MS PGothic" w:hAnsi="MS PGothic" w:eastAsia="MS PGothic"/>
          <w:b w:val="0"/>
          <w:color w:val="000000"/>
          <w:sz w:val="19"/>
        </w:rPr>
        <w:t>まず CSP 添加によるゲル化を確認した。ポリマー単体（HEC＋MC または MHEC の1 wt% 水溶液）では周波数掃引でG' と G'' のクロスオーバーが観測され液体的に振る舞うが、CSP を添加すると 0.1〜100 rad/s の全周波数域でクロスオーバーが消失し G' &gt; G'' となって固体的ゲルへ転移した（Fig. S1）。クロスオーバーの消失は、PP 相互作用による物理架橋ネットワークが長い緩和時間を持つゲルへ移行したことを示す。1 rad/s での G' と tan(δ) は、AquaGel-K が G' = 456.8 Pa（tan δ = 0.168）と最も剛性が高い一方、PP ゲルは HEC+MC/CSP 1-5 が G' = 46.4 Pa（tan δ = 0.219）、MHEC/CSP 1-5 が G' = 25.6 Pa（tan δ = 0.400）であった（Fig. 2a, b）。PP ゲルは AquaGel-K よりtan(δ) が高く、変形エネルギーをより散逸する流動的な性質を持つ。</w:t>
      </w:r>
    </w:p>
    <w:p>
      <w:pPr>
        <w:spacing w:before="0" w:after="40" w:lineRule="exact" w:line="280"/>
        <w:ind w:firstLine="227"/>
      </w:pPr>
      <w:r>
        <w:rPr>
          <w:rFonts w:ascii="MS PGothic" w:hAnsi="MS PGothic" w:eastAsia="MS PGothic"/>
          <w:b w:val="0"/>
          <w:color w:val="000000"/>
          <w:sz w:val="19"/>
        </w:rPr>
        <w:t>全 PP ゲルは定常フロースイープで明瞭なせん断希薄化を示し（Fig. 2c）、HB フィットから動的降伏応力が得られた（Fig. 2d）。動的降伏応力は流動状態を維持するのに必要な応力で、噴霧可能性（sprayability）の指標となり、本系は噴霧の目安（約0.05 Pa の赤線）を上回る適度な値を示した。一方 LAOS から求めた静的降伏応力は流動開始に必要な応力で、高いほど垂直面への付着・耐ダレ性に優れる（Fig. S3）。SDS 添加の影響は当初の期待に反し、HEC+MC/CSP/SDS 1-5-0.1 が G' = 58.2 Pa（tan δ = 0.193）と僅かに剛性化したものの、0.5 wt% では G' = 33.8 Pa（tan δ = 0.242）へ軟化し降伏応力も低下した（Fig. 2e–h）。SDS 0.1 wt% を超える添加はゲルを軟化・流動化させ、レオロジー的にはむしろ不利であった。</w:t>
      </w:r>
    </w:p>
    <w:p>
      <w:pPr>
        <w:spacing w:before="20" w:after="40" w:lineRule="exact" w:line="240"/>
      </w:pPr>
      <w:r>
        <w:rPr>
          <w:rFonts w:ascii="MS PGothic" w:hAnsi="MS PGothic" w:eastAsia="MS PGothic"/>
          <w:b/>
          <w:color w:val="000000"/>
          <w:sz w:val="17"/>
        </w:rPr>
        <w:t>Table 2. SAOS（1 rad/s）における G' と tan(δ)</w:t>
      </w:r>
    </w:p>
    <w:tbl>
      <w:tblPr>
        <w:tblStyle w:val="TableGrid"/>
        <w:tblW w:type="auto" w:w="0"/>
        <w:jc w:val="center"/>
        <w:tblLook w:firstColumn="1" w:firstRow="1" w:lastColumn="0" w:lastRow="0" w:noHBand="0" w:noVBand="1" w:val="04A0"/>
      </w:tblPr>
      <w:tblGrid>
        <w:gridCol w:w="2493"/>
        <w:gridCol w:w="2493"/>
        <w:gridCol w:w="2493"/>
        <w:gridCol w:w="2493"/>
      </w:tblGrid>
      <w:tr>
        <w:tc>
          <w:tcPr>
            <w:tcW w:type="dxa" w:w="2493"/>
            <w:vAlign w:val="center"/>
            <w:tcW w:w="3100" w:type="dxa"/>
          </w:tcPr>
          <w:p>
            <w:pPr>
              <w:spacing w:before="20" w:after="20" w:lineRule="exact" w:line="240"/>
              <w:jc w:val="center"/>
            </w:pPr>
            <w:r>
              <w:rPr>
                <w:rFonts w:ascii="MS PGothic" w:hAnsi="MS PGothic" w:eastAsia="MS PGothic"/>
                <w:b/>
                <w:color w:val="000000"/>
                <w:sz w:val="18"/>
              </w:rPr>
              <w:t>配合</w:t>
            </w:r>
          </w:p>
        </w:tc>
        <w:tc>
          <w:tcPr>
            <w:tcW w:type="dxa" w:w="2493"/>
            <w:vAlign w:val="center"/>
            <w:tcW w:w="1300" w:type="dxa"/>
          </w:tcPr>
          <w:p>
            <w:pPr>
              <w:spacing w:before="20" w:after="20" w:lineRule="exact" w:line="240"/>
              <w:jc w:val="center"/>
            </w:pPr>
            <w:r>
              <w:rPr>
                <w:rFonts w:ascii="MS PGothic" w:hAnsi="MS PGothic" w:eastAsia="MS PGothic"/>
                <w:b/>
                <w:color w:val="000000"/>
                <w:sz w:val="18"/>
              </w:rPr>
              <w:t>G' (Pa)</w:t>
            </w:r>
          </w:p>
        </w:tc>
        <w:tc>
          <w:tcPr>
            <w:tcW w:type="dxa" w:w="2493"/>
            <w:vAlign w:val="center"/>
            <w:tcW w:w="1300" w:type="dxa"/>
          </w:tcPr>
          <w:p>
            <w:pPr>
              <w:spacing w:before="20" w:after="20" w:lineRule="exact" w:line="240"/>
              <w:jc w:val="center"/>
            </w:pPr>
            <w:r>
              <w:rPr>
                <w:rFonts w:ascii="MS PGothic" w:hAnsi="MS PGothic" w:eastAsia="MS PGothic"/>
                <w:b/>
                <w:color w:val="000000"/>
                <w:sz w:val="18"/>
              </w:rPr>
              <w:t>tan(δ)</w:t>
            </w:r>
          </w:p>
        </w:tc>
        <w:tc>
          <w:tcPr>
            <w:tcW w:type="dxa" w:w="2493"/>
            <w:vAlign w:val="center"/>
            <w:tcW w:w="3560" w:type="dxa"/>
          </w:tcPr>
          <w:p>
            <w:pPr>
              <w:spacing w:before="20" w:after="20" w:lineRule="exact" w:line="240"/>
              <w:jc w:val="center"/>
            </w:pPr>
            <w:r>
              <w:rPr>
                <w:rFonts w:ascii="MS PGothic" w:hAnsi="MS PGothic" w:eastAsia="MS PGothic"/>
                <w:b/>
                <w:color w:val="000000"/>
                <w:sz w:val="18"/>
              </w:rPr>
              <w:t>特徴</w:t>
            </w:r>
          </w:p>
        </w:tc>
      </w:tr>
      <w:tr>
        <w:tc>
          <w:tcPr>
            <w:tcW w:type="dxa" w:w="2493"/>
            <w:vAlign w:val="center"/>
            <w:tcW w:w="3100" w:type="dxa"/>
          </w:tcPr>
          <w:p>
            <w:pPr>
              <w:spacing w:before="20" w:after="20" w:lineRule="exact" w:line="240"/>
              <w:jc w:val="left"/>
            </w:pPr>
            <w:r>
              <w:rPr>
                <w:rFonts w:ascii="MS PGothic" w:hAnsi="MS PGothic" w:eastAsia="MS PGothic"/>
                <w:b w:val="0"/>
                <w:color w:val="000000"/>
                <w:sz w:val="18"/>
              </w:rPr>
              <w:t>AquaGel-K</w:t>
            </w:r>
          </w:p>
        </w:tc>
        <w:tc>
          <w:tcPr>
            <w:tcW w:type="dxa" w:w="2493"/>
            <w:vAlign w:val="center"/>
            <w:tcW w:w="1300" w:type="dxa"/>
          </w:tcPr>
          <w:p>
            <w:pPr>
              <w:spacing w:before="20" w:after="20" w:lineRule="exact" w:line="240"/>
              <w:jc w:val="center"/>
            </w:pPr>
            <w:r>
              <w:rPr>
                <w:rFonts w:ascii="MS PGothic" w:hAnsi="MS PGothic" w:eastAsia="MS PGothic"/>
                <w:b w:val="0"/>
                <w:color w:val="000000"/>
                <w:sz w:val="18"/>
              </w:rPr>
              <w:t>456.8</w:t>
            </w:r>
          </w:p>
        </w:tc>
        <w:tc>
          <w:tcPr>
            <w:tcW w:type="dxa" w:w="2493"/>
            <w:vAlign w:val="center"/>
            <w:tcW w:w="1300" w:type="dxa"/>
          </w:tcPr>
          <w:p>
            <w:pPr>
              <w:spacing w:before="20" w:after="20" w:lineRule="exact" w:line="240"/>
              <w:jc w:val="center"/>
            </w:pPr>
            <w:r>
              <w:rPr>
                <w:rFonts w:ascii="MS PGothic" w:hAnsi="MS PGothic" w:eastAsia="MS PGothic"/>
                <w:b w:val="0"/>
                <w:color w:val="000000"/>
                <w:sz w:val="18"/>
              </w:rPr>
              <w:t>0.168</w:t>
            </w:r>
          </w:p>
        </w:tc>
        <w:tc>
          <w:tcPr>
            <w:tcW w:type="dxa" w:w="2493"/>
            <w:vAlign w:val="center"/>
            <w:tcW w:w="3560" w:type="dxa"/>
          </w:tcPr>
          <w:p>
            <w:pPr>
              <w:spacing w:before="20" w:after="20" w:lineRule="exact" w:line="240"/>
              <w:jc w:val="center"/>
            </w:pPr>
            <w:r>
              <w:rPr>
                <w:rFonts w:ascii="MS PGothic" w:hAnsi="MS PGothic" w:eastAsia="MS PGothic"/>
                <w:b w:val="0"/>
                <w:color w:val="000000"/>
                <w:sz w:val="18"/>
              </w:rPr>
              <w:t>最も剛性が高く弾性的</w:t>
            </w:r>
          </w:p>
        </w:tc>
      </w:tr>
      <w:tr>
        <w:tc>
          <w:tcPr>
            <w:tcW w:type="dxa" w:w="2493"/>
            <w:vAlign w:val="center"/>
            <w:tcW w:w="3100" w:type="dxa"/>
          </w:tcPr>
          <w:p>
            <w:pPr>
              <w:spacing w:before="20" w:after="20" w:lineRule="exact" w:line="240"/>
              <w:jc w:val="left"/>
            </w:pPr>
            <w:r>
              <w:rPr>
                <w:rFonts w:ascii="MS PGothic" w:hAnsi="MS PGothic" w:eastAsia="MS PGothic"/>
                <w:b w:val="0"/>
                <w:color w:val="000000"/>
                <w:sz w:val="18"/>
              </w:rPr>
              <w:t>HEC+MC/CSP 1-5</w:t>
            </w:r>
          </w:p>
        </w:tc>
        <w:tc>
          <w:tcPr>
            <w:tcW w:type="dxa" w:w="2493"/>
            <w:vAlign w:val="center"/>
            <w:tcW w:w="1300" w:type="dxa"/>
          </w:tcPr>
          <w:p>
            <w:pPr>
              <w:spacing w:before="20" w:after="20" w:lineRule="exact" w:line="240"/>
              <w:jc w:val="center"/>
            </w:pPr>
            <w:r>
              <w:rPr>
                <w:rFonts w:ascii="MS PGothic" w:hAnsi="MS PGothic" w:eastAsia="MS PGothic"/>
                <w:b w:val="0"/>
                <w:color w:val="000000"/>
                <w:sz w:val="18"/>
              </w:rPr>
              <w:t>46.4</w:t>
            </w:r>
          </w:p>
        </w:tc>
        <w:tc>
          <w:tcPr>
            <w:tcW w:type="dxa" w:w="2493"/>
            <w:vAlign w:val="center"/>
            <w:tcW w:w="1300" w:type="dxa"/>
          </w:tcPr>
          <w:p>
            <w:pPr>
              <w:spacing w:before="20" w:after="20" w:lineRule="exact" w:line="240"/>
              <w:jc w:val="center"/>
            </w:pPr>
            <w:r>
              <w:rPr>
                <w:rFonts w:ascii="MS PGothic" w:hAnsi="MS PGothic" w:eastAsia="MS PGothic"/>
                <w:b w:val="0"/>
                <w:color w:val="000000"/>
                <w:sz w:val="18"/>
              </w:rPr>
              <w:t>0.219</w:t>
            </w:r>
          </w:p>
        </w:tc>
        <w:tc>
          <w:tcPr>
            <w:tcW w:type="dxa" w:w="2493"/>
            <w:vAlign w:val="center"/>
            <w:tcW w:w="3560" w:type="dxa"/>
          </w:tcPr>
          <w:p>
            <w:pPr>
              <w:spacing w:before="20" w:after="20" w:lineRule="exact" w:line="240"/>
              <w:jc w:val="center"/>
            </w:pPr>
            <w:r>
              <w:rPr>
                <w:rFonts w:ascii="MS PGothic" w:hAnsi="MS PGothic" w:eastAsia="MS PGothic"/>
                <w:b w:val="0"/>
                <w:color w:val="000000"/>
                <w:sz w:val="18"/>
              </w:rPr>
              <w:t>PP ゲル・基準</w:t>
            </w:r>
          </w:p>
        </w:tc>
      </w:tr>
      <w:tr>
        <w:tc>
          <w:tcPr>
            <w:tcW w:type="dxa" w:w="2493"/>
            <w:vAlign w:val="center"/>
            <w:tcW w:w="3100" w:type="dxa"/>
          </w:tcPr>
          <w:p>
            <w:pPr>
              <w:spacing w:before="20" w:after="20" w:lineRule="exact" w:line="240"/>
              <w:jc w:val="left"/>
            </w:pPr>
            <w:r>
              <w:rPr>
                <w:rFonts w:ascii="MS PGothic" w:hAnsi="MS PGothic" w:eastAsia="MS PGothic"/>
                <w:b w:val="0"/>
                <w:color w:val="000000"/>
                <w:sz w:val="18"/>
              </w:rPr>
              <w:t>MHEC/CSP 1-5</w:t>
            </w:r>
          </w:p>
        </w:tc>
        <w:tc>
          <w:tcPr>
            <w:tcW w:type="dxa" w:w="2493"/>
            <w:vAlign w:val="center"/>
            <w:tcW w:w="1300" w:type="dxa"/>
          </w:tcPr>
          <w:p>
            <w:pPr>
              <w:spacing w:before="20" w:after="20" w:lineRule="exact" w:line="240"/>
              <w:jc w:val="center"/>
            </w:pPr>
            <w:r>
              <w:rPr>
                <w:rFonts w:ascii="MS PGothic" w:hAnsi="MS PGothic" w:eastAsia="MS PGothic"/>
                <w:b w:val="0"/>
                <w:color w:val="000000"/>
                <w:sz w:val="18"/>
              </w:rPr>
              <w:t>25.6</w:t>
            </w:r>
          </w:p>
        </w:tc>
        <w:tc>
          <w:tcPr>
            <w:tcW w:type="dxa" w:w="2493"/>
            <w:vAlign w:val="center"/>
            <w:tcW w:w="1300" w:type="dxa"/>
          </w:tcPr>
          <w:p>
            <w:pPr>
              <w:spacing w:before="20" w:after="20" w:lineRule="exact" w:line="240"/>
              <w:jc w:val="center"/>
            </w:pPr>
            <w:r>
              <w:rPr>
                <w:rFonts w:ascii="MS PGothic" w:hAnsi="MS PGothic" w:eastAsia="MS PGothic"/>
                <w:b w:val="0"/>
                <w:color w:val="000000"/>
                <w:sz w:val="18"/>
              </w:rPr>
              <w:t>0.400</w:t>
            </w:r>
          </w:p>
        </w:tc>
        <w:tc>
          <w:tcPr>
            <w:tcW w:type="dxa" w:w="2493"/>
            <w:vAlign w:val="center"/>
            <w:tcW w:w="3560" w:type="dxa"/>
          </w:tcPr>
          <w:p>
            <w:pPr>
              <w:spacing w:before="20" w:after="20" w:lineRule="exact" w:line="240"/>
              <w:jc w:val="center"/>
            </w:pPr>
            <w:r>
              <w:rPr>
                <w:rFonts w:ascii="MS PGothic" w:hAnsi="MS PGothic" w:eastAsia="MS PGothic"/>
                <w:b w:val="0"/>
                <w:color w:val="000000"/>
                <w:sz w:val="18"/>
              </w:rPr>
              <w:t>最も流動的（tan δ 大）</w:t>
            </w:r>
          </w:p>
        </w:tc>
      </w:tr>
      <w:tr>
        <w:tc>
          <w:tcPr>
            <w:tcW w:type="dxa" w:w="2493"/>
            <w:vAlign w:val="center"/>
            <w:tcW w:w="3100" w:type="dxa"/>
          </w:tcPr>
          <w:p>
            <w:pPr>
              <w:spacing w:before="20" w:after="20" w:lineRule="exact" w:line="240"/>
              <w:jc w:val="left"/>
            </w:pPr>
            <w:r>
              <w:rPr>
                <w:rFonts w:ascii="MS PGothic" w:hAnsi="MS PGothic" w:eastAsia="MS PGothic"/>
                <w:b w:val="0"/>
                <w:color w:val="000000"/>
                <w:sz w:val="18"/>
              </w:rPr>
              <w:t>HEC+MC/CSP/SDS 1-5-0.1</w:t>
            </w:r>
          </w:p>
        </w:tc>
        <w:tc>
          <w:tcPr>
            <w:tcW w:type="dxa" w:w="2493"/>
            <w:vAlign w:val="center"/>
            <w:tcW w:w="1300" w:type="dxa"/>
          </w:tcPr>
          <w:p>
            <w:pPr>
              <w:spacing w:before="20" w:after="20" w:lineRule="exact" w:line="240"/>
              <w:jc w:val="center"/>
            </w:pPr>
            <w:r>
              <w:rPr>
                <w:rFonts w:ascii="MS PGothic" w:hAnsi="MS PGothic" w:eastAsia="MS PGothic"/>
                <w:b w:val="0"/>
                <w:color w:val="000000"/>
                <w:sz w:val="18"/>
              </w:rPr>
              <w:t>58.2</w:t>
            </w:r>
          </w:p>
        </w:tc>
        <w:tc>
          <w:tcPr>
            <w:tcW w:type="dxa" w:w="2493"/>
            <w:vAlign w:val="center"/>
            <w:tcW w:w="1300" w:type="dxa"/>
          </w:tcPr>
          <w:p>
            <w:pPr>
              <w:spacing w:before="20" w:after="20" w:lineRule="exact" w:line="240"/>
              <w:jc w:val="center"/>
            </w:pPr>
            <w:r>
              <w:rPr>
                <w:rFonts w:ascii="MS PGothic" w:hAnsi="MS PGothic" w:eastAsia="MS PGothic"/>
                <w:b w:val="0"/>
                <w:color w:val="000000"/>
                <w:sz w:val="18"/>
              </w:rPr>
              <w:t>0.193</w:t>
            </w:r>
          </w:p>
        </w:tc>
        <w:tc>
          <w:tcPr>
            <w:tcW w:type="dxa" w:w="2493"/>
            <w:vAlign w:val="center"/>
            <w:tcW w:w="3560" w:type="dxa"/>
          </w:tcPr>
          <w:p>
            <w:pPr>
              <w:spacing w:before="20" w:after="20" w:lineRule="exact" w:line="240"/>
              <w:jc w:val="center"/>
            </w:pPr>
            <w:r>
              <w:rPr>
                <w:rFonts w:ascii="MS PGothic" w:hAnsi="MS PGothic" w:eastAsia="MS PGothic"/>
                <w:b w:val="0"/>
                <w:color w:val="000000"/>
                <w:sz w:val="18"/>
              </w:rPr>
              <w:t>SDS で僅かに剛性化</w:t>
            </w:r>
          </w:p>
        </w:tc>
      </w:tr>
      <w:tr>
        <w:tc>
          <w:tcPr>
            <w:tcW w:type="dxa" w:w="2493"/>
            <w:vAlign w:val="center"/>
            <w:tcW w:w="3100" w:type="dxa"/>
          </w:tcPr>
          <w:p>
            <w:pPr>
              <w:spacing w:before="20" w:after="20" w:lineRule="exact" w:line="240"/>
              <w:jc w:val="left"/>
            </w:pPr>
            <w:r>
              <w:rPr>
                <w:rFonts w:ascii="MS PGothic" w:hAnsi="MS PGothic" w:eastAsia="MS PGothic"/>
                <w:b w:val="0"/>
                <w:color w:val="000000"/>
                <w:sz w:val="18"/>
              </w:rPr>
              <w:t>HEC+MC/CSP/SDS 1-5-0.5</w:t>
            </w:r>
          </w:p>
        </w:tc>
        <w:tc>
          <w:tcPr>
            <w:tcW w:type="dxa" w:w="2493"/>
            <w:vAlign w:val="center"/>
            <w:tcW w:w="1300" w:type="dxa"/>
          </w:tcPr>
          <w:p>
            <w:pPr>
              <w:spacing w:before="20" w:after="20" w:lineRule="exact" w:line="240"/>
              <w:jc w:val="center"/>
            </w:pPr>
            <w:r>
              <w:rPr>
                <w:rFonts w:ascii="MS PGothic" w:hAnsi="MS PGothic" w:eastAsia="MS PGothic"/>
                <w:b w:val="0"/>
                <w:color w:val="000000"/>
                <w:sz w:val="18"/>
              </w:rPr>
              <w:t>33.8</w:t>
            </w:r>
          </w:p>
        </w:tc>
        <w:tc>
          <w:tcPr>
            <w:tcW w:type="dxa" w:w="2493"/>
            <w:vAlign w:val="center"/>
            <w:tcW w:w="1300" w:type="dxa"/>
          </w:tcPr>
          <w:p>
            <w:pPr>
              <w:spacing w:before="20" w:after="20" w:lineRule="exact" w:line="240"/>
              <w:jc w:val="center"/>
            </w:pPr>
            <w:r>
              <w:rPr>
                <w:rFonts w:ascii="MS PGothic" w:hAnsi="MS PGothic" w:eastAsia="MS PGothic"/>
                <w:b w:val="0"/>
                <w:color w:val="000000"/>
                <w:sz w:val="18"/>
              </w:rPr>
              <w:t>0.242</w:t>
            </w:r>
          </w:p>
        </w:tc>
        <w:tc>
          <w:tcPr>
            <w:tcW w:type="dxa" w:w="2493"/>
            <w:vAlign w:val="center"/>
            <w:tcW w:w="3560" w:type="dxa"/>
          </w:tcPr>
          <w:p>
            <w:pPr>
              <w:spacing w:before="20" w:after="20" w:lineRule="exact" w:line="240"/>
              <w:jc w:val="center"/>
            </w:pPr>
            <w:r>
              <w:rPr>
                <w:rFonts w:ascii="MS PGothic" w:hAnsi="MS PGothic" w:eastAsia="MS PGothic"/>
                <w:b w:val="0"/>
                <w:color w:val="000000"/>
                <w:sz w:val="18"/>
              </w:rPr>
              <w:t>SDS 過多で軟化</w:t>
            </w:r>
          </w:p>
        </w:tc>
      </w:tr>
    </w:tbl>
    <w:p>
      <w:pPr>
        <w:spacing w:before="0" w:after="60"/>
      </w:pPr>
    </w:p>
    <w:tbl>
      <w:tblPr>
        <w:tblStyle w:val="TableGrid"/>
        <w:tblW w:type="auto" w:w="0"/>
        <w:jc w:val="center"/>
        <w:tblLook w:firstColumn="1" w:firstRow="1" w:lastColumn="0" w:lastRow="0" w:noHBand="0" w:noVBand="1" w:val="04A0"/>
      </w:tblPr>
      <w:tblGrid>
        <w:gridCol w:w="9972"/>
      </w:tblGrid>
      <w:tr>
        <w:trPr>
          <w:trHeight w:val="3685" w:hRule="exact"/>
        </w:trPr>
        <w:tc>
          <w:tcPr>
            <w:tcW w:type="dxa" w:w="9972"/>
            <w:tcW w:w="9360" w:type="dxa"/>
            <w:vAlign w:val="center"/>
          </w:tcPr>
          <w:p>
            <w:pPr>
              <w:spacing w:before="0" w:after="0"/>
              <w:jc w:val="center"/>
            </w:pPr>
            <w:r>
              <w:rPr>
                <w:rFonts w:ascii="MS PGothic" w:hAnsi="MS PGothic" w:eastAsia="MS PGothic"/>
                <w:b w:val="0"/>
                <w:color w:val="000000"/>
                <w:sz w:val="18"/>
              </w:rPr>
              <w:t>［図挿入欄］Fig. 2：(a) G'/G'' vs 角周波数、(b) G'（左軸）と tan(δ)（0.1 rad/s, 棒）、(c) 動的フロースイープ粘度＋HB フィット、(d) 動的降伏応力（3配合＋0.05 Pa 線）、(e–h) SDS 3水準での同項目　／　Fig. S1（CSP 添加によるゲル化）・Fig. S3（静的 vs 動的降伏応力）</w:t>
            </w:r>
          </w:p>
        </w:tc>
      </w:tr>
    </w:tbl>
    <w:p>
      <w:pPr>
        <w:spacing w:before="0" w:after="40"/>
      </w:pPr>
    </w:p>
    <w:p>
      <w:pPr>
        <w:spacing w:before="120" w:after="20" w:lineRule="exact" w:line="300"/>
      </w:pPr>
      <w:r>
        <w:rPr>
          <w:rFonts w:ascii="MS PGothic" w:hAnsi="MS PGothic" w:eastAsia="MS PGothic"/>
          <w:b/>
          <w:color w:val="000000"/>
          <w:sz w:val="21"/>
        </w:rPr>
        <w:t>2. 熟成と長期保存安定性（Figure S4–S7）</w:t>
      </w:r>
    </w:p>
    <w:p>
      <w:pPr>
        <w:spacing w:before="0" w:after="40" w:lineRule="exact" w:line="280"/>
        <w:ind w:firstLine="227"/>
      </w:pPr>
      <w:r>
        <w:rPr>
          <w:rFonts w:ascii="MS PGothic" w:hAnsi="MS PGothic" w:eastAsia="MS PGothic"/>
          <w:b w:val="0"/>
          <w:color w:val="000000"/>
          <w:sz w:val="19"/>
        </w:rPr>
        <w:t>長期保存すると、初期の動的・非共有結合的な PP 架橋の一部が不可逆な共有結合へ転換する熟成（aging）が起こる（Fig. S4）。セルロース鎖の水酸基（–OH）と CSP 表面のシラノール基（Si–OH）が縮合してシロキサン結合（Si–O–Si）を形成するためで、応力緩和レオロジーと FT-IR ATR によって約15日スパンで裏付けられた（Fig. S5, S6）。これによりゲルは経時的に剛性化し降伏応力が上昇する。HEC と MC は糖環上に遊離 –OH を多く持つため縮合が進みやすく、降伏応力は455日で 33.34 → 68.9 Pa とほぼ倍増した。一方、置換度の高い MHEC は遊離 –OH が少なく縮合が抑えられ、降伏応力は 3.31 → 4.56 Pa とほぼ変化しなかった（Fig. S7）。両系とも455日後も噴霧性・防火性能は実質的に変化せず、MHEC 系は熟成しにくく単一ポリマーで配合・品質管理が容易という実用上の優位性を示した。</w:t>
      </w:r>
    </w:p>
    <w:p>
      <w:pPr>
        <w:spacing w:before="120" w:after="20" w:lineRule="exact" w:line="300"/>
      </w:pPr>
      <w:r>
        <w:rPr>
          <w:rFonts w:ascii="MS PGothic" w:hAnsi="MS PGothic" w:eastAsia="MS PGothic"/>
          <w:b/>
          <w:color w:val="000000"/>
          <w:sz w:val="21"/>
        </w:rPr>
        <w:t>3. 燃焼試験による防火性能（Figure 3）</w:t>
      </w:r>
    </w:p>
    <w:p>
      <w:pPr>
        <w:spacing w:before="0" w:after="40" w:lineRule="exact" w:line="280"/>
        <w:ind w:firstLine="227"/>
      </w:pPr>
      <w:r>
        <w:rPr>
          <w:rFonts w:ascii="MS PGothic" w:hAnsi="MS PGothic" w:eastAsia="MS PGothic"/>
          <w:b w:val="0"/>
          <w:color w:val="000000"/>
          <w:sz w:val="19"/>
        </w:rPr>
        <w:t>MAP-Pro トーチ（約2054℃）による直接加熱で Time to char を比較した（Fig. 3a, b）。水と AquaGel-K は短時間で炭化したのに対し、HEC+MC/CSP 1-5 と HEC+MC/CSP/SDS 1-5-0.1 は7分以上、MHEC/CSP 1-5 は5分以上にわたり炭化を防ぎ、市販品の3〜6倍の保護時間を達成した（n ≥ 3）。火炎接触直後に PP ゲルは固体状の不透明なクラストを形成して熱を散乱し、加熱継続とともに発泡・脱水してその場でシリカエアロゲルを形成、基材を断熱した。これに対し AquaGel-K は保持水分が局所的に乾いた時点（90秒未満）で保護を失った（Fig. 3c, d）。120秒・300秒時点の写真では、水・AquaGel-K の木材表面が炭化しているのに対し、PP ゲルは表面がほぼ無傷で白色の断熱層に覆われていた。AquaGel-K が「水が飛んだら終わり」であるのに対し、PP ゲルは「水が飛んでからエアロゲルが効く」点が決定的な差である。なお垂直燃焼試験でも多孔質シェルが基材に強固に付着し、保護層が脱落しないことが確認された（Fig. S9, Video S4）。</w:t>
      </w:r>
    </w:p>
    <w:p>
      <w:pPr>
        <w:spacing w:before="20" w:after="40" w:lineRule="exact" w:line="240"/>
      </w:pPr>
      <w:r>
        <w:rPr>
          <w:rFonts w:ascii="MS PGothic" w:hAnsi="MS PGothic" w:eastAsia="MS PGothic"/>
          <w:b/>
          <w:color w:val="000000"/>
          <w:sz w:val="17"/>
        </w:rPr>
        <w:t>Table 3. 燃焼試験（Time to char）の比較（n ≥ 3）</w:t>
      </w:r>
    </w:p>
    <w:tbl>
      <w:tblPr>
        <w:tblStyle w:val="TableGrid"/>
        <w:tblW w:type="auto" w:w="0"/>
        <w:jc w:val="center"/>
        <w:tblLook w:firstColumn="1" w:firstRow="1" w:lastColumn="0" w:lastRow="0" w:noHBand="0" w:noVBand="1" w:val="04A0"/>
      </w:tblPr>
      <w:tblGrid>
        <w:gridCol w:w="2493"/>
        <w:gridCol w:w="2493"/>
        <w:gridCol w:w="2493"/>
        <w:gridCol w:w="2493"/>
      </w:tblGrid>
      <w:tr>
        <w:tc>
          <w:tcPr>
            <w:tcW w:type="dxa" w:w="2493"/>
            <w:vAlign w:val="center"/>
            <w:tcW w:w="3100" w:type="dxa"/>
          </w:tcPr>
          <w:p>
            <w:pPr>
              <w:spacing w:before="20" w:after="20" w:lineRule="exact" w:line="240"/>
              <w:jc w:val="center"/>
            </w:pPr>
            <w:r>
              <w:rPr>
                <w:rFonts w:ascii="MS PGothic" w:hAnsi="MS PGothic" w:eastAsia="MS PGothic"/>
                <w:b/>
                <w:color w:val="000000"/>
                <w:sz w:val="18"/>
              </w:rPr>
              <w:t>試料</w:t>
            </w:r>
          </w:p>
        </w:tc>
        <w:tc>
          <w:tcPr>
            <w:tcW w:type="dxa" w:w="2493"/>
            <w:vAlign w:val="center"/>
            <w:tcW w:w="1900" w:type="dxa"/>
          </w:tcPr>
          <w:p>
            <w:pPr>
              <w:spacing w:before="20" w:after="20" w:lineRule="exact" w:line="240"/>
              <w:jc w:val="center"/>
            </w:pPr>
            <w:r>
              <w:rPr>
                <w:rFonts w:ascii="MS PGothic" w:hAnsi="MS PGothic" w:eastAsia="MS PGothic"/>
                <w:b/>
                <w:color w:val="000000"/>
                <w:sz w:val="18"/>
              </w:rPr>
              <w:t>Time to char</w:t>
            </w:r>
          </w:p>
        </w:tc>
        <w:tc>
          <w:tcPr>
            <w:tcW w:type="dxa" w:w="2493"/>
            <w:vAlign w:val="center"/>
            <w:tcW w:w="1500" w:type="dxa"/>
          </w:tcPr>
          <w:p>
            <w:pPr>
              <w:spacing w:before="20" w:after="20" w:lineRule="exact" w:line="240"/>
              <w:jc w:val="center"/>
            </w:pPr>
            <w:r>
              <w:rPr>
                <w:rFonts w:ascii="MS PGothic" w:hAnsi="MS PGothic" w:eastAsia="MS PGothic"/>
                <w:b/>
                <w:color w:val="000000"/>
                <w:sz w:val="18"/>
              </w:rPr>
              <w:t>市販品比</w:t>
            </w:r>
          </w:p>
        </w:tc>
        <w:tc>
          <w:tcPr>
            <w:tcW w:type="dxa" w:w="2493"/>
            <w:vAlign w:val="center"/>
            <w:tcW w:w="2760" w:type="dxa"/>
          </w:tcPr>
          <w:p>
            <w:pPr>
              <w:spacing w:before="20" w:after="20" w:lineRule="exact" w:line="240"/>
              <w:jc w:val="center"/>
            </w:pPr>
            <w:r>
              <w:rPr>
                <w:rFonts w:ascii="MS PGothic" w:hAnsi="MS PGothic" w:eastAsia="MS PGothic"/>
                <w:b/>
                <w:color w:val="000000"/>
                <w:sz w:val="18"/>
              </w:rPr>
              <w:t>300秒時点の表面</w:t>
            </w:r>
          </w:p>
        </w:tc>
      </w:tr>
      <w:tr>
        <w:tc>
          <w:tcPr>
            <w:tcW w:type="dxa" w:w="2493"/>
            <w:vAlign w:val="center"/>
            <w:tcW w:w="3100" w:type="dxa"/>
          </w:tcPr>
          <w:p>
            <w:pPr>
              <w:spacing w:before="20" w:after="20" w:lineRule="exact" w:line="240"/>
              <w:jc w:val="left"/>
            </w:pPr>
            <w:r>
              <w:rPr>
                <w:rFonts w:ascii="MS PGothic" w:hAnsi="MS PGothic" w:eastAsia="MS PGothic"/>
                <w:b w:val="0"/>
                <w:color w:val="000000"/>
                <w:sz w:val="18"/>
              </w:rPr>
              <w:t>水</w:t>
            </w:r>
          </w:p>
        </w:tc>
        <w:tc>
          <w:tcPr>
            <w:tcW w:type="dxa" w:w="2493"/>
            <w:vAlign w:val="center"/>
            <w:tcW w:w="1900" w:type="dxa"/>
          </w:tcPr>
          <w:p>
            <w:pPr>
              <w:spacing w:before="20" w:after="20" w:lineRule="exact" w:line="240"/>
              <w:jc w:val="center"/>
            </w:pPr>
            <w:r>
              <w:rPr>
                <w:rFonts w:ascii="MS PGothic" w:hAnsi="MS PGothic" w:eastAsia="MS PGothic"/>
                <w:b w:val="0"/>
                <w:color w:val="000000"/>
                <w:sz w:val="18"/>
              </w:rPr>
              <w:t>約0.3分</w:t>
            </w:r>
          </w:p>
        </w:tc>
        <w:tc>
          <w:tcPr>
            <w:tcW w:type="dxa" w:w="2493"/>
            <w:vAlign w:val="center"/>
            <w:tcW w:w="1500" w:type="dxa"/>
          </w:tcPr>
          <w:p>
            <w:pPr>
              <w:spacing w:before="20" w:after="20" w:lineRule="exact" w:line="240"/>
              <w:jc w:val="center"/>
            </w:pPr>
            <w:r>
              <w:rPr>
                <w:rFonts w:ascii="MS PGothic" w:hAnsi="MS PGothic" w:eastAsia="MS PGothic"/>
                <w:b w:val="0"/>
                <w:color w:val="000000"/>
                <w:sz w:val="18"/>
              </w:rPr>
              <w:t>基準以下</w:t>
            </w:r>
          </w:p>
        </w:tc>
        <w:tc>
          <w:tcPr>
            <w:tcW w:type="dxa" w:w="2493"/>
            <w:vAlign w:val="center"/>
            <w:tcW w:w="2760" w:type="dxa"/>
          </w:tcPr>
          <w:p>
            <w:pPr>
              <w:spacing w:before="20" w:after="20" w:lineRule="exact" w:line="240"/>
              <w:jc w:val="center"/>
            </w:pPr>
            <w:r>
              <w:rPr>
                <w:rFonts w:ascii="MS PGothic" w:hAnsi="MS PGothic" w:eastAsia="MS PGothic"/>
                <w:b w:val="0"/>
                <w:color w:val="000000"/>
                <w:sz w:val="18"/>
              </w:rPr>
              <w:t>完全に炭化</w:t>
            </w:r>
          </w:p>
        </w:tc>
      </w:tr>
      <w:tr>
        <w:tc>
          <w:tcPr>
            <w:tcW w:type="dxa" w:w="2493"/>
            <w:vAlign w:val="center"/>
            <w:tcW w:w="3100" w:type="dxa"/>
          </w:tcPr>
          <w:p>
            <w:pPr>
              <w:spacing w:before="20" w:after="20" w:lineRule="exact" w:line="240"/>
              <w:jc w:val="left"/>
            </w:pPr>
            <w:r>
              <w:rPr>
                <w:rFonts w:ascii="MS PGothic" w:hAnsi="MS PGothic" w:eastAsia="MS PGothic"/>
                <w:b w:val="0"/>
                <w:color w:val="000000"/>
                <w:sz w:val="18"/>
              </w:rPr>
              <w:t>AquaGel-K（市販）</w:t>
            </w:r>
          </w:p>
        </w:tc>
        <w:tc>
          <w:tcPr>
            <w:tcW w:type="dxa" w:w="2493"/>
            <w:vAlign w:val="center"/>
            <w:tcW w:w="1900" w:type="dxa"/>
          </w:tcPr>
          <w:p>
            <w:pPr>
              <w:spacing w:before="20" w:after="20" w:lineRule="exact" w:line="240"/>
              <w:jc w:val="center"/>
            </w:pPr>
            <w:r>
              <w:rPr>
                <w:rFonts w:ascii="MS PGothic" w:hAnsi="MS PGothic" w:eastAsia="MS PGothic"/>
                <w:b w:val="0"/>
                <w:color w:val="000000"/>
                <w:sz w:val="18"/>
              </w:rPr>
              <w:t>約1.5分</w:t>
            </w:r>
          </w:p>
        </w:tc>
        <w:tc>
          <w:tcPr>
            <w:tcW w:type="dxa" w:w="2493"/>
            <w:vAlign w:val="center"/>
            <w:tcW w:w="1500" w:type="dxa"/>
          </w:tcPr>
          <w:p>
            <w:pPr>
              <w:spacing w:before="20" w:after="20" w:lineRule="exact" w:line="240"/>
              <w:jc w:val="center"/>
            </w:pPr>
            <w:r>
              <w:rPr>
                <w:rFonts w:ascii="MS PGothic" w:hAnsi="MS PGothic" w:eastAsia="MS PGothic"/>
                <w:b w:val="0"/>
                <w:color w:val="000000"/>
                <w:sz w:val="18"/>
              </w:rPr>
              <w:t>1×（基準）</w:t>
            </w:r>
          </w:p>
        </w:tc>
        <w:tc>
          <w:tcPr>
            <w:tcW w:type="dxa" w:w="2493"/>
            <w:vAlign w:val="center"/>
            <w:tcW w:w="2760" w:type="dxa"/>
          </w:tcPr>
          <w:p>
            <w:pPr>
              <w:spacing w:before="20" w:after="20" w:lineRule="exact" w:line="240"/>
              <w:jc w:val="center"/>
            </w:pPr>
            <w:r>
              <w:rPr>
                <w:rFonts w:ascii="MS PGothic" w:hAnsi="MS PGothic" w:eastAsia="MS PGothic"/>
                <w:b w:val="0"/>
                <w:color w:val="000000"/>
                <w:sz w:val="18"/>
              </w:rPr>
              <w:t>炭化</w:t>
            </w:r>
          </w:p>
        </w:tc>
      </w:tr>
      <w:tr>
        <w:tc>
          <w:tcPr>
            <w:tcW w:type="dxa" w:w="2493"/>
            <w:vAlign w:val="center"/>
            <w:tcW w:w="3100" w:type="dxa"/>
          </w:tcPr>
          <w:p>
            <w:pPr>
              <w:spacing w:before="20" w:after="20" w:lineRule="exact" w:line="240"/>
              <w:jc w:val="left"/>
            </w:pPr>
            <w:r>
              <w:rPr>
                <w:rFonts w:ascii="MS PGothic" w:hAnsi="MS PGothic" w:eastAsia="MS PGothic"/>
                <w:b w:val="0"/>
                <w:color w:val="000000"/>
                <w:sz w:val="18"/>
              </w:rPr>
              <w:t>HEC+MC/CSP 1-5</w:t>
            </w:r>
          </w:p>
        </w:tc>
        <w:tc>
          <w:tcPr>
            <w:tcW w:type="dxa" w:w="2493"/>
            <w:vAlign w:val="center"/>
            <w:tcW w:w="1900" w:type="dxa"/>
          </w:tcPr>
          <w:p>
            <w:pPr>
              <w:spacing w:before="20" w:after="20" w:lineRule="exact" w:line="240"/>
              <w:jc w:val="center"/>
            </w:pPr>
            <w:r>
              <w:rPr>
                <w:rFonts w:ascii="MS PGothic" w:hAnsi="MS PGothic" w:eastAsia="MS PGothic"/>
                <w:b w:val="0"/>
                <w:color w:val="000000"/>
                <w:sz w:val="18"/>
              </w:rPr>
              <w:t>7分以上</w:t>
            </w:r>
          </w:p>
        </w:tc>
        <w:tc>
          <w:tcPr>
            <w:tcW w:type="dxa" w:w="2493"/>
            <w:vAlign w:val="center"/>
            <w:tcW w:w="1500" w:type="dxa"/>
          </w:tcPr>
          <w:p>
            <w:pPr>
              <w:spacing w:before="20" w:after="20" w:lineRule="exact" w:line="240"/>
              <w:jc w:val="center"/>
            </w:pPr>
            <w:r>
              <w:rPr>
                <w:rFonts w:ascii="MS PGothic" w:hAnsi="MS PGothic" w:eastAsia="MS PGothic"/>
                <w:b w:val="0"/>
                <w:color w:val="000000"/>
                <w:sz w:val="18"/>
              </w:rPr>
              <w:t>3〜6×</w:t>
            </w:r>
          </w:p>
        </w:tc>
        <w:tc>
          <w:tcPr>
            <w:tcW w:type="dxa" w:w="2493"/>
            <w:vAlign w:val="center"/>
            <w:tcW w:w="2760" w:type="dxa"/>
          </w:tcPr>
          <w:p>
            <w:pPr>
              <w:spacing w:before="20" w:after="20" w:lineRule="exact" w:line="240"/>
              <w:jc w:val="center"/>
            </w:pPr>
            <w:r>
              <w:rPr>
                <w:rFonts w:ascii="MS PGothic" w:hAnsi="MS PGothic" w:eastAsia="MS PGothic"/>
                <w:b w:val="0"/>
                <w:color w:val="000000"/>
                <w:sz w:val="18"/>
              </w:rPr>
              <w:t>ほぼ無傷・白色断熱層</w:t>
            </w:r>
          </w:p>
        </w:tc>
      </w:tr>
      <w:tr>
        <w:tc>
          <w:tcPr>
            <w:tcW w:type="dxa" w:w="2493"/>
            <w:vAlign w:val="center"/>
            <w:tcW w:w="3100" w:type="dxa"/>
          </w:tcPr>
          <w:p>
            <w:pPr>
              <w:spacing w:before="20" w:after="20" w:lineRule="exact" w:line="240"/>
              <w:jc w:val="left"/>
            </w:pPr>
            <w:r>
              <w:rPr>
                <w:rFonts w:ascii="MS PGothic" w:hAnsi="MS PGothic" w:eastAsia="MS PGothic"/>
                <w:b w:val="0"/>
                <w:color w:val="000000"/>
                <w:sz w:val="18"/>
              </w:rPr>
              <w:t>HEC+MC/CSP/SDS 1-5-0.1</w:t>
            </w:r>
          </w:p>
        </w:tc>
        <w:tc>
          <w:tcPr>
            <w:tcW w:type="dxa" w:w="2493"/>
            <w:vAlign w:val="center"/>
            <w:tcW w:w="1900" w:type="dxa"/>
          </w:tcPr>
          <w:p>
            <w:pPr>
              <w:spacing w:before="20" w:after="20" w:lineRule="exact" w:line="240"/>
              <w:jc w:val="center"/>
            </w:pPr>
            <w:r>
              <w:rPr>
                <w:rFonts w:ascii="MS PGothic" w:hAnsi="MS PGothic" w:eastAsia="MS PGothic"/>
                <w:b w:val="0"/>
                <w:color w:val="000000"/>
                <w:sz w:val="18"/>
              </w:rPr>
              <w:t>7分以上</w:t>
            </w:r>
          </w:p>
        </w:tc>
        <w:tc>
          <w:tcPr>
            <w:tcW w:type="dxa" w:w="2493"/>
            <w:vAlign w:val="center"/>
            <w:tcW w:w="1500" w:type="dxa"/>
          </w:tcPr>
          <w:p>
            <w:pPr>
              <w:spacing w:before="20" w:after="20" w:lineRule="exact" w:line="240"/>
              <w:jc w:val="center"/>
            </w:pPr>
            <w:r>
              <w:rPr>
                <w:rFonts w:ascii="MS PGothic" w:hAnsi="MS PGothic" w:eastAsia="MS PGothic"/>
                <w:b w:val="0"/>
                <w:color w:val="000000"/>
                <w:sz w:val="18"/>
              </w:rPr>
              <w:t>3〜6×</w:t>
            </w:r>
          </w:p>
        </w:tc>
        <w:tc>
          <w:tcPr>
            <w:tcW w:type="dxa" w:w="2493"/>
            <w:vAlign w:val="center"/>
            <w:tcW w:w="2760" w:type="dxa"/>
          </w:tcPr>
          <w:p>
            <w:pPr>
              <w:spacing w:before="20" w:after="20" w:lineRule="exact" w:line="240"/>
              <w:jc w:val="center"/>
            </w:pPr>
            <w:r>
              <w:rPr>
                <w:rFonts w:ascii="MS PGothic" w:hAnsi="MS PGothic" w:eastAsia="MS PGothic"/>
                <w:b w:val="0"/>
                <w:color w:val="000000"/>
                <w:sz w:val="18"/>
              </w:rPr>
              <w:t>ほぼ無傷・白色断熱層</w:t>
            </w:r>
          </w:p>
        </w:tc>
      </w:tr>
      <w:tr>
        <w:tc>
          <w:tcPr>
            <w:tcW w:type="dxa" w:w="2493"/>
            <w:vAlign w:val="center"/>
            <w:tcW w:w="3100" w:type="dxa"/>
          </w:tcPr>
          <w:p>
            <w:pPr>
              <w:spacing w:before="20" w:after="20" w:lineRule="exact" w:line="240"/>
              <w:jc w:val="left"/>
            </w:pPr>
            <w:r>
              <w:rPr>
                <w:rFonts w:ascii="MS PGothic" w:hAnsi="MS PGothic" w:eastAsia="MS PGothic"/>
                <w:b w:val="0"/>
                <w:color w:val="000000"/>
                <w:sz w:val="18"/>
              </w:rPr>
              <w:t>MHEC/CSP 1-5</w:t>
            </w:r>
          </w:p>
        </w:tc>
        <w:tc>
          <w:tcPr>
            <w:tcW w:type="dxa" w:w="2493"/>
            <w:vAlign w:val="center"/>
            <w:tcW w:w="1900" w:type="dxa"/>
          </w:tcPr>
          <w:p>
            <w:pPr>
              <w:spacing w:before="20" w:after="20" w:lineRule="exact" w:line="240"/>
              <w:jc w:val="center"/>
            </w:pPr>
            <w:r>
              <w:rPr>
                <w:rFonts w:ascii="MS PGothic" w:hAnsi="MS PGothic" w:eastAsia="MS PGothic"/>
                <w:b w:val="0"/>
                <w:color w:val="000000"/>
                <w:sz w:val="18"/>
              </w:rPr>
              <w:t>5分以上</w:t>
            </w:r>
          </w:p>
        </w:tc>
        <w:tc>
          <w:tcPr>
            <w:tcW w:type="dxa" w:w="2493"/>
            <w:vAlign w:val="center"/>
            <w:tcW w:w="1500" w:type="dxa"/>
          </w:tcPr>
          <w:p>
            <w:pPr>
              <w:spacing w:before="20" w:after="20" w:lineRule="exact" w:line="240"/>
              <w:jc w:val="center"/>
            </w:pPr>
            <w:r>
              <w:rPr>
                <w:rFonts w:ascii="MS PGothic" w:hAnsi="MS PGothic" w:eastAsia="MS PGothic"/>
                <w:b w:val="0"/>
                <w:color w:val="000000"/>
                <w:sz w:val="18"/>
              </w:rPr>
              <w:t>3〜4×</w:t>
            </w:r>
          </w:p>
        </w:tc>
        <w:tc>
          <w:tcPr>
            <w:tcW w:type="dxa" w:w="2493"/>
            <w:vAlign w:val="center"/>
            <w:tcW w:w="2760" w:type="dxa"/>
          </w:tcPr>
          <w:p>
            <w:pPr>
              <w:spacing w:before="20" w:after="20" w:lineRule="exact" w:line="240"/>
              <w:jc w:val="center"/>
            </w:pPr>
            <w:r>
              <w:rPr>
                <w:rFonts w:ascii="MS PGothic" w:hAnsi="MS PGothic" w:eastAsia="MS PGothic"/>
                <w:b w:val="0"/>
                <w:color w:val="000000"/>
                <w:sz w:val="18"/>
              </w:rPr>
              <w:t>ほぼ無傷・白色断熱層</w:t>
            </w:r>
          </w:p>
        </w:tc>
      </w:tr>
    </w:tbl>
    <w:p>
      <w:pPr>
        <w:spacing w:before="0" w:after="60"/>
      </w:pPr>
    </w:p>
    <w:tbl>
      <w:tblPr>
        <w:tblStyle w:val="TableGrid"/>
        <w:tblW w:type="auto" w:w="0"/>
        <w:jc w:val="center"/>
        <w:tblLook w:firstColumn="1" w:firstRow="1" w:lastColumn="0" w:lastRow="0" w:noHBand="0" w:noVBand="1" w:val="04A0"/>
      </w:tblPr>
      <w:tblGrid>
        <w:gridCol w:w="9972"/>
      </w:tblGrid>
      <w:tr>
        <w:trPr>
          <w:trHeight w:val="3685" w:hRule="exact"/>
        </w:trPr>
        <w:tc>
          <w:tcPr>
            <w:tcW w:type="dxa" w:w="9972"/>
            <w:tcW w:w="9360" w:type="dxa"/>
            <w:vAlign w:val="center"/>
          </w:tcPr>
          <w:p>
            <w:pPr>
              <w:spacing w:before="0" w:after="0"/>
              <w:jc w:val="center"/>
            </w:pPr>
            <w:r>
              <w:rPr>
                <w:rFonts w:ascii="MS PGothic" w:hAnsi="MS PGothic" w:eastAsia="MS PGothic"/>
                <w:b w:val="0"/>
                <w:color w:val="000000"/>
                <w:sz w:val="18"/>
              </w:rPr>
              <w:t>［図挿入欄］Fig. 3：(a) 燃焼試験セットアップ（MAP-Pro トーチ・合板）、(b) Time to char 棒グラフ（水/AquaGel-K/MHEC/CSP/HEC+MC/CSP/SDS、誤差棒付き）、(c) 燃焼過程の連続写真、(d) 120 s・300 s での5配合の焼損木材比較</w:t>
            </w:r>
          </w:p>
        </w:tc>
      </w:tr>
    </w:tbl>
    <w:p>
      <w:pPr>
        <w:spacing w:before="0" w:after="40"/>
      </w:pPr>
    </w:p>
    <w:p>
      <w:pPr>
        <w:spacing w:before="120" w:after="20" w:lineRule="exact" w:line="300"/>
      </w:pPr>
      <w:r>
        <w:rPr>
          <w:rFonts w:ascii="MS PGothic" w:hAnsi="MS PGothic" w:eastAsia="MS PGothic"/>
          <w:b/>
          <w:color w:val="000000"/>
          <w:sz w:val="21"/>
        </w:rPr>
        <w:t>4. 多孔質シリカ膜の形成と発泡（Figure 4, S8）</w:t>
      </w:r>
    </w:p>
    <w:p>
      <w:pPr>
        <w:spacing w:before="0" w:after="40" w:lineRule="exact" w:line="280"/>
        <w:ind w:firstLine="227"/>
      </w:pPr>
      <w:r>
        <w:rPr>
          <w:rFonts w:ascii="MS PGothic" w:hAnsi="MS PGothic" w:eastAsia="MS PGothic"/>
          <w:b w:val="0"/>
          <w:color w:val="000000"/>
          <w:sz w:val="19"/>
        </w:rPr>
        <w:t>燃焼後、全 PP ゲルは固体の多孔質フォーム（シリカエアロゲル）を形成したのに対し、AquaGel-K はポリマーが燃え尽きてフォーム構造を残さなかった（Fig. 4a, b）。膜厚の増加分を初期膜厚で割った発泡指数（foaming index）では、当初は界面活性剤添加で発泡が増えると仮説したが、実際には SDS 無添加の HEC+MC/CSP 1-5 が全配合中で最高の発泡指数を示し、AquaGel-K は発泡しなかった（指数ゼロ）。SEM では SDS 濃度の増加（0 → 0.1 → 0.5 wt%）に伴いエアロゲルの孔が粗大化し、積層したエアロゲル層間の隙間が広がった（Fig. 4c）。一般に発泡指数が高いほど基材保護に優れる傾向があり、SDS は孔を粗大化させて断熱性をむしろ損なうため、無添加が最適という設計上の知見が得られた。なお異なる MHEC 誘導体（Walocel 系）でもエアロゲル・粒子形態は同等であった（Fig. S10）。</w:t>
      </w:r>
    </w:p>
    <w:tbl>
      <w:tblPr>
        <w:tblStyle w:val="TableGrid"/>
        <w:tblW w:type="auto" w:w="0"/>
        <w:jc w:val="center"/>
        <w:tblLook w:firstColumn="1" w:firstRow="1" w:lastColumn="0" w:lastRow="0" w:noHBand="0" w:noVBand="1" w:val="04A0"/>
      </w:tblPr>
      <w:tblGrid>
        <w:gridCol w:w="9972"/>
      </w:tblGrid>
      <w:tr>
        <w:trPr>
          <w:trHeight w:val="2835" w:hRule="exact"/>
        </w:trPr>
        <w:tc>
          <w:tcPr>
            <w:tcW w:type="dxa" w:w="9972"/>
            <w:tcW w:w="9360" w:type="dxa"/>
            <w:vAlign w:val="center"/>
          </w:tcPr>
          <w:p>
            <w:pPr>
              <w:spacing w:before="0" w:after="0"/>
              <w:jc w:val="center"/>
            </w:pPr>
            <w:r>
              <w:rPr>
                <w:rFonts w:ascii="MS PGothic" w:hAnsi="MS PGothic" w:eastAsia="MS PGothic"/>
                <w:b w:val="0"/>
                <w:color w:val="000000"/>
                <w:sz w:val="18"/>
              </w:rPr>
              <w:t>［図挿入欄］Fig. 4：(a) 燃焼後のフィルム厚さ写真（断熱層）、(b) 発泡指数の棒グラフ（HEC+MC/CSP 1-5 が最高、AquaGel-K はゼロ）、(c) i–iii エアロゲル SEM（SDS 0% / 0.1% / 0.5%、孔の粗大化）</w:t>
            </w:r>
          </w:p>
        </w:tc>
      </w:tr>
    </w:tbl>
    <w:p>
      <w:pPr>
        <w:spacing w:before="0" w:after="40"/>
      </w:pPr>
    </w:p>
    <w:p>
      <w:pPr>
        <w:spacing w:before="120" w:after="20" w:lineRule="exact" w:line="300"/>
      </w:pPr>
      <w:r>
        <w:rPr>
          <w:rFonts w:ascii="MS PGothic" w:hAnsi="MS PGothic" w:eastAsia="MS PGothic"/>
          <w:b/>
          <w:color w:val="000000"/>
          <w:sz w:val="21"/>
        </w:rPr>
        <w:t>5. シリカエアロゲル形成（焼結）機構（Figure 5, S11）</w:t>
      </w:r>
    </w:p>
    <w:p>
      <w:pPr>
        <w:spacing w:before="0" w:after="40" w:lineRule="exact" w:line="280"/>
        <w:ind w:firstLine="227"/>
      </w:pPr>
      <w:r>
        <w:rPr>
          <w:rFonts w:ascii="MS PGothic" w:hAnsi="MS PGothic" w:eastAsia="MS PGothic"/>
          <w:b w:val="0"/>
          <w:color w:val="000000"/>
          <w:sz w:val="19"/>
        </w:rPr>
        <w:t>エアロゲル形成は粒子焼結の3段階としてモデル化される（Fig. 5a 模式図）。①未焼結の独立分散粒子（間隙孔あり）、②脱水・加熱に伴う粒界（grain boundary）の形成、③ネック（neck）成長による緻密化と空隙率の低下、を経て多孔質シリカ骨格が完成する。バーン時間を変えた SEM 観察（0/1/2/4分）では、約2分を境に粒子形態が個々の粒子から相互連結した形態へ変化し、加熱継続とともに緻密化が進んだ（Fig. 5b）。火炎側（上層）は粒子形態の変化が進む一方、基材側（下層）は4分間粒子形態を保っており、エアロゲル層内に温度勾配があって高温域と低温域を効果的に隔てていることが示された（Fig. S11）。この多孔質固体構造が熱を散乱し、木材を炭化から保護する。</w:t>
      </w:r>
    </w:p>
    <w:tbl>
      <w:tblPr>
        <w:tblStyle w:val="TableGrid"/>
        <w:tblW w:type="auto" w:w="0"/>
        <w:jc w:val="center"/>
        <w:tblLook w:firstColumn="1" w:firstRow="1" w:lastColumn="0" w:lastRow="0" w:noHBand="0" w:noVBand="1" w:val="04A0"/>
      </w:tblPr>
      <w:tblGrid>
        <w:gridCol w:w="9972"/>
      </w:tblGrid>
      <w:tr>
        <w:trPr>
          <w:trHeight w:val="3402" w:hRule="exact"/>
        </w:trPr>
        <w:tc>
          <w:tcPr>
            <w:tcW w:type="dxa" w:w="9972"/>
            <w:tcW w:w="9360" w:type="dxa"/>
            <w:vAlign w:val="center"/>
          </w:tcPr>
          <w:p>
            <w:pPr>
              <w:spacing w:before="0" w:after="0"/>
              <w:jc w:val="center"/>
            </w:pPr>
            <w:r>
              <w:rPr>
                <w:rFonts w:ascii="MS PGothic" w:hAnsi="MS PGothic" w:eastAsia="MS PGothic"/>
                <w:b w:val="0"/>
                <w:color w:val="000000"/>
                <w:sz w:val="18"/>
              </w:rPr>
              <w:t>［図挿入欄］Fig. 5：(a) 焼結模式図（未焼結粒子 → 粒界形成 → ネック成長・空隙率低下）と断面 SEM、(b) バーン時間別 SEM（0/1/2/4分）　／　Fig. S11（火炎側=上層 と 基材側=下層 の焼結進行の差）</w:t>
            </w:r>
          </w:p>
        </w:tc>
      </w:tr>
    </w:tbl>
    <w:p>
      <w:pPr>
        <w:spacing w:before="0" w:after="40"/>
      </w:pPr>
    </w:p>
    <w:p>
      <w:pPr>
        <w:spacing w:before="120" w:after="20" w:lineRule="exact" w:line="300"/>
      </w:pPr>
      <w:r>
        <w:rPr>
          <w:rFonts w:ascii="MS PGothic" w:hAnsi="MS PGothic" w:eastAsia="MS PGothic"/>
          <w:b/>
          <w:color w:val="000000"/>
          <w:sz w:val="21"/>
        </w:rPr>
        <w:t>6. 化学・熱分析によるメカニズムの裏付け（Figure S12–S14）</w:t>
      </w:r>
    </w:p>
    <w:p>
      <w:pPr>
        <w:spacing w:before="0" w:after="40" w:lineRule="exact" w:line="280"/>
        <w:ind w:firstLine="227"/>
      </w:pPr>
      <w:r>
        <w:rPr>
          <w:rFonts w:ascii="MS PGothic" w:hAnsi="MS PGothic" w:eastAsia="MS PGothic"/>
          <w:b w:val="0"/>
          <w:color w:val="000000"/>
          <w:sz w:val="19"/>
        </w:rPr>
        <w:t>TGA（Fig. S12）では、3種のゲルがほぼ同等の水分含量（AquaGel-K 90.56 wt%、MHEC/CSP 1-5 93.44 wt%、HEC+MC/CSP 1-5 91.46 wt%）を持ち、保水性は市販品と同水準であることが示された。木粉にゲルを混ぜた系を250〜500℃で加熱すると重量減少挙動はどの処理でも同程度で、保水による難燃機構は従来品と PP ゲルで差がなかった。重要な点として、ゲルからエアロゲルへの変態は低速昇温の TGA では観測されず、火炎のような急速加熱が必要であることが確認された。FT-IR ATR（Fig. S13）では、燃焼に伴い C–H 由来のピークが減少しSi–O 由来のピークが相対的に増大、CH:SiO 面積比は HEC+MC/CSP 1-5 で 0.1242 → 0.0581、MHEC/CSP 1-5 で0.0768 → 0.0635 へ低下し、セルロース成分の消費が裏付けられた。XPS（Fig. S14）でも燃焼により炭素組成がHEC+MC/CSP 1-5 で 25.6 → 14.9 at%、MHEC/CSP 1-5 で 38.3 → 4.8 at% へ大きく減少し、有機物が燃焼除去されてシリカが残存することが組成レベルで確認された。</w:t>
      </w:r>
    </w:p>
    <w:p>
      <w:pPr>
        <w:spacing w:before="20" w:after="40" w:lineRule="exact" w:line="240"/>
      </w:pPr>
      <w:r>
        <w:rPr>
          <w:rFonts w:ascii="MS PGothic" w:hAnsi="MS PGothic" w:eastAsia="MS PGothic"/>
          <w:b/>
          <w:color w:val="000000"/>
          <w:sz w:val="17"/>
        </w:rPr>
        <w:t>Table 4. 化学・熱分析の主要データ</w:t>
      </w:r>
    </w:p>
    <w:tbl>
      <w:tblPr>
        <w:tblStyle w:val="TableGrid"/>
        <w:tblW w:type="auto" w:w="0"/>
        <w:jc w:val="center"/>
        <w:tblLook w:firstColumn="1" w:firstRow="1" w:lastColumn="0" w:lastRow="0" w:noHBand="0" w:noVBand="1" w:val="04A0"/>
      </w:tblPr>
      <w:tblGrid>
        <w:gridCol w:w="1994"/>
        <w:gridCol w:w="1994"/>
        <w:gridCol w:w="1994"/>
        <w:gridCol w:w="1994"/>
        <w:gridCol w:w="1994"/>
      </w:tblGrid>
      <w:tr>
        <w:tc>
          <w:tcPr>
            <w:tcW w:type="dxa" w:w="1994"/>
            <w:vAlign w:val="center"/>
            <w:tcW w:w="1300" w:type="dxa"/>
          </w:tcPr>
          <w:p>
            <w:pPr>
              <w:spacing w:before="20" w:after="20" w:lineRule="exact" w:line="240"/>
              <w:jc w:val="center"/>
            </w:pPr>
            <w:r>
              <w:rPr>
                <w:rFonts w:ascii="MS PGothic" w:hAnsi="MS PGothic" w:eastAsia="MS PGothic"/>
                <w:b/>
                <w:color w:val="000000"/>
                <w:sz w:val="18"/>
              </w:rPr>
              <w:t>分析</w:t>
            </w:r>
          </w:p>
        </w:tc>
        <w:tc>
          <w:tcPr>
            <w:tcW w:type="dxa" w:w="1994"/>
            <w:vAlign w:val="center"/>
            <w:tcW w:w="2600" w:type="dxa"/>
          </w:tcPr>
          <w:p>
            <w:pPr>
              <w:spacing w:before="20" w:after="20" w:lineRule="exact" w:line="240"/>
              <w:jc w:val="center"/>
            </w:pPr>
            <w:r>
              <w:rPr>
                <w:rFonts w:ascii="MS PGothic" w:hAnsi="MS PGothic" w:eastAsia="MS PGothic"/>
                <w:b/>
                <w:color w:val="000000"/>
                <w:sz w:val="18"/>
              </w:rPr>
              <w:t>指標</w:t>
            </w:r>
          </w:p>
        </w:tc>
        <w:tc>
          <w:tcPr>
            <w:tcW w:type="dxa" w:w="1994"/>
            <w:vAlign w:val="center"/>
            <w:tcW w:w="2200" w:type="dxa"/>
          </w:tcPr>
          <w:p>
            <w:pPr>
              <w:spacing w:before="20" w:after="20" w:lineRule="exact" w:line="240"/>
              <w:jc w:val="center"/>
            </w:pPr>
            <w:r>
              <w:rPr>
                <w:rFonts w:ascii="MS PGothic" w:hAnsi="MS PGothic" w:eastAsia="MS PGothic"/>
                <w:b/>
                <w:color w:val="000000"/>
                <w:sz w:val="18"/>
              </w:rPr>
              <w:t>HEC+MC/CSP 1-5</w:t>
            </w:r>
          </w:p>
        </w:tc>
        <w:tc>
          <w:tcPr>
            <w:tcW w:type="dxa" w:w="1994"/>
            <w:vAlign w:val="center"/>
            <w:tcW w:w="1900" w:type="dxa"/>
          </w:tcPr>
          <w:p>
            <w:pPr>
              <w:spacing w:before="20" w:after="20" w:lineRule="exact" w:line="240"/>
              <w:jc w:val="center"/>
            </w:pPr>
            <w:r>
              <w:rPr>
                <w:rFonts w:ascii="MS PGothic" w:hAnsi="MS PGothic" w:eastAsia="MS PGothic"/>
                <w:b/>
                <w:color w:val="000000"/>
                <w:sz w:val="18"/>
              </w:rPr>
              <w:t>MHEC/CSP 1-5</w:t>
            </w:r>
          </w:p>
        </w:tc>
        <w:tc>
          <w:tcPr>
            <w:tcW w:type="dxa" w:w="1994"/>
            <w:vAlign w:val="center"/>
            <w:tcW w:w="1360" w:type="dxa"/>
          </w:tcPr>
          <w:p>
            <w:pPr>
              <w:spacing w:before="20" w:after="20" w:lineRule="exact" w:line="240"/>
              <w:jc w:val="center"/>
            </w:pPr>
            <w:r>
              <w:rPr>
                <w:rFonts w:ascii="MS PGothic" w:hAnsi="MS PGothic" w:eastAsia="MS PGothic"/>
                <w:b/>
                <w:color w:val="000000"/>
                <w:sz w:val="18"/>
              </w:rPr>
              <w:t>AquaGel-K</w:t>
            </w:r>
          </w:p>
        </w:tc>
      </w:tr>
      <w:tr>
        <w:tc>
          <w:tcPr>
            <w:tcW w:type="dxa" w:w="1994"/>
            <w:vAlign w:val="center"/>
            <w:tcW w:w="1300" w:type="dxa"/>
          </w:tcPr>
          <w:p>
            <w:pPr>
              <w:spacing w:before="20" w:after="20" w:lineRule="exact" w:line="240"/>
              <w:jc w:val="left"/>
            </w:pPr>
            <w:r>
              <w:rPr>
                <w:rFonts w:ascii="MS PGothic" w:hAnsi="MS PGothic" w:eastAsia="MS PGothic"/>
                <w:b w:val="0"/>
                <w:color w:val="000000"/>
                <w:sz w:val="18"/>
              </w:rPr>
              <w:t>TGA</w:t>
            </w:r>
          </w:p>
        </w:tc>
        <w:tc>
          <w:tcPr>
            <w:tcW w:type="dxa" w:w="1994"/>
            <w:vAlign w:val="center"/>
            <w:tcW w:w="2600" w:type="dxa"/>
          </w:tcPr>
          <w:p>
            <w:pPr>
              <w:spacing w:before="20" w:after="20" w:lineRule="exact" w:line="240"/>
              <w:jc w:val="center"/>
            </w:pPr>
            <w:r>
              <w:rPr>
                <w:rFonts w:ascii="MS PGothic" w:hAnsi="MS PGothic" w:eastAsia="MS PGothic"/>
                <w:b w:val="0"/>
                <w:color w:val="000000"/>
                <w:sz w:val="18"/>
              </w:rPr>
              <w:t>水分含量 (wt%)</w:t>
            </w:r>
          </w:p>
        </w:tc>
        <w:tc>
          <w:tcPr>
            <w:tcW w:type="dxa" w:w="1994"/>
            <w:vAlign w:val="center"/>
            <w:tcW w:w="2200" w:type="dxa"/>
          </w:tcPr>
          <w:p>
            <w:pPr>
              <w:spacing w:before="20" w:after="20" w:lineRule="exact" w:line="240"/>
              <w:jc w:val="center"/>
            </w:pPr>
            <w:r>
              <w:rPr>
                <w:rFonts w:ascii="MS PGothic" w:hAnsi="MS PGothic" w:eastAsia="MS PGothic"/>
                <w:b w:val="0"/>
                <w:color w:val="000000"/>
                <w:sz w:val="18"/>
              </w:rPr>
              <w:t>91.46</w:t>
            </w:r>
          </w:p>
        </w:tc>
        <w:tc>
          <w:tcPr>
            <w:tcW w:type="dxa" w:w="1994"/>
            <w:vAlign w:val="center"/>
            <w:tcW w:w="1900" w:type="dxa"/>
          </w:tcPr>
          <w:p>
            <w:pPr>
              <w:spacing w:before="20" w:after="20" w:lineRule="exact" w:line="240"/>
              <w:jc w:val="center"/>
            </w:pPr>
            <w:r>
              <w:rPr>
                <w:rFonts w:ascii="MS PGothic" w:hAnsi="MS PGothic" w:eastAsia="MS PGothic"/>
                <w:b w:val="0"/>
                <w:color w:val="000000"/>
                <w:sz w:val="18"/>
              </w:rPr>
              <w:t>93.44</w:t>
            </w:r>
          </w:p>
        </w:tc>
        <w:tc>
          <w:tcPr>
            <w:tcW w:type="dxa" w:w="1994"/>
            <w:vAlign w:val="center"/>
            <w:tcW w:w="1360" w:type="dxa"/>
          </w:tcPr>
          <w:p>
            <w:pPr>
              <w:spacing w:before="20" w:after="20" w:lineRule="exact" w:line="240"/>
              <w:jc w:val="center"/>
            </w:pPr>
            <w:r>
              <w:rPr>
                <w:rFonts w:ascii="MS PGothic" w:hAnsi="MS PGothic" w:eastAsia="MS PGothic"/>
                <w:b w:val="0"/>
                <w:color w:val="000000"/>
                <w:sz w:val="18"/>
              </w:rPr>
              <w:t>90.56</w:t>
            </w:r>
          </w:p>
        </w:tc>
      </w:tr>
      <w:tr>
        <w:tc>
          <w:tcPr>
            <w:tcW w:type="dxa" w:w="1994"/>
            <w:vAlign w:val="center"/>
            <w:tcW w:w="1300" w:type="dxa"/>
          </w:tcPr>
          <w:p>
            <w:pPr>
              <w:spacing w:before="20" w:after="20" w:lineRule="exact" w:line="240"/>
              <w:jc w:val="left"/>
            </w:pPr>
            <w:r>
              <w:rPr>
                <w:rFonts w:ascii="MS PGothic" w:hAnsi="MS PGothic" w:eastAsia="MS PGothic"/>
                <w:b w:val="0"/>
                <w:color w:val="000000"/>
                <w:sz w:val="18"/>
              </w:rPr>
              <w:t>FT-IR</w:t>
            </w:r>
          </w:p>
        </w:tc>
        <w:tc>
          <w:tcPr>
            <w:tcW w:type="dxa" w:w="1994"/>
            <w:vAlign w:val="center"/>
            <w:tcW w:w="2600" w:type="dxa"/>
          </w:tcPr>
          <w:p>
            <w:pPr>
              <w:spacing w:before="20" w:after="20" w:lineRule="exact" w:line="240"/>
              <w:jc w:val="center"/>
            </w:pPr>
            <w:r>
              <w:rPr>
                <w:rFonts w:ascii="MS PGothic" w:hAnsi="MS PGothic" w:eastAsia="MS PGothic"/>
                <w:b w:val="0"/>
                <w:color w:val="000000"/>
                <w:sz w:val="18"/>
              </w:rPr>
              <w:t>CH:SiO 比（燃焼前→後）</w:t>
            </w:r>
          </w:p>
        </w:tc>
        <w:tc>
          <w:tcPr>
            <w:tcW w:type="dxa" w:w="1994"/>
            <w:vAlign w:val="center"/>
            <w:tcW w:w="2200" w:type="dxa"/>
          </w:tcPr>
          <w:p>
            <w:pPr>
              <w:spacing w:before="20" w:after="20" w:lineRule="exact" w:line="240"/>
              <w:jc w:val="center"/>
            </w:pPr>
            <w:r>
              <w:rPr>
                <w:rFonts w:ascii="MS PGothic" w:hAnsi="MS PGothic" w:eastAsia="MS PGothic"/>
                <w:b w:val="0"/>
                <w:color w:val="000000"/>
                <w:sz w:val="18"/>
              </w:rPr>
              <w:t>0.1242 → 0.0581</w:t>
            </w:r>
          </w:p>
        </w:tc>
        <w:tc>
          <w:tcPr>
            <w:tcW w:type="dxa" w:w="1994"/>
            <w:vAlign w:val="center"/>
            <w:tcW w:w="1900" w:type="dxa"/>
          </w:tcPr>
          <w:p>
            <w:pPr>
              <w:spacing w:before="20" w:after="20" w:lineRule="exact" w:line="240"/>
              <w:jc w:val="center"/>
            </w:pPr>
            <w:r>
              <w:rPr>
                <w:rFonts w:ascii="MS PGothic" w:hAnsi="MS PGothic" w:eastAsia="MS PGothic"/>
                <w:b w:val="0"/>
                <w:color w:val="000000"/>
                <w:sz w:val="18"/>
              </w:rPr>
              <w:t>0.0768 → 0.0635</w:t>
            </w:r>
          </w:p>
        </w:tc>
        <w:tc>
          <w:tcPr>
            <w:tcW w:type="dxa" w:w="1994"/>
            <w:vAlign w:val="center"/>
            <w:tcW w:w="1360" w:type="dxa"/>
          </w:tcPr>
          <w:p>
            <w:pPr>
              <w:spacing w:before="20" w:after="20" w:lineRule="exact" w:line="240"/>
              <w:jc w:val="center"/>
            </w:pPr>
            <w:r>
              <w:rPr>
                <w:rFonts w:ascii="MS PGothic" w:hAnsi="MS PGothic" w:eastAsia="MS PGothic"/>
                <w:b w:val="0"/>
                <w:color w:val="000000"/>
                <w:sz w:val="18"/>
              </w:rPr>
              <w:t>—</w:t>
            </w:r>
          </w:p>
        </w:tc>
      </w:tr>
      <w:tr>
        <w:tc>
          <w:tcPr>
            <w:tcW w:type="dxa" w:w="1994"/>
            <w:vAlign w:val="center"/>
            <w:tcW w:w="1300" w:type="dxa"/>
          </w:tcPr>
          <w:p>
            <w:pPr>
              <w:spacing w:before="20" w:after="20" w:lineRule="exact" w:line="240"/>
              <w:jc w:val="left"/>
            </w:pPr>
            <w:r>
              <w:rPr>
                <w:rFonts w:ascii="MS PGothic" w:hAnsi="MS PGothic" w:eastAsia="MS PGothic"/>
                <w:b w:val="0"/>
                <w:color w:val="000000"/>
                <w:sz w:val="18"/>
              </w:rPr>
              <w:t>XPS</w:t>
            </w:r>
          </w:p>
        </w:tc>
        <w:tc>
          <w:tcPr>
            <w:tcW w:type="dxa" w:w="1994"/>
            <w:vAlign w:val="center"/>
            <w:tcW w:w="2600" w:type="dxa"/>
          </w:tcPr>
          <w:p>
            <w:pPr>
              <w:spacing w:before="20" w:after="20" w:lineRule="exact" w:line="240"/>
              <w:jc w:val="center"/>
            </w:pPr>
            <w:r>
              <w:rPr>
                <w:rFonts w:ascii="MS PGothic" w:hAnsi="MS PGothic" w:eastAsia="MS PGothic"/>
                <w:b w:val="0"/>
                <w:color w:val="000000"/>
                <w:sz w:val="18"/>
              </w:rPr>
              <w:t>炭素組成 (at%, 前→後)</w:t>
            </w:r>
          </w:p>
        </w:tc>
        <w:tc>
          <w:tcPr>
            <w:tcW w:type="dxa" w:w="1994"/>
            <w:vAlign w:val="center"/>
            <w:tcW w:w="2200" w:type="dxa"/>
          </w:tcPr>
          <w:p>
            <w:pPr>
              <w:spacing w:before="20" w:after="20" w:lineRule="exact" w:line="240"/>
              <w:jc w:val="center"/>
            </w:pPr>
            <w:r>
              <w:rPr>
                <w:rFonts w:ascii="MS PGothic" w:hAnsi="MS PGothic" w:eastAsia="MS PGothic"/>
                <w:b w:val="0"/>
                <w:color w:val="000000"/>
                <w:sz w:val="18"/>
              </w:rPr>
              <w:t>25.6 → 14.9</w:t>
            </w:r>
          </w:p>
        </w:tc>
        <w:tc>
          <w:tcPr>
            <w:tcW w:type="dxa" w:w="1994"/>
            <w:vAlign w:val="center"/>
            <w:tcW w:w="1900" w:type="dxa"/>
          </w:tcPr>
          <w:p>
            <w:pPr>
              <w:spacing w:before="20" w:after="20" w:lineRule="exact" w:line="240"/>
              <w:jc w:val="center"/>
            </w:pPr>
            <w:r>
              <w:rPr>
                <w:rFonts w:ascii="MS PGothic" w:hAnsi="MS PGothic" w:eastAsia="MS PGothic"/>
                <w:b w:val="0"/>
                <w:color w:val="000000"/>
                <w:sz w:val="18"/>
              </w:rPr>
              <w:t>38.3 → 4.8</w:t>
            </w:r>
          </w:p>
        </w:tc>
        <w:tc>
          <w:tcPr>
            <w:tcW w:type="dxa" w:w="1994"/>
            <w:vAlign w:val="center"/>
            <w:tcW w:w="1360" w:type="dxa"/>
          </w:tcPr>
          <w:p>
            <w:pPr>
              <w:spacing w:before="20" w:after="20" w:lineRule="exact" w:line="240"/>
              <w:jc w:val="center"/>
            </w:pPr>
            <w:r>
              <w:rPr>
                <w:rFonts w:ascii="MS PGothic" w:hAnsi="MS PGothic" w:eastAsia="MS PGothic"/>
                <w:b w:val="0"/>
                <w:color w:val="000000"/>
                <w:sz w:val="18"/>
              </w:rPr>
              <w:t>—</w:t>
            </w:r>
          </w:p>
        </w:tc>
      </w:tr>
    </w:tbl>
    <w:p>
      <w:pPr>
        <w:spacing w:before="0" w:after="60"/>
      </w:pPr>
    </w:p>
    <w:tbl>
      <w:tblPr>
        <w:tblStyle w:val="TableGrid"/>
        <w:tblW w:type="auto" w:w="0"/>
        <w:jc w:val="center"/>
        <w:tblLook w:firstColumn="1" w:firstRow="1" w:lastColumn="0" w:lastRow="0" w:noHBand="0" w:noVBand="1" w:val="04A0"/>
      </w:tblPr>
      <w:tblGrid>
        <w:gridCol w:w="9972"/>
      </w:tblGrid>
      <w:tr>
        <w:trPr>
          <w:trHeight w:val="2551" w:hRule="exact"/>
        </w:trPr>
        <w:tc>
          <w:tcPr>
            <w:tcW w:type="dxa" w:w="9972"/>
            <w:tcW w:w="9360" w:type="dxa"/>
            <w:vAlign w:val="center"/>
          </w:tcPr>
          <w:p>
            <w:pPr>
              <w:spacing w:before="0" w:after="0"/>
              <w:jc w:val="center"/>
            </w:pPr>
            <w:r>
              <w:rPr>
                <w:rFonts w:ascii="MS PGothic" w:hAnsi="MS PGothic" w:eastAsia="MS PGothic"/>
                <w:b w:val="0"/>
                <w:color w:val="000000"/>
                <w:sz w:val="18"/>
              </w:rPr>
              <w:t>［図挿入欄］Fig. S12：TGA（水分保持＝室温〜200℃／木粉＋ゲルの難燃性＝250〜500℃）、Fig. S13：FT-IR ATR（燃焼前後、CH:SiO 比）、Fig. S14：XPS 元素組成（O/Na/Si/C、燃焼前後）</w:t>
            </w:r>
          </w:p>
        </w:tc>
      </w:tr>
    </w:tbl>
    <w:p>
      <w:pPr>
        <w:spacing w:before="0" w:after="40"/>
      </w:pPr>
    </w:p>
    <w:p>
      <w:pPr>
        <w:spacing w:before="160" w:after="40"/>
      </w:pPr>
      <w:r>
        <w:rPr>
          <w:rFonts w:ascii="MS PGothic" w:hAnsi="MS PGothic" w:eastAsia="MS PGothic"/>
          <w:b/>
          <w:color w:val="000000"/>
          <w:sz w:val="22"/>
        </w:rPr>
        <w:t>【結論】</w:t>
      </w:r>
    </w:p>
    <w:p>
      <w:pPr>
        <w:spacing w:before="0" w:after="40" w:lineRule="exact" w:line="280"/>
        <w:ind w:firstLine="227"/>
      </w:pPr>
      <w:r>
        <w:rPr>
          <w:rFonts w:ascii="MS PGothic" w:hAnsi="MS PGothic" w:eastAsia="MS PGothic"/>
          <w:b w:val="0"/>
          <w:color w:val="000000"/>
          <w:sz w:val="19"/>
        </w:rPr>
        <w:t>本ゲルの核心は、水の蒸発（吸熱による初期冷却）→ CSP の焼結（粒界形成・ネック成長）→ 多孔質シリカエアロゲル断熱層の形成、という熱活性化プロセスである。これは TGA・SEM・FT-IR・XPS によって構造的・化学的に裏付けられた。得られた成果は、(1) 市販品の3〜6倍の保護時間（HEC+MC 系 7分以上、MHEC 系 5分以上）、(2) 455日に及ぶ長期保存安定性（特に MHEC 系は熟成が穏やか）、(3) せん断希薄化・自己修復性・適度な降伏応力に基づく噴霧可能性、(4) 食品グレード原料による持続可能性、の4点である。WEG は「単なる水のキャリア（乾けば終わり）」から「熱を受けて自身を断熱材へ変態させる難燃材料（乾いてから効く）」へと進化した。</w:t>
      </w:r>
    </w:p>
    <w:p>
      <w:pPr>
        <w:spacing w:before="0" w:after="40" w:lineRule="exact" w:line="280"/>
        <w:ind w:firstLine="227"/>
      </w:pPr>
      <w:r>
        <w:rPr>
          <w:rFonts w:ascii="MS PGothic" w:hAnsi="MS PGothic" w:eastAsia="MS PGothic"/>
          <w:b w:val="0"/>
          <w:color w:val="000000"/>
          <w:sz w:val="19"/>
        </w:rPr>
        <w:t>自身の研究との関連では、共有結合架橋に頼らず動的水素結合のみで付着・噴霧・自己修復を作り込む設計思想と、LAOS（静的降伏応力＝付着性）と Herschel–Bulkley 解析（動的降伏応力＝噴霧性）を組み合わせて降伏応力を2側面から評価する手法は、自身のハイドロゲルの物性設計・評価にも応用できる有用な枠組みである。今後の課題は大規模製造・コスト低減・屋外耐候性の検証であり、本論文は基礎実証の段階に位置づけられる。</w:t>
      </w:r>
    </w:p>
    <w:sectPr w:rsidR="00FC693F" w:rsidRPr="0006063C" w:rsidSect="00034616">
      <w:pgSz w:w="12240" w:h="15840"/>
      <w:pgMar w:top="1020" w:right="1134" w:bottom="102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