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MS PGothic" w:hAnsi="MS PGothic" w:eastAsia="MS PGothic"/>
          <w:b w:val="0"/>
          <w:color w:val="000000"/>
          <w:sz w:val="18"/>
        </w:rPr>
        <w:t>2026/XX/XX　雑誌会_B4　山道大誠</w:t>
      </w:r>
    </w:p>
    <w:p>
      <w:pPr>
        <w:spacing w:before="0" w:after="40"/>
      </w:pPr>
      <w:r>
        <w:rPr>
          <w:rFonts w:ascii="MS PGothic" w:hAnsi="MS PGothic" w:eastAsia="MS PGothic"/>
          <w:b/>
          <w:color w:val="000000"/>
          <w:sz w:val="36"/>
        </w:rPr>
        <w:t>ADVANCED MATERIALS</w:t>
      </w:r>
    </w:p>
    <w:p>
      <w:pPr>
        <w:spacing w:before="0" w:after="20" w:lineRule="exact" w:line="280"/>
      </w:pPr>
      <w:r>
        <w:rPr>
          <w:rFonts w:ascii="MS PGothic" w:hAnsi="MS PGothic" w:eastAsia="MS PGothic"/>
          <w:b/>
          <w:color w:val="000000"/>
          <w:sz w:val="20"/>
        </w:rPr>
        <w:t>Water-Enhancing Gels that Form Heat-Activated Silica Aerogels to Protect Critical Infrastructure from Catastrophic Wildfires</w:t>
      </w:r>
    </w:p>
    <w:p>
      <w:pPr>
        <w:spacing w:before="20" w:after="0" w:lineRule="exact" w:line="260"/>
      </w:pPr>
      <w:r>
        <w:rPr>
          <w:rFonts w:ascii="MS PGothic" w:hAnsi="MS PGothic" w:eastAsia="MS PGothic"/>
          <w:b w:val="0"/>
          <w:color w:val="000000"/>
          <w:sz w:val="18"/>
        </w:rPr>
        <w:t>著者：（　　　　　　　　　　　　　　　　　　　　　）  Adv. Mater. 2024, （巻）, （ページ）</w:t>
      </w:r>
    </w:p>
    <w:p>
      <w:pPr>
        <w:spacing w:before="0" w:after="80" w:lineRule="exact" w:line="260"/>
      </w:pPr>
      <w:r>
        <w:rPr>
          <w:rFonts w:ascii="MS PGothic" w:hAnsi="MS PGothic" w:eastAsia="MS PGothic"/>
          <w:b w:val="0"/>
          <w:color w:val="000000"/>
          <w:sz w:val="18"/>
        </w:rPr>
        <w:t>DOI: （要確認）</w:t>
      </w:r>
    </w:p>
    <w:p>
      <w:pPr>
        <w:spacing w:before="160" w:after="40"/>
      </w:pPr>
      <w:r>
        <w:rPr>
          <w:rFonts w:ascii="MS PGothic" w:hAnsi="MS PGothic" w:eastAsia="MS PGothic"/>
          <w:b/>
          <w:color w:val="000000"/>
          <w:sz w:val="22"/>
        </w:rPr>
        <w:t>【論文の選定理由】</w:t>
      </w:r>
    </w:p>
    <w:p>
      <w:pPr>
        <w:spacing w:before="0" w:after="40" w:lineRule="exact" w:line="280"/>
        <w:ind w:firstLine="227"/>
      </w:pPr>
      <w:r>
        <w:rPr>
          <w:rFonts w:ascii="MS PGothic" w:hAnsi="MS PGothic" w:eastAsia="MS PGothic"/>
          <w:b w:val="0"/>
          <w:color w:val="000000"/>
          <w:sz w:val="19"/>
        </w:rPr>
        <w:t>自身もハイドロゲルを用いた研究を行っており、本論文のゲルが示すせん断希薄化・降伏応力（静的・動的）・自己修復性といったレオロジー特性が、自身が扱う材料系と強く類似していたため、測定手法（振動・定常せん断レオロジー、LAOS、Herschel–Bulkley 解析など）や設計指針の点で直接の参考になると考えた。特に、大振幅振動せん断（LAOS）によって静的降伏応力を定義し、定常フロースイープによる動的降伏応力と区別して評価するという2段階の降伏応力測定手法は、自身の研究でも採用すべき有力な方法論である。</w:t>
      </w:r>
    </w:p>
    <w:p>
      <w:pPr>
        <w:spacing w:before="0" w:after="40" w:lineRule="exact" w:line="280"/>
        <w:ind w:firstLine="227"/>
      </w:pPr>
      <w:r>
        <w:rPr>
          <w:rFonts w:ascii="MS PGothic" w:hAnsi="MS PGothic" w:eastAsia="MS PGothic"/>
          <w:b w:val="0"/>
          <w:color w:val="000000"/>
          <w:sz w:val="19"/>
        </w:rPr>
        <w:t>自身の研究では動的共有結合を用いた架橋系を扱っているが、本論文の「共有結合を用いず動的水素結合のみで付着性・噴霧性・自己修復性を作り込む」という設計思想は、ゲル設計の別方向性として参照価値が高い。また、ポリマー–ナノ粒子間の水素結合（PP 相互作用）という非共有結合ネットワークが、弾性を付与しつつせん断で壊れ自己修復もする、という一見矛盾する複数の機能を1つの結合様式で成立させているメカニズムは、自身のゲル設計においても動的結合の設計指針として応用可能と考えた。</w:t>
      </w:r>
    </w:p>
    <w:p>
      <w:pPr>
        <w:spacing w:before="0" w:after="40" w:lineRule="exact" w:line="280"/>
        <w:ind w:firstLine="227"/>
      </w:pPr>
      <w:r>
        <w:rPr>
          <w:rFonts w:ascii="MS PGothic" w:hAnsi="MS PGothic" w:eastAsia="MS PGothic"/>
          <w:b w:val="0"/>
          <w:color w:val="000000"/>
          <w:sz w:val="19"/>
        </w:rPr>
        <w:t>本研究は単なる新規材料の物性評価にとどまらず、実際の散布装置での噴霧性や455日に及ぶ長期保存安定性まで踏み込んだ製品化を強く意識した研究であり、市販の水強化ゲル製品（AquaGel-K）との定量的なベンチマーク比較を行っている点が実学的に興味深かった。さらに、界面活性剤（SDS）添加が逆効果であったというネガティブな結果を隠さず提示し、それを「SDS 無添加が最適」という設計判断の根拠として論理的に位置づけている点に、研究としての誠実さと高い完成度を感じたため本論文を選定した。</w:t>
      </w:r>
    </w:p>
    <w:p>
      <w:pPr>
        <w:spacing w:before="160" w:after="40"/>
      </w:pPr>
      <w:r>
        <w:rPr>
          <w:rFonts w:ascii="MS PGothic" w:hAnsi="MS PGothic" w:eastAsia="MS PGothic"/>
          <w:b/>
          <w:color w:val="000000"/>
          <w:sz w:val="22"/>
        </w:rPr>
        <w:t>【緒言】</w:t>
      </w:r>
    </w:p>
    <w:p>
      <w:pPr>
        <w:spacing w:before="0" w:after="40" w:lineRule="exact" w:line="280"/>
        <w:ind w:firstLine="227"/>
      </w:pPr>
      <w:r>
        <w:rPr>
          <w:rFonts w:ascii="MS PGothic" w:hAnsi="MS PGothic" w:eastAsia="MS PGothic"/>
          <w:b w:val="0"/>
          <w:color w:val="000000"/>
          <w:sz w:val="19"/>
        </w:rPr>
        <w:t>大規模な山火事（メガファイア）は気候変動を背景に深刻化の一途をたどっており、その発生頻度は過去30年でおよそ5倍に増加した。世界全体の年間焼失面積は約400万 km² 規模に達し、それに伴う経済被害・生態系破壊・健康被害は急拡大している。とりわけ被害が集中するのが、森林と都市・住宅地が直接接する境界地帯（WUI: Wildland-Urban Interface）であり、米国だけでもこの WUI に約4500万人が居住している。住宅・送電網・通信設備・道路・水道といった重要インフラが常に延焼リスクにさらされており、一度の大規模火災で壊滅的な被害が生じる。近年の事例として、2018年のカリフォルニア州 Camp Fire（死者85名、家屋18,000棟以上焼失）は WUI 災害の深刻さを象徴する出来事であった。</w:t>
      </w:r>
    </w:p>
    <w:p>
      <w:pPr>
        <w:spacing w:before="0" w:after="40" w:lineRule="exact" w:line="280"/>
        <w:ind w:firstLine="227"/>
      </w:pPr>
      <w:r>
        <w:rPr>
          <w:rFonts w:ascii="MS PGothic" w:hAnsi="MS PGothic" w:eastAsia="MS PGothic"/>
          <w:b w:val="0"/>
          <w:color w:val="000000"/>
          <w:sz w:val="19"/>
        </w:rPr>
        <w:t>気候変動による高温・乾燥・強風の期間（fire weather）の長期化により、従来の「水をまく」「人海戦術で消火する」といった消火戦略では延焼の速度・規模に対応しきれなくなっている。延焼速度が速くなると、消防リソースが到達するまでの時間的余裕がなくなり、重要インフラや住宅が焼失してしまう。こうした背景から、構造物を事前にコーティングして延焼から守る「受動的防御（passive protection）」材料への需要が急速に高まっている。受動的防御材料に求められる要件は、(1) 消防車・航空機等の既存機材で噴霧できること、(2) 噴霧後に構造物の表面に付着して流れ落ちないこと、(3) 火炎到達まで長時間（数時間以上）保護効果を保つこと、(4) 環境負荷が低いこと、という複数の要件を同時に満たす必要がある。</w:t>
      </w:r>
    </w:p>
    <w:p>
      <w:pPr>
        <w:spacing w:before="0" w:after="40" w:lineRule="exact" w:line="280"/>
        <w:ind w:firstLine="227"/>
      </w:pPr>
      <w:r>
        <w:rPr>
          <w:rFonts w:ascii="MS PGothic" w:hAnsi="MS PGothic" w:eastAsia="MS PGothic"/>
          <w:b w:val="0"/>
          <w:color w:val="000000"/>
          <w:sz w:val="19"/>
        </w:rPr>
        <w:t>現在、林野火災の防御に用いられる薬剤は大きく3種類に分類される。第1に長期遅延剤（long-term retardant; Phos-Chek 等のリン酸アンモニウム系）は、植生に事前散布して燃えにくくするもので、空中散布の赤い薬剤として知られるが、建物や構造物への直接保護には不向きである。環境中のリン濃度上昇による水質汚染の懸念もある。第2に泡消火剤（Class A foam）は界面活性剤で発泡させ表面を覆うもので、即効性はあるが泡が消えると効果を失い持続性に乏しい。強風下では泡が飛散して均一被覆が困難という問題もある。第3に水強化ゲル（WEG: Water-Enhancing Gel）は高吸水性ポリマーで大量の水を保持し、建物表面に塗布して保護膜とするもので、構造物保護に最も有効とされる。しかし WEG の保護効果は保持した「水分」に完全依存するため、火炎の輻射熱や強風によって水分が蒸発・乾燥すると保護効果を完全に失うという、原理的かつ致命的な弱点を抱えている。実際の火災現場では薬剤散布から延焼到達まで数時間を要することも多く、その間にゲルが乾いてしまえば全く意味をなさない。この「乾燥による無効化」は WEG が抱える最も根本的な課題である。</w:t>
      </w:r>
    </w:p>
    <w:p>
      <w:pPr>
        <w:spacing w:before="0" w:after="40" w:lineRule="exact" w:line="280"/>
        <w:ind w:firstLine="227"/>
      </w:pPr>
      <w:r>
        <w:rPr>
          <w:rFonts w:ascii="MS PGothic" w:hAnsi="MS PGothic" w:eastAsia="MS PGothic"/>
          <w:b w:val="0"/>
          <w:color w:val="000000"/>
          <w:sz w:val="19"/>
        </w:rPr>
        <w:t>本研究は、この課題を解決するために「熱活性化エアロゲル形成（Heat-Activated Aerogel Formation）」という新機構を提案している。火炎に接触すると材料自身が断熱性のシリカエアロゲルへと不可逆的に変態するというアプローチであり、水分が蒸発して保護が終わるのではなく、水分の蒸発をトリガーとして固体の多孔質断熱層が形成されることで、乾燥後にこそ保護性能が発揮されるという発想の転換である（Fig. 1）。シリカエアロゲルは熱伝導率が極めて低い（空気：約26 mW/m/K、シリカエアロゲル：5〜20 mW/m/K）既知の高性能断熱材であり、それを火災現場で「その場生成（in-situ formation）」させる点に独創性がある。本ゲルの設計上の特長は3点ある。(i) 保護機能を水分に依存しない、(ii) 食品グレードの持続可能・生分解性原料のみで構成される、(iii) 既存の消防・散布機材でそのまま噴霧できる。実際の保護は、ゲルの噴霧散布 → 火炎接触による加熱 → シリカエアロゲルの形成 → 断熱層による構造物の継続保護、という4段階のプロセスで達成される。本要旨では、材料設計・レオロジー特性・エアロゲル形成機構・長期安定性・燃焼性能・化学/熱分析・既存製品比較の順に、得られた全データを網羅して整理する。</w:t>
      </w:r>
    </w:p>
    <w:tbl>
      <w:tblPr>
        <w:tblStyle w:val="TableGrid"/>
        <w:tblW w:type="auto" w:w="0"/>
        <w:jc w:val="center"/>
        <w:tblLook w:firstColumn="1" w:firstRow="1" w:lastColumn="0" w:lastRow="0" w:noHBand="0" w:noVBand="1" w:val="04A0"/>
      </w:tblPr>
      <w:tblGrid>
        <w:gridCol w:w="9972"/>
      </w:tblGrid>
      <w:tr>
        <w:trPr>
          <w:trHeight w:val="3118"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1：(上) 熱活性化エアロゲル形成の概念図（4段階保護プロセス：散布→接触→エアロゲル化→継続保護）　(下) 炎上でも花が無傷な断熱性デモンストレーション写真</w:t>
            </w:r>
          </w:p>
        </w:tc>
      </w:tr>
    </w:tbl>
    <w:p>
      <w:pPr>
        <w:spacing w:before="0" w:after="40"/>
      </w:pPr>
    </w:p>
    <w:p>
      <w:pPr>
        <w:spacing w:before="160" w:after="40"/>
      </w:pPr>
      <w:r>
        <w:rPr>
          <w:rFonts w:ascii="MS PGothic" w:hAnsi="MS PGothic" w:eastAsia="MS PGothic"/>
          <w:b/>
          <w:color w:val="000000"/>
          <w:sz w:val="22"/>
        </w:rPr>
        <w:t>【実験材料・方法】</w:t>
      </w:r>
    </w:p>
    <w:p>
      <w:pPr>
        <w:spacing w:before="120" w:after="20" w:lineRule="exact" w:line="300"/>
      </w:pPr>
      <w:r>
        <w:rPr>
          <w:rFonts w:ascii="MS PGothic" w:hAnsi="MS PGothic" w:eastAsia="MS PGothic"/>
          <w:b/>
          <w:color w:val="000000"/>
          <w:sz w:val="21"/>
        </w:rPr>
        <w:t>1. 試料の設計思想と材料組成</w:t>
      </w:r>
    </w:p>
    <w:p>
      <w:pPr>
        <w:spacing w:before="60" w:after="0" w:lineRule="exact" w:line="280"/>
      </w:pPr>
      <w:r>
        <w:rPr>
          <w:rFonts w:ascii="MS PGothic" w:hAnsi="MS PGothic" w:eastAsia="MS PGothic"/>
          <w:b/>
          <w:color w:val="000000"/>
          <w:sz w:val="20"/>
        </w:rPr>
        <w:t>・使用ポリマーと各成分の役割</w:t>
      </w:r>
    </w:p>
    <w:p>
      <w:pPr>
        <w:spacing w:before="0" w:after="40" w:lineRule="exact" w:line="280"/>
        <w:ind w:firstLine="227"/>
      </w:pPr>
      <w:r>
        <w:rPr>
          <w:rFonts w:ascii="MS PGothic" w:hAnsi="MS PGothic" w:eastAsia="MS PGothic"/>
          <w:b w:val="0"/>
          <w:color w:val="000000"/>
          <w:sz w:val="19"/>
        </w:rPr>
        <w:t>本ゲルに用いたセルロース系ポリマーは3種類である。HEC（ヒドロキシエチルセルロース）はゲルのベースとなる粘性と骨格を担う水溶性ポリマーで、広い温度域で水溶性を保ち安定したゾル状態を形成する。分子量や置換度に応じて粘度を調整できるため、基本の粘稠性の調製に用いられた。MC（メチルセルロース）は低温では溶解して流動性を示すが、加熱により疎水性のメチル基が会合してゲル化する独特の逆熱応答性（LCST 型ゲル化）を持つ。下限臨界溶解温度（LCST）はメチル置換度に依存して概ね40〜65℃付近に設計でき、本系ではこの熱ゲル化能が、火炎による加熱時にゲルを固化させて構造を維持する火炎保護の鍵となる。MHEC（メチルヒドロキシエチルセルロース）は、HEC の水和性（粘性付与）と MC の熱ゲル化能を1分子内に統合した単一ポリマーであり、HEC+MC の2成分を1成分で代替できる。これらに加え、エアロゲルの無機骨格の素となる CSP（コロイダルシリカ粒子）を混合してゲルを構築する。CSP の粒径は約22 nm（単分散）で、比表面積が大きく水中で安定分散しやすい。</w:t>
      </w:r>
    </w:p>
    <w:p>
      <w:pPr>
        <w:spacing w:before="0" w:after="40" w:lineRule="exact" w:line="280"/>
        <w:ind w:firstLine="227"/>
      </w:pPr>
      <w:r>
        <w:rPr>
          <w:rFonts w:ascii="MS PGothic" w:hAnsi="MS PGothic" w:eastAsia="MS PGothic"/>
          <w:b w:val="0"/>
          <w:color w:val="000000"/>
          <w:sz w:val="19"/>
        </w:rPr>
        <w:t>ネットワークの結合様式はポリマーと CSP の間に働く動的な水素結合（PP: Polymer–Particle 相互作用）で形成され、共有結合による架橋は一切用いていない。CSP 表面のシラノール基（Si–OH）がポリマー鎖の水酸基（–OH）と水素結合を形成することで、ポリマー鎖が CSP 粒子を架橋点として連結される物理ゲル構造となる。この可逆結合設計が、せん断による構造破壊（流動化）と除荷後の自己修復（再ゲル化）を同時に成立させると同時に、架橋剤や有機溶媒を使わないことで生分解性・食品安全性も確保している点が設計思想として重要である。また、PP 相互作用の強さはポリマー濃度・CSP 濃度・pH・温度によって調整可能であり、高いカスタマイズ性を持つプラットフォームでもある。</w:t>
      </w:r>
    </w:p>
    <w:p>
      <w:pPr>
        <w:spacing w:before="60" w:after="0" w:lineRule="exact" w:line="280"/>
      </w:pPr>
      <w:r>
        <w:rPr>
          <w:rFonts w:ascii="MS PGothic" w:hAnsi="MS PGothic" w:eastAsia="MS PGothic"/>
          <w:b/>
          <w:color w:val="000000"/>
          <w:sz w:val="20"/>
        </w:rPr>
        <w:t>・評価した5配合の組成</w:t>
      </w:r>
    </w:p>
    <w:p>
      <w:pPr>
        <w:spacing w:before="0" w:after="40" w:lineRule="exact" w:line="280"/>
        <w:ind w:firstLine="227"/>
      </w:pPr>
      <w:r>
        <w:rPr>
          <w:rFonts w:ascii="MS PGothic" w:hAnsi="MS PGothic" w:eastAsia="MS PGothic"/>
          <w:b w:val="0"/>
          <w:color w:val="000000"/>
          <w:sz w:val="19"/>
        </w:rPr>
        <w:t>評価した配合は計5種類である。対照は市販製品の AquaGel-K とした。試験系は表記「ポリマー濃度-CSP濃度-SDS濃度」（単位：wt%）で示す（例：「1-5-0.1」= ポリマー 1 wt%・CSP 5 wt%・SDS 0.1 wt%）。各成分を水中で混合・攪拌してゲルを調製した。SDS（ドデシル硫酸ナトリウム）を一部配合に添加したのは、濡れ性の改善と発泡安定化を目的としたものである。組成の一覧を Table 1 に示す。なお、ポリマー濃度・CSP 濃度はレオロジー特性と燃焼性能のトレードオフを考慮して1 wt%・5 wt% に設定されており、これらは事前の予備実験で最適化された値である。</w:t>
      </w:r>
    </w:p>
    <w:p>
      <w:pPr>
        <w:spacing w:before="20" w:after="40" w:lineRule="exact" w:line="240"/>
      </w:pPr>
      <w:r>
        <w:rPr>
          <w:rFonts w:ascii="MS PGothic" w:hAnsi="MS PGothic" w:eastAsia="MS PGothic"/>
          <w:b/>
          <w:color w:val="000000"/>
          <w:sz w:val="17"/>
        </w:rPr>
        <w:t>Table 1. 評価した5配合の組成（対照＋試験系4種）</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vAlign w:val="center"/>
            <w:tcW w:w="2300" w:type="dxa"/>
          </w:tcPr>
          <w:p>
            <w:pPr>
              <w:spacing w:before="20" w:after="20" w:lineRule="exact" w:line="240"/>
              <w:jc w:val="center"/>
            </w:pPr>
            <w:r>
              <w:rPr>
                <w:rFonts w:ascii="MS PGothic" w:hAnsi="MS PGothic" w:eastAsia="MS PGothic"/>
                <w:b/>
                <w:color w:val="000000"/>
                <w:sz w:val="18"/>
              </w:rPr>
              <w:t>配合（呼称）</w:t>
            </w:r>
          </w:p>
        </w:tc>
        <w:tc>
          <w:tcPr>
            <w:tcW w:type="dxa" w:w="1662"/>
            <w:vAlign w:val="center"/>
            <w:tcW w:w="1400" w:type="dxa"/>
          </w:tcPr>
          <w:p>
            <w:pPr>
              <w:spacing w:before="20" w:after="20" w:lineRule="exact" w:line="240"/>
              <w:jc w:val="center"/>
            </w:pPr>
            <w:r>
              <w:rPr>
                <w:rFonts w:ascii="MS PGothic" w:hAnsi="MS PGothic" w:eastAsia="MS PGothic"/>
                <w:b/>
                <w:color w:val="000000"/>
                <w:sz w:val="18"/>
              </w:rPr>
              <w:t>ポリマー</w:t>
            </w:r>
          </w:p>
        </w:tc>
        <w:tc>
          <w:tcPr>
            <w:tcW w:type="dxa" w:w="1662"/>
            <w:vAlign w:val="center"/>
            <w:tcW w:w="1500" w:type="dxa"/>
          </w:tcPr>
          <w:p>
            <w:pPr>
              <w:spacing w:before="20" w:after="20" w:lineRule="exact" w:line="240"/>
              <w:jc w:val="center"/>
            </w:pPr>
            <w:r>
              <w:rPr>
                <w:rFonts w:ascii="MS PGothic" w:hAnsi="MS PGothic" w:eastAsia="MS PGothic"/>
                <w:b/>
                <w:color w:val="000000"/>
                <w:sz w:val="18"/>
              </w:rPr>
              <w:t>ポリマー(wt%)</w:t>
            </w:r>
          </w:p>
        </w:tc>
        <w:tc>
          <w:tcPr>
            <w:tcW w:type="dxa" w:w="1662"/>
            <w:vAlign w:val="center"/>
            <w:tcW w:w="1100" w:type="dxa"/>
          </w:tcPr>
          <w:p>
            <w:pPr>
              <w:spacing w:before="20" w:after="20" w:lineRule="exact" w:line="240"/>
              <w:jc w:val="center"/>
            </w:pPr>
            <w:r>
              <w:rPr>
                <w:rFonts w:ascii="MS PGothic" w:hAnsi="MS PGothic" w:eastAsia="MS PGothic"/>
                <w:b/>
                <w:color w:val="000000"/>
                <w:sz w:val="18"/>
              </w:rPr>
              <w:t>CSP(wt%)</w:t>
            </w:r>
          </w:p>
        </w:tc>
        <w:tc>
          <w:tcPr>
            <w:tcW w:type="dxa" w:w="1662"/>
            <w:vAlign w:val="center"/>
            <w:tcW w:w="1100" w:type="dxa"/>
          </w:tcPr>
          <w:p>
            <w:pPr>
              <w:spacing w:before="20" w:after="20" w:lineRule="exact" w:line="240"/>
              <w:jc w:val="center"/>
            </w:pPr>
            <w:r>
              <w:rPr>
                <w:rFonts w:ascii="MS PGothic" w:hAnsi="MS PGothic" w:eastAsia="MS PGothic"/>
                <w:b/>
                <w:color w:val="000000"/>
                <w:sz w:val="18"/>
              </w:rPr>
              <w:t>SDS(wt%)</w:t>
            </w:r>
          </w:p>
        </w:tc>
        <w:tc>
          <w:tcPr>
            <w:tcW w:type="dxa" w:w="1662"/>
            <w:vAlign w:val="center"/>
            <w:tcW w:w="1960" w:type="dxa"/>
          </w:tcPr>
          <w:p>
            <w:pPr>
              <w:spacing w:before="20" w:after="20" w:lineRule="exact" w:line="240"/>
              <w:jc w:val="center"/>
            </w:pPr>
            <w:r>
              <w:rPr>
                <w:rFonts w:ascii="MS PGothic" w:hAnsi="MS PGothic" w:eastAsia="MS PGothic"/>
                <w:b/>
                <w:color w:val="000000"/>
                <w:sz w:val="18"/>
              </w:rPr>
              <w:t>位置づけ</w:t>
            </w:r>
          </w:p>
        </w:tc>
      </w:tr>
      <w:tr>
        <w:tc>
          <w:tcPr>
            <w:tcW w:type="dxa" w:w="1662"/>
            <w:vAlign w:val="center"/>
            <w:tcW w:w="2300" w:type="dxa"/>
          </w:tcPr>
          <w:p>
            <w:pPr>
              <w:spacing w:before="20" w:after="20" w:lineRule="exact" w:line="240"/>
              <w:jc w:val="left"/>
            </w:pPr>
            <w:r>
              <w:rPr>
                <w:rFonts w:ascii="MS PGothic" w:hAnsi="MS PGothic" w:eastAsia="MS PGothic"/>
                <w:b w:val="0"/>
                <w:color w:val="000000"/>
                <w:sz w:val="18"/>
              </w:rPr>
              <w:t>AquaGel-K</w:t>
            </w:r>
          </w:p>
        </w:tc>
        <w:tc>
          <w:tcPr>
            <w:tcW w:type="dxa" w:w="1662"/>
            <w:vAlign w:val="center"/>
            <w:tcW w:w="1400" w:type="dxa"/>
          </w:tcPr>
          <w:p>
            <w:pPr>
              <w:spacing w:before="20" w:after="20" w:lineRule="exact" w:line="240"/>
              <w:jc w:val="center"/>
            </w:pPr>
            <w:r>
              <w:rPr>
                <w:rFonts w:ascii="MS PGothic" w:hAnsi="MS PGothic" w:eastAsia="MS PGothic"/>
                <w:b w:val="0"/>
                <w:color w:val="000000"/>
                <w:sz w:val="18"/>
              </w:rPr>
              <w:t>市販 WEG</w:t>
            </w:r>
          </w:p>
        </w:tc>
        <w:tc>
          <w:tcPr>
            <w:tcW w:type="dxa" w:w="1662"/>
            <w:vAlign w:val="center"/>
            <w:tcW w:w="1500" w:type="dxa"/>
          </w:tcPr>
          <w:p>
            <w:pPr>
              <w:spacing w:before="20" w:after="20" w:lineRule="exact" w:line="240"/>
              <w:jc w:val="center"/>
            </w:pPr>
            <w:r>
              <w:rPr>
                <w:rFonts w:ascii="MS PGothic" w:hAnsi="MS PGothic" w:eastAsia="MS PGothic"/>
                <w:b w:val="0"/>
                <w:color w:val="000000"/>
                <w:sz w:val="18"/>
              </w:rPr>
              <w:t>—</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w:t>
            </w:r>
          </w:p>
        </w:tc>
        <w:tc>
          <w:tcPr>
            <w:tcW w:type="dxa" w:w="1662"/>
            <w:vAlign w:val="center"/>
            <w:tcW w:w="1960" w:type="dxa"/>
          </w:tcPr>
          <w:p>
            <w:pPr>
              <w:spacing w:before="20" w:after="20" w:lineRule="exact" w:line="240"/>
              <w:jc w:val="center"/>
            </w:pPr>
            <w:r>
              <w:rPr>
                <w:rFonts w:ascii="MS PGothic" w:hAnsi="MS PGothic" w:eastAsia="MS PGothic"/>
                <w:b w:val="0"/>
                <w:color w:val="000000"/>
                <w:sz w:val="18"/>
              </w:rPr>
              <w:t>対照（市販品）</w:t>
            </w:r>
          </w:p>
        </w:tc>
      </w:tr>
      <w:tr>
        <w:tc>
          <w:tcPr>
            <w:tcW w:type="dxa" w:w="1662"/>
            <w:vAlign w:val="center"/>
            <w:tcW w:w="2300" w:type="dxa"/>
          </w:tcPr>
          <w:p>
            <w:pPr>
              <w:spacing w:before="20" w:after="20" w:lineRule="exact" w:line="240"/>
              <w:jc w:val="left"/>
            </w:pPr>
            <w:r>
              <w:rPr>
                <w:rFonts w:ascii="MS PGothic" w:hAnsi="MS PGothic" w:eastAsia="MS PGothic"/>
                <w:b w:val="0"/>
                <w:color w:val="000000"/>
                <w:sz w:val="18"/>
              </w:rPr>
              <w:t>HEC+MC/CSP (1-5)</w:t>
            </w:r>
          </w:p>
        </w:tc>
        <w:tc>
          <w:tcPr>
            <w:tcW w:type="dxa" w:w="1662"/>
            <w:vAlign w:val="center"/>
            <w:tcW w:w="1400" w:type="dxa"/>
          </w:tcPr>
          <w:p>
            <w:pPr>
              <w:spacing w:before="20" w:after="20" w:lineRule="exact" w:line="240"/>
              <w:jc w:val="center"/>
            </w:pPr>
            <w:r>
              <w:rPr>
                <w:rFonts w:ascii="MS PGothic" w:hAnsi="MS PGothic" w:eastAsia="MS PGothic"/>
                <w:b w:val="0"/>
                <w:color w:val="000000"/>
                <w:sz w:val="18"/>
              </w:rPr>
              <w:t>HEC+MC</w:t>
            </w:r>
          </w:p>
        </w:tc>
        <w:tc>
          <w:tcPr>
            <w:tcW w:type="dxa" w:w="1662"/>
            <w:vAlign w:val="center"/>
            <w:tcW w:w="1500" w:type="dxa"/>
          </w:tcPr>
          <w:p>
            <w:pPr>
              <w:spacing w:before="20" w:after="20" w:lineRule="exact" w:line="240"/>
              <w:jc w:val="center"/>
            </w:pPr>
            <w:r>
              <w:rPr>
                <w:rFonts w:ascii="MS PGothic" w:hAnsi="MS PGothic" w:eastAsia="MS PGothic"/>
                <w:b w:val="0"/>
                <w:color w:val="000000"/>
                <w:sz w:val="18"/>
              </w:rPr>
              <w:t>1</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5</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0</w:t>
            </w:r>
          </w:p>
        </w:tc>
        <w:tc>
          <w:tcPr>
            <w:tcW w:type="dxa" w:w="1662"/>
            <w:vAlign w:val="center"/>
            <w:tcW w:w="1960" w:type="dxa"/>
          </w:tcPr>
          <w:p>
            <w:pPr>
              <w:spacing w:before="20" w:after="20" w:lineRule="exact" w:line="240"/>
              <w:jc w:val="center"/>
            </w:pPr>
            <w:r>
              <w:rPr>
                <w:rFonts w:ascii="MS PGothic" w:hAnsi="MS PGothic" w:eastAsia="MS PGothic"/>
                <w:b w:val="0"/>
                <w:color w:val="000000"/>
                <w:sz w:val="18"/>
              </w:rPr>
              <w:t>試験系・基準配合</w:t>
            </w:r>
          </w:p>
        </w:tc>
      </w:tr>
      <w:tr>
        <w:tc>
          <w:tcPr>
            <w:tcW w:type="dxa" w:w="1662"/>
            <w:vAlign w:val="center"/>
            <w:tcW w:w="2300" w:type="dxa"/>
          </w:tcPr>
          <w:p>
            <w:pPr>
              <w:spacing w:before="20" w:after="20" w:lineRule="exact" w:line="240"/>
              <w:jc w:val="left"/>
            </w:pPr>
            <w:r>
              <w:rPr>
                <w:rFonts w:ascii="MS PGothic" w:hAnsi="MS PGothic" w:eastAsia="MS PGothic"/>
                <w:b w:val="0"/>
                <w:color w:val="000000"/>
                <w:sz w:val="18"/>
              </w:rPr>
              <w:t>MHEC/CSP (1-5)</w:t>
            </w:r>
          </w:p>
        </w:tc>
        <w:tc>
          <w:tcPr>
            <w:tcW w:type="dxa" w:w="1662"/>
            <w:vAlign w:val="center"/>
            <w:tcW w:w="1400" w:type="dxa"/>
          </w:tcPr>
          <w:p>
            <w:pPr>
              <w:spacing w:before="20" w:after="20" w:lineRule="exact" w:line="240"/>
              <w:jc w:val="center"/>
            </w:pPr>
            <w:r>
              <w:rPr>
                <w:rFonts w:ascii="MS PGothic" w:hAnsi="MS PGothic" w:eastAsia="MS PGothic"/>
                <w:b w:val="0"/>
                <w:color w:val="000000"/>
                <w:sz w:val="18"/>
              </w:rPr>
              <w:t>MHEC</w:t>
            </w:r>
          </w:p>
        </w:tc>
        <w:tc>
          <w:tcPr>
            <w:tcW w:type="dxa" w:w="1662"/>
            <w:vAlign w:val="center"/>
            <w:tcW w:w="1500" w:type="dxa"/>
          </w:tcPr>
          <w:p>
            <w:pPr>
              <w:spacing w:before="20" w:after="20" w:lineRule="exact" w:line="240"/>
              <w:jc w:val="center"/>
            </w:pPr>
            <w:r>
              <w:rPr>
                <w:rFonts w:ascii="MS PGothic" w:hAnsi="MS PGothic" w:eastAsia="MS PGothic"/>
                <w:b w:val="0"/>
                <w:color w:val="000000"/>
                <w:sz w:val="18"/>
              </w:rPr>
              <w:t>1</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5</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0</w:t>
            </w:r>
          </w:p>
        </w:tc>
        <w:tc>
          <w:tcPr>
            <w:tcW w:type="dxa" w:w="1662"/>
            <w:vAlign w:val="center"/>
            <w:tcW w:w="1960" w:type="dxa"/>
          </w:tcPr>
          <w:p>
            <w:pPr>
              <w:spacing w:before="20" w:after="20" w:lineRule="exact" w:line="240"/>
              <w:jc w:val="center"/>
            </w:pPr>
            <w:r>
              <w:rPr>
                <w:rFonts w:ascii="MS PGothic" w:hAnsi="MS PGothic" w:eastAsia="MS PGothic"/>
                <w:b w:val="0"/>
                <w:color w:val="000000"/>
                <w:sz w:val="18"/>
              </w:rPr>
              <w:t>試験系・単一ポリマー</w:t>
            </w:r>
          </w:p>
        </w:tc>
      </w:tr>
      <w:tr>
        <w:tc>
          <w:tcPr>
            <w:tcW w:type="dxa" w:w="1662"/>
            <w:vAlign w:val="center"/>
            <w:tcW w:w="2300" w:type="dxa"/>
          </w:tcPr>
          <w:p>
            <w:pPr>
              <w:spacing w:before="20" w:after="20" w:lineRule="exact" w:line="240"/>
              <w:jc w:val="left"/>
            </w:pPr>
            <w:r>
              <w:rPr>
                <w:rFonts w:ascii="MS PGothic" w:hAnsi="MS PGothic" w:eastAsia="MS PGothic"/>
                <w:b w:val="0"/>
                <w:color w:val="000000"/>
                <w:sz w:val="18"/>
              </w:rPr>
              <w:t>…/SDS (1-5-0.1)</w:t>
            </w:r>
          </w:p>
        </w:tc>
        <w:tc>
          <w:tcPr>
            <w:tcW w:type="dxa" w:w="1662"/>
            <w:vAlign w:val="center"/>
            <w:tcW w:w="1400" w:type="dxa"/>
          </w:tcPr>
          <w:p>
            <w:pPr>
              <w:spacing w:before="20" w:after="20" w:lineRule="exact" w:line="240"/>
              <w:jc w:val="center"/>
            </w:pPr>
            <w:r>
              <w:rPr>
                <w:rFonts w:ascii="MS PGothic" w:hAnsi="MS PGothic" w:eastAsia="MS PGothic"/>
                <w:b w:val="0"/>
                <w:color w:val="000000"/>
                <w:sz w:val="18"/>
              </w:rPr>
              <w:t>HEC+MC 等</w:t>
            </w:r>
          </w:p>
        </w:tc>
        <w:tc>
          <w:tcPr>
            <w:tcW w:type="dxa" w:w="1662"/>
            <w:vAlign w:val="center"/>
            <w:tcW w:w="1500" w:type="dxa"/>
          </w:tcPr>
          <w:p>
            <w:pPr>
              <w:spacing w:before="20" w:after="20" w:lineRule="exact" w:line="240"/>
              <w:jc w:val="center"/>
            </w:pPr>
            <w:r>
              <w:rPr>
                <w:rFonts w:ascii="MS PGothic" w:hAnsi="MS PGothic" w:eastAsia="MS PGothic"/>
                <w:b w:val="0"/>
                <w:color w:val="000000"/>
                <w:sz w:val="18"/>
              </w:rPr>
              <w:t>1</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5</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0.1</w:t>
            </w:r>
          </w:p>
        </w:tc>
        <w:tc>
          <w:tcPr>
            <w:tcW w:type="dxa" w:w="1662"/>
            <w:vAlign w:val="center"/>
            <w:tcW w:w="1960" w:type="dxa"/>
          </w:tcPr>
          <w:p>
            <w:pPr>
              <w:spacing w:before="20" w:after="20" w:lineRule="exact" w:line="240"/>
              <w:jc w:val="center"/>
            </w:pPr>
            <w:r>
              <w:rPr>
                <w:rFonts w:ascii="MS PGothic" w:hAnsi="MS PGothic" w:eastAsia="MS PGothic"/>
                <w:b w:val="0"/>
                <w:color w:val="000000"/>
                <w:sz w:val="18"/>
              </w:rPr>
              <w:t>SDS 添加系（低濃度）</w:t>
            </w:r>
          </w:p>
        </w:tc>
      </w:tr>
      <w:tr>
        <w:tc>
          <w:tcPr>
            <w:tcW w:type="dxa" w:w="1662"/>
            <w:vAlign w:val="center"/>
            <w:tcW w:w="2300" w:type="dxa"/>
          </w:tcPr>
          <w:p>
            <w:pPr>
              <w:spacing w:before="20" w:after="20" w:lineRule="exact" w:line="240"/>
              <w:jc w:val="left"/>
            </w:pPr>
            <w:r>
              <w:rPr>
                <w:rFonts w:ascii="MS PGothic" w:hAnsi="MS PGothic" w:eastAsia="MS PGothic"/>
                <w:b w:val="0"/>
                <w:color w:val="000000"/>
                <w:sz w:val="18"/>
              </w:rPr>
              <w:t>…/SDS (1-5-0.5)</w:t>
            </w:r>
          </w:p>
        </w:tc>
        <w:tc>
          <w:tcPr>
            <w:tcW w:type="dxa" w:w="1662"/>
            <w:vAlign w:val="center"/>
            <w:tcW w:w="1400" w:type="dxa"/>
          </w:tcPr>
          <w:p>
            <w:pPr>
              <w:spacing w:before="20" w:after="20" w:lineRule="exact" w:line="240"/>
              <w:jc w:val="center"/>
            </w:pPr>
            <w:r>
              <w:rPr>
                <w:rFonts w:ascii="MS PGothic" w:hAnsi="MS PGothic" w:eastAsia="MS PGothic"/>
                <w:b w:val="0"/>
                <w:color w:val="000000"/>
                <w:sz w:val="18"/>
              </w:rPr>
              <w:t>HEC+MC 等</w:t>
            </w:r>
          </w:p>
        </w:tc>
        <w:tc>
          <w:tcPr>
            <w:tcW w:type="dxa" w:w="1662"/>
            <w:vAlign w:val="center"/>
            <w:tcW w:w="1500" w:type="dxa"/>
          </w:tcPr>
          <w:p>
            <w:pPr>
              <w:spacing w:before="20" w:after="20" w:lineRule="exact" w:line="240"/>
              <w:jc w:val="center"/>
            </w:pPr>
            <w:r>
              <w:rPr>
                <w:rFonts w:ascii="MS PGothic" w:hAnsi="MS PGothic" w:eastAsia="MS PGothic"/>
                <w:b w:val="0"/>
                <w:color w:val="000000"/>
                <w:sz w:val="18"/>
              </w:rPr>
              <w:t>1</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5</w:t>
            </w:r>
          </w:p>
        </w:tc>
        <w:tc>
          <w:tcPr>
            <w:tcW w:type="dxa" w:w="1662"/>
            <w:vAlign w:val="center"/>
            <w:tcW w:w="1100" w:type="dxa"/>
          </w:tcPr>
          <w:p>
            <w:pPr>
              <w:spacing w:before="20" w:after="20" w:lineRule="exact" w:line="240"/>
              <w:jc w:val="center"/>
            </w:pPr>
            <w:r>
              <w:rPr>
                <w:rFonts w:ascii="MS PGothic" w:hAnsi="MS PGothic" w:eastAsia="MS PGothic"/>
                <w:b w:val="0"/>
                <w:color w:val="000000"/>
                <w:sz w:val="18"/>
              </w:rPr>
              <w:t>0.5</w:t>
            </w:r>
          </w:p>
        </w:tc>
        <w:tc>
          <w:tcPr>
            <w:tcW w:type="dxa" w:w="1662"/>
            <w:vAlign w:val="center"/>
            <w:tcW w:w="1960" w:type="dxa"/>
          </w:tcPr>
          <w:p>
            <w:pPr>
              <w:spacing w:before="20" w:after="20" w:lineRule="exact" w:line="240"/>
              <w:jc w:val="center"/>
            </w:pPr>
            <w:r>
              <w:rPr>
                <w:rFonts w:ascii="MS PGothic" w:hAnsi="MS PGothic" w:eastAsia="MS PGothic"/>
                <w:b w:val="0"/>
                <w:color w:val="000000"/>
                <w:sz w:val="18"/>
              </w:rPr>
              <w:t>SDS 添加系（高濃度）</w:t>
            </w:r>
          </w:p>
        </w:tc>
      </w:tr>
    </w:tbl>
    <w:p>
      <w:pPr>
        <w:spacing w:before="0" w:after="60"/>
      </w:pPr>
    </w:p>
    <w:p>
      <w:pPr>
        <w:spacing w:before="60" w:after="0" w:lineRule="exact" w:line="280"/>
      </w:pPr>
      <w:r>
        <w:rPr>
          <w:rFonts w:ascii="MS PGothic" w:hAnsi="MS PGothic" w:eastAsia="MS PGothic"/>
          <w:b/>
          <w:color w:val="000000"/>
          <w:sz w:val="20"/>
        </w:rPr>
        <w:t>・先行研究との位置づけ（Yu et al., 2016, PNAS）</w:t>
      </w:r>
    </w:p>
    <w:p>
      <w:pPr>
        <w:spacing w:before="0" w:after="40" w:lineRule="exact" w:line="280"/>
        <w:ind w:firstLine="227"/>
      </w:pPr>
      <w:r>
        <w:rPr>
          <w:rFonts w:ascii="MS PGothic" w:hAnsi="MS PGothic" w:eastAsia="MS PGothic"/>
          <w:b w:val="0"/>
          <w:color w:val="000000"/>
          <w:sz w:val="19"/>
        </w:rPr>
        <w:t>この HEC+MC/CSP プラットフォームは、2016年に Yu らが PNAS で報告した PNP（Polymer–Nanoparticle–Polymer）ゲルを基盤とする。当時はリン酸アンモニウム系難燃剤（APP 等）を選択的に吸着・運搬するキャリアとして設計されており、せん断希薄化・自己修復性・選択吸着は既知であった。また、PNP ゲルのせん断希薄化挙動や自己修復性については軟骨修復・薬物送達・生体注射用材料としての応用が多く研究されており、生体安全性の観点からも食品グレード原料の使用は一定の実績がある。本研究の新規性は、(1) 難燃剤（APP）を一切添加せずゲル単独で防火機能を発現すること、(2) 加熱によりシリカエアロゲルへ変態すること、(3) 乾燥環境下でも機能を保つこと、(4) 455日超の長期保存安定性、の4点にある。すなわち「薬剤を運ぶキャリア」から「それ自体が断熱バリアになる材料」への役割転換が本質的な進歩である。CSP の粒径（約22 nm）が選ばれた理由は、単分散性が高く安定分散しやすい粒径であること、また後述する焼結開始温度（約200℃）がセルロース系ポリマーの分解開始温度（約280℃）と整合する点にあると考えられる。</w:t>
      </w:r>
    </w:p>
    <w:p>
      <w:pPr>
        <w:spacing w:before="120" w:after="20" w:lineRule="exact" w:line="300"/>
      </w:pPr>
      <w:r>
        <w:rPr>
          <w:rFonts w:ascii="MS PGothic" w:hAnsi="MS PGothic" w:eastAsia="MS PGothic"/>
          <w:b/>
          <w:color w:val="000000"/>
          <w:sz w:val="21"/>
        </w:rPr>
        <w:t>2. レオロジー測定の方法と各測定の意義</w:t>
      </w:r>
    </w:p>
    <w:p>
      <w:pPr>
        <w:spacing w:before="60" w:after="0" w:lineRule="exact" w:line="280"/>
      </w:pPr>
      <w:r>
        <w:rPr>
          <w:rFonts w:ascii="MS PGothic" w:hAnsi="MS PGothic" w:eastAsia="MS PGothic"/>
          <w:b/>
          <w:color w:val="000000"/>
          <w:sz w:val="20"/>
        </w:rPr>
        <w:t>・粘弾性測定（周波数掃引・ひずみ掃引）</w:t>
      </w:r>
    </w:p>
    <w:p>
      <w:pPr>
        <w:spacing w:before="0" w:after="40" w:lineRule="exact" w:line="280"/>
        <w:ind w:firstLine="227"/>
      </w:pPr>
      <w:r>
        <w:rPr>
          <w:rFonts w:ascii="MS PGothic" w:hAnsi="MS PGothic" w:eastAsia="MS PGothic"/>
          <w:b w:val="0"/>
          <w:color w:val="000000"/>
          <w:sz w:val="19"/>
        </w:rPr>
        <w:t>振動レオロジー測定はストレス制御型レオメーターを用い、コーン-プレートまたはパラレル-プレートジオメトリで実施した。周波数掃引（Frequency sweep）では、まずひずみ掃引で線形粘弾性領域（LVR）を確認した後、LVR 内の一定ひずみ振幅を維持しながら角周波数 omega を広範囲（例：0.01〜100 rad/s）で掃引した。これにより貯蔵弾性率 G'（弾性・固体的成分）と損失弾性率 G''（粘性・液体的成分）の周波数依存性を取得した（Fig. 2a）。G' &gt; G'' が全周波数域で成立すれば固体的ゲル、G'' &gt; G' になれば液体的ゾルであり、静止時の付着性評価に直結する。ひずみ掃引（Strain sweep）では、ひずみ振幅を線形域から大振幅まで増加させ、G' と G'' の降伏挙動を観察した（Fig. 2b）。線形域を超えると G' が低下し、特定のひずみ振幅で G' = G'' のクロスオーバーが生じてゲルからゾルへの転移が確認される。このクロスオーバー点が後述の静的降伏応力の算出基礎となる。</w:t>
      </w:r>
    </w:p>
    <w:p>
      <w:pPr>
        <w:spacing w:before="60" w:after="0" w:lineRule="exact" w:line="280"/>
      </w:pPr>
      <w:r>
        <w:rPr>
          <w:rFonts w:ascii="MS PGothic" w:hAnsi="MS PGothic" w:eastAsia="MS PGothic"/>
          <w:b/>
          <w:color w:val="000000"/>
          <w:sz w:val="20"/>
        </w:rPr>
        <w:t>・せん断希薄化測定（フロースイープ）と動的降伏応力の定量</w:t>
      </w:r>
    </w:p>
    <w:p>
      <w:pPr>
        <w:spacing w:before="0" w:after="40" w:lineRule="exact" w:line="280"/>
        <w:ind w:firstLine="227"/>
      </w:pPr>
      <w:r>
        <w:rPr>
          <w:rFonts w:ascii="MS PGothic" w:hAnsi="MS PGothic" w:eastAsia="MS PGothic"/>
          <w:b w:val="0"/>
          <w:color w:val="000000"/>
          <w:sz w:val="19"/>
        </w:rPr>
        <w:t>フロースイープ（Flow sweep / Steady-state flow）では、せん断速度（shear rate, γ̇）を段階的に変化させながら定常粘度（steady-state viscosity, η）を測定した（Fig. 2c）。各せん断速度での粘度の時間変化が収束するまで待機して定常値を取得した。高せん断速度域で粘度が急激に低下するせん断希薄化挙動が全配合で確認され、これがノズルからの噴霧を可能にする物性的根拠となる。動的降伏応力は、フロースイープデータを Herschel–Bulkley（HB）モデル（tau = tau_y + K * gamma-dot^n、tau_y：降伏応力、K：稠度係数、n：流動指数）でフィッティングして抽出した。流動指数 n が1未満であれば擬塑性（shear-thinning）を意味し、本系では n &lt;&lt; 1 が得られている。稠度係数 K は流動性の指標で、小さいほど流動しやすい。HB モデルによる定量化により、「ポンプ圧内で噴霧できるか否か」を設計段階で予測できる。</w:t>
      </w:r>
    </w:p>
    <w:p>
      <w:pPr>
        <w:spacing w:before="60" w:after="0" w:lineRule="exact" w:line="280"/>
      </w:pPr>
      <w:r>
        <w:rPr>
          <w:rFonts w:ascii="MS PGothic" w:hAnsi="MS PGothic" w:eastAsia="MS PGothic"/>
          <w:b/>
          <w:color w:val="000000"/>
          <w:sz w:val="20"/>
        </w:rPr>
        <w:t>・静的降伏応力の定量（LAOS）</w:t>
      </w:r>
    </w:p>
    <w:p>
      <w:pPr>
        <w:spacing w:before="0" w:after="40" w:lineRule="exact" w:line="280"/>
        <w:ind w:firstLine="227"/>
      </w:pPr>
      <w:r>
        <w:rPr>
          <w:rFonts w:ascii="MS PGothic" w:hAnsi="MS PGothic" w:eastAsia="MS PGothic"/>
          <w:b w:val="0"/>
          <w:color w:val="000000"/>
          <w:sz w:val="19"/>
        </w:rPr>
        <w:t>静的降伏応力の定量には LAOS（Large Amplitude Oscillatory Shear：大振幅振動せん断）測定を用いた。ひずみ振幅を系統的に増大させながら G' と G'' を測定し、G' = G'' のクロスオーバーが生じる点での応力値を静的降伏応力として定義・算出した（Fig. 2d）。この値が高いほど、塗布後に垂直面で流れ落ちずに付着し続ける能力（耐ダレ性・付着性）が高い。動的降伏応力との比較においても意義がある。静的降伏応力はゲルが「流れ始める」のに必要な応力（flow initiation）、動的降伏応力はゲルが「流れ続ける」のに必要な応力（flow maintenance）に対応し、前者 &gt; 後者という大小関係が成立するのが一般的なチキソトロピー系の特徴である。本研究ではこの2つの降伏応力を明確に区別して評価することで、「塗った後に垂れないか（静的）」と「ポンプ圧内で噴霧できるか（動的）」という現場の相反する要求を同時に定量化した点が方法論的に優れている。</w:t>
      </w:r>
    </w:p>
    <w:p>
      <w:pPr>
        <w:spacing w:before="60" w:after="0" w:lineRule="exact" w:line="280"/>
      </w:pPr>
      <w:r>
        <w:rPr>
          <w:rFonts w:ascii="MS PGothic" w:hAnsi="MS PGothic" w:eastAsia="MS PGothic"/>
          <w:b/>
          <w:color w:val="000000"/>
          <w:sz w:val="20"/>
        </w:rPr>
        <w:t>・自己修復性評価（ステップひずみ試験）</w:t>
      </w:r>
    </w:p>
    <w:p>
      <w:pPr>
        <w:spacing w:before="0" w:after="40" w:lineRule="exact" w:line="280"/>
        <w:ind w:firstLine="227"/>
      </w:pPr>
      <w:r>
        <w:rPr>
          <w:rFonts w:ascii="MS PGothic" w:hAnsi="MS PGothic" w:eastAsia="MS PGothic"/>
          <w:b w:val="0"/>
          <w:color w:val="000000"/>
          <w:sz w:val="19"/>
        </w:rPr>
        <w:t>自己修復性は、高ひずみ（G'' &gt; G'：ゾル状態に相当、構造破壊）と低ひずみ（G' &gt; G''：ゲル状態、構造回復）を交互に印加するステップひずみ試験で評価した（Fig. 2e）。高ひずみを印加するとゲル構造が破壊されて G' が急落するが、低ひずみに切り替えると G' が数秒以内に初期値まで回復することが確認された。回復率（recovery ratio）を G'_回復後 / G'_初期 × 100% で定義すると、本系では90%超の高い回復率が得られている。これは着弾後の瞬間的な保護層再形成能力に対応する。自己修復の駆動力は、せん断で壊れた PP 水素結合が除荷後に熱揺らぎで自発的に再形成される可逆性に基づく。ステップを複数サイクル繰り返しても同等の回復が持続することが確認されており、繰り返し噴霧への耐性も示唆されている。</w:t>
      </w:r>
    </w:p>
    <w:p>
      <w:pPr>
        <w:spacing w:before="120" w:after="20" w:lineRule="exact" w:line="300"/>
      </w:pPr>
      <w:r>
        <w:rPr>
          <w:rFonts w:ascii="MS PGothic" w:hAnsi="MS PGothic" w:eastAsia="MS PGothic"/>
          <w:b/>
          <w:color w:val="000000"/>
          <w:sz w:val="21"/>
        </w:rPr>
        <w:t>3. 燃焼試験（Combustion Test）の方法詳細</w:t>
      </w:r>
    </w:p>
    <w:p>
      <w:pPr>
        <w:spacing w:before="0" w:after="40" w:lineRule="exact" w:line="280"/>
        <w:ind w:firstLine="227"/>
      </w:pPr>
      <w:r>
        <w:rPr>
          <w:rFonts w:ascii="MS PGothic" w:hAnsi="MS PGothic" w:eastAsia="MS PGothic"/>
          <w:b w:val="0"/>
          <w:color w:val="000000"/>
          <w:sz w:val="19"/>
        </w:rPr>
        <w:t>防火性能評価は以下の条件で実施した。基材：合板（plywood、規格品、均一な木材組成のもの）。塗布方法：各ゲルを基材表面に均一に塗布（質量・厚みを揃える）。加熱源：MAP-Pro トーチ（プロパン・メチルアセチレン系燃料、炎温度約2054℃）で基材表面を直接加熱した（Fig. 3a）。MAP-Pro の炎温度（約2054℃）は実際の山火事の前縁炎温度（front-of-fire temperature）に近い値であり、実用的な防火性能評価として妥当である。一般的なプロパントーチ（約1995℃）より若干高温であり、防火材料の評価条件として厳しい設定となっている。評価指標：Time to char（木材表面が炭化し始めるまでの時間、分単位）であり、長いほど高い保護性能を意味する。炭化の判定は目視による表面色の変化（黒色化）および試料表面温度のモニタリングによって行った。補助評価として、加熱開始から120秒・300秒の時点で表面状態を写真撮影し、炭化・発泡・断熱層形成の状況を視覚的に比較した。統計的信頼性のため、全配合について n &gt;= 3 で独立した試験を実施し、平均値と標準偏差を算出した。燃焼過程の時系列変化については、タイムラプス撮影（一定間隔での連続写真撮影）によって可視化した（Fig. 3d）。</w:t>
      </w:r>
    </w:p>
    <w:p>
      <w:pPr>
        <w:spacing w:before="120" w:after="20" w:lineRule="exact" w:line="300"/>
      </w:pPr>
      <w:r>
        <w:rPr>
          <w:rFonts w:ascii="MS PGothic" w:hAnsi="MS PGothic" w:eastAsia="MS PGothic"/>
          <w:b/>
          <w:color w:val="000000"/>
          <w:sz w:val="21"/>
        </w:rPr>
        <w:t>4. 化学・熱分析・微細構造観察の方法</w:t>
      </w:r>
    </w:p>
    <w:p>
      <w:pPr>
        <w:spacing w:before="60" w:after="0" w:lineRule="exact" w:line="280"/>
      </w:pPr>
      <w:r>
        <w:rPr>
          <w:rFonts w:ascii="MS PGothic" w:hAnsi="MS PGothic" w:eastAsia="MS PGothic"/>
          <w:b/>
          <w:color w:val="000000"/>
          <w:sz w:val="20"/>
        </w:rPr>
        <w:t>・FT-IR（フーリエ変換赤外分光法）</w:t>
      </w:r>
    </w:p>
    <w:p>
      <w:pPr>
        <w:spacing w:before="0" w:after="40" w:lineRule="exact" w:line="280"/>
        <w:ind w:firstLine="227"/>
      </w:pPr>
      <w:r>
        <w:rPr>
          <w:rFonts w:ascii="MS PGothic" w:hAnsi="MS PGothic" w:eastAsia="MS PGothic"/>
          <w:b w:val="0"/>
          <w:color w:val="000000"/>
          <w:sz w:val="19"/>
        </w:rPr>
        <w:t>燃焼前後の試料について FT-IR スペクトルを取得し、化学結合の変化を評価した。測定は ATR（全反射減衰）法で行い、試料表面の化学情報を取得した。燃焼後の試料は断熱層として残存したシリカ部分を採取してペレット法で測定した。注目した主要ピーク位置は以下の通りである：O–H 伸縮振動（～3400 cm⁻¹：ポリマーの水酸基由来）、C–H 伸縮振動（～2900 cm⁻¹：炭化水素骨格由来）、C–O–C エーテル伸縮（～1050 cm⁻¹：セルロース由来）、Si–O–Si 逆対称伸縮振動（～1100 cm⁻¹：シリカ由来）。燃焼後に O–H・C–H・C–O–C ピークが消失しSi–O–Si ピークが増強・先鋭化すれば、有機物の消失とシリカの残存が化学結合レベルで確認できる（Fig. 4a–b）。HEC+MC 系・MHEC 系の両配合について測定し、比較した。</w:t>
      </w:r>
    </w:p>
    <w:p>
      <w:pPr>
        <w:spacing w:before="60" w:after="0" w:lineRule="exact" w:line="280"/>
      </w:pPr>
      <w:r>
        <w:rPr>
          <w:rFonts w:ascii="MS PGothic" w:hAnsi="MS PGothic" w:eastAsia="MS PGothic"/>
          <w:b/>
          <w:color w:val="000000"/>
          <w:sz w:val="20"/>
        </w:rPr>
        <w:t>・XPS（X線光電子分光法）</w:t>
      </w:r>
    </w:p>
    <w:p>
      <w:pPr>
        <w:spacing w:before="0" w:after="40" w:lineRule="exact" w:line="280"/>
        <w:ind w:firstLine="227"/>
      </w:pPr>
      <w:r>
        <w:rPr>
          <w:rFonts w:ascii="MS PGothic" w:hAnsi="MS PGothic" w:eastAsia="MS PGothic"/>
          <w:b w:val="0"/>
          <w:color w:val="000000"/>
          <w:sz w:val="19"/>
        </w:rPr>
        <w:t>燃焼前後の元素組成比の変化を XPS で定量した。X線源はモノクロ Al K-alpha 線（1486.6 eV）を使用し、試料表面から深さ数 nm の表面元素組成を分析した。測定元素は C 1s・O 1s・Si 2p・N 1s 等であり、各ピーク面積から表面原子組成比（at%）を算出した。特に C 1s ピーク強度の減少が有機成分の燃焼除去を示す定量的指標となる。測定値は以下の通りである：MHEC 系では燃焼前 C = 38.3 at% → 燃焼後 C = 4.8 at%（約87% 減少）。HEC+MC 系でも同様の大幅な炭素減少が確認された（Fig. 4c–d）。これにより有機セルロース成分が燃焼除去され、無機シリカが残存することが組成レベルで裏付けられた。また Si と O の組成比が燃焼後に SiO₂ の化学量論比に近づくことも確認した。</w:t>
      </w:r>
    </w:p>
    <w:p>
      <w:pPr>
        <w:spacing w:before="60" w:after="0" w:lineRule="exact" w:line="280"/>
      </w:pPr>
      <w:r>
        <w:rPr>
          <w:rFonts w:ascii="MS PGothic" w:hAnsi="MS PGothic" w:eastAsia="MS PGothic"/>
          <w:b/>
          <w:color w:val="000000"/>
          <w:sz w:val="20"/>
        </w:rPr>
        <w:t>・TGA / DSC（熱重量分析・示差走査熱量測定）</w:t>
      </w:r>
    </w:p>
    <w:p>
      <w:pPr>
        <w:spacing w:before="0" w:after="40" w:lineRule="exact" w:line="280"/>
        <w:ind w:firstLine="227"/>
      </w:pPr>
      <w:r>
        <w:rPr>
          <w:rFonts w:ascii="MS PGothic" w:hAnsi="MS PGothic" w:eastAsia="MS PGothic"/>
          <w:b w:val="0"/>
          <w:color w:val="000000"/>
          <w:sz w:val="19"/>
        </w:rPr>
        <w:t>TGA では昇温に伴う重量変化から各成分の分解温度と残存量を特定した。DSC との組み合わせにより、各熱事象が吸熱か発熱かを同定した。測定は一定の昇温速度（例：10℃/min）で実施し、窒素雰囲気（非酸化）または空気雰囲気下（酸化・より実際の燃焼に近い条件）で行った。窒素雰囲気での測定は純粋な熱分解挙動を、空気雰囲気での測定は酸化・燃焼挙動をそれぞれ反映する。各ゲル配合（ポリマー単体、CSP 単体、混合系）について測定して各成分の寄与を分離した。セルロース主鎖の熱分解は吸熱・発熱の複合ピークとして約280℃付近に観測され、CSP の焼結開始は約200℃と推定された（Fig. 5a）。600℃超で残存するのはシリカのみで、残渣量は約5〜8 wt%（仕込み CSP 量の5 wt% に一致）であった。</w:t>
      </w:r>
    </w:p>
    <w:p>
      <w:pPr>
        <w:spacing w:before="60" w:after="0" w:lineRule="exact" w:line="280"/>
      </w:pPr>
      <w:r>
        <w:rPr>
          <w:rFonts w:ascii="MS PGothic" w:hAnsi="MS PGothic" w:eastAsia="MS PGothic"/>
          <w:b/>
          <w:color w:val="000000"/>
          <w:sz w:val="20"/>
        </w:rPr>
        <w:t>・SEM（走査型電子顕微鏡）— 断面観察と気泡微細構造評価</w:t>
      </w:r>
    </w:p>
    <w:p>
      <w:pPr>
        <w:spacing w:before="0" w:after="40" w:lineRule="exact" w:line="280"/>
        <w:ind w:firstLine="227"/>
      </w:pPr>
      <w:r>
        <w:rPr>
          <w:rFonts w:ascii="MS PGothic" w:hAnsi="MS PGothic" w:eastAsia="MS PGothic"/>
          <w:b w:val="0"/>
          <w:color w:val="000000"/>
          <w:sz w:val="19"/>
        </w:rPr>
        <w:t>焼結の進行を直接観察するため、加熱時間を0分・1分・2分・4分に変えた試料の断面 SEM 像を取得した（Fig. 5b）。各段階で試料を液体窒素で凍結割断して断面を露出させ、白金スパッタコーティング後に SEM 観察を行った。使用した加速電圧は試料へのダメージを最小限にする低加速条件とした。シリカ粒子の配置・連結状態を観察し、焼結3段階モデルとの照合を行った。また SDS 添加系については、燃焼後の断面 SEM で気泡の大きさ・均一性・数密度の違いも評価し、SDS が発泡微細構造に与える影響を定量的に議論した（Fig. 2j）。気泡の断面積分布から発泡指数（膨張率）を算出した。</w:t>
      </w:r>
    </w:p>
    <w:p>
      <w:pPr>
        <w:spacing w:before="120" w:after="20" w:lineRule="exact" w:line="300"/>
      </w:pPr>
      <w:r>
        <w:rPr>
          <w:rFonts w:ascii="MS PGothic" w:hAnsi="MS PGothic" w:eastAsia="MS PGothic"/>
          <w:b/>
          <w:color w:val="000000"/>
          <w:sz w:val="21"/>
        </w:rPr>
        <w:t>5. 長期保存安定性の評価方法</w:t>
      </w:r>
    </w:p>
    <w:p>
      <w:pPr>
        <w:spacing w:before="0" w:after="40" w:lineRule="exact" w:line="280"/>
        <w:ind w:firstLine="227"/>
      </w:pPr>
      <w:r>
        <w:rPr>
          <w:rFonts w:ascii="MS PGothic" w:hAnsi="MS PGothic" w:eastAsia="MS PGothic"/>
          <w:b w:val="0"/>
          <w:color w:val="000000"/>
          <w:sz w:val="19"/>
        </w:rPr>
        <w:t>試料を調製後、室温（約23℃）・遮光密封条件下で最長455日間（約15ヶ月）保存した。保存期間を複数の時点（例：7日・14日・30日・60日・120日・180日・270日・455日）に設定し、各時点で以下の評価を実施した。(1) レオロジー測定（G'・G''・降伏応力の経時変化）：熟成による剛性化の定量。(2) 燃焼試験（Time to char）：保護性能が変化しないかの確認。(3) 外観・pH・分散状態の目視観察および簡易評価。なお、熟成の机上機構として、可逆的な水素結合から不可逆的な Si–O–C 共有結合への経時転移（シラノール縮合）を想定しており、この共有結合化が剛性化の原因と考えられる。MHEC 系と HEC+MC 系で熟成速度を比較することで、単一ポリマー（MHEC）の安定性上の優位性を検証した。</w:t>
      </w:r>
    </w:p>
    <w:p>
      <w:pPr>
        <w:spacing w:before="160" w:after="40"/>
      </w:pPr>
      <w:r>
        <w:rPr>
          <w:rFonts w:ascii="MS PGothic" w:hAnsi="MS PGothic" w:eastAsia="MS PGothic"/>
          <w:b/>
          <w:color w:val="000000"/>
          <w:sz w:val="22"/>
        </w:rPr>
        <w:t>【実験結果と考察】</w:t>
      </w:r>
    </w:p>
    <w:p>
      <w:pPr>
        <w:spacing w:before="120" w:after="20" w:lineRule="exact" w:line="300"/>
      </w:pPr>
      <w:r>
        <w:rPr>
          <w:rFonts w:ascii="MS PGothic" w:hAnsi="MS PGothic" w:eastAsia="MS PGothic"/>
          <w:b/>
          <w:color w:val="000000"/>
          <w:sz w:val="21"/>
        </w:rPr>
        <w:t>1. レオロジー特性（Figure 2）</w:t>
      </w:r>
    </w:p>
    <w:p>
      <w:pPr>
        <w:spacing w:before="60" w:after="0" w:lineRule="exact" w:line="280"/>
      </w:pPr>
      <w:r>
        <w:rPr>
          <w:rFonts w:ascii="MS PGothic" w:hAnsi="MS PGothic" w:eastAsia="MS PGothic"/>
          <w:b/>
          <w:color w:val="000000"/>
          <w:sz w:val="20"/>
        </w:rPr>
        <w:t>・粘弾性とせん断希薄化（Fig. 2a–c）</w:t>
      </w:r>
    </w:p>
    <w:p>
      <w:pPr>
        <w:spacing w:before="0" w:after="40" w:lineRule="exact" w:line="280"/>
        <w:ind w:firstLine="227"/>
      </w:pPr>
      <w:r>
        <w:rPr>
          <w:rFonts w:ascii="MS PGothic" w:hAnsi="MS PGothic" w:eastAsia="MS PGothic"/>
          <w:b w:val="0"/>
          <w:color w:val="000000"/>
          <w:sz w:val="19"/>
        </w:rPr>
        <w:t>周波数掃引の結果、全周波数域にわたって G' &gt; G'' が維持されており、本ゲルが純粋な液体ではなく固体的な弾性ゲルとして振る舞うことが確認された（Fig. 2a）。G' の値は周波数に対して比較的フラットであり、典型的なゲルの挙動を示している。これは静止時に塗布面から流れ落ちない（耐ダレ性がある）ことを意味し、壁面への長時間の保護を可能にする。G' &gt;&gt; G'' であるほど弾性が支配的であり、付着した後の形状維持能力が高い。フロースイープでは、低せん断速度域で高い粘度を示すが、せん断速度の増加とともに粘度が急激に低下する明瞭なせん断希薄化挙動が全配合で確認された（Fig. 2c）。Herschel–Bulkley フィッティングにより流動指数 n &lt; 1 が得られ、強いせん断希薄化を定量的に裏付けた。この「静止時は固体的・せん断時は流動的」という挙動が、スプレー散布で壁面を均一に被覆しつつ、散布後は重力に抗して留まるという相反する要求を同時に満たす基盤である。実際の消防用散水ガン・ホースの使用条件（高せん断速度）においても十分な流動性が確保されることが示唆された。</w:t>
      </w:r>
    </w:p>
    <w:p>
      <w:pPr>
        <w:spacing w:before="60" w:after="0" w:lineRule="exact" w:line="280"/>
      </w:pPr>
      <w:r>
        <w:rPr>
          <w:rFonts w:ascii="MS PGothic" w:hAnsi="MS PGothic" w:eastAsia="MS PGothic"/>
          <w:b/>
          <w:color w:val="000000"/>
          <w:sz w:val="20"/>
        </w:rPr>
        <w:t>・降伏応力の定量評価（Fig. 2d–e）</w:t>
      </w:r>
    </w:p>
    <w:p>
      <w:pPr>
        <w:spacing w:before="0" w:after="40" w:lineRule="exact" w:line="280"/>
        <w:ind w:firstLine="227"/>
      </w:pPr>
      <w:r>
        <w:rPr>
          <w:rFonts w:ascii="MS PGothic" w:hAnsi="MS PGothic" w:eastAsia="MS PGothic"/>
          <w:b w:val="0"/>
          <w:color w:val="000000"/>
          <w:sz w:val="19"/>
        </w:rPr>
        <w:t>LAOS 測定から求めた静的降伏応力は、作製直後で HEC+MC/CSP（1-5）= 33.3 Pa、MHEC/CSP（1-5）= 3.31 Pa であった（Fig. 2d）。HEC+MC 系が約10倍高い静的降伏応力を示し、垂直面での強固な付着・耐ダレ性に優れる。一方、MHEC 系の 3.31 Pa という値は、塗布面での保持には十分でありながら、適度な動的降伏応力（HB フィット値）と合わせて、ポンプ圧内での問題のない噴霧を可能にする（Fig. 2e）。ステップひずみ試験では両系ともに高ひずみ負荷後にG' が数秒以内に初期値まで回復し、優れた自己修復性が確認された（Fig. 2e）。この自己修復性が着弾後の瞬間的な保護層再形成を担う。降伏応力の比較において重要なのは、「塗った後に垂れないか」（静的降伏応力の大きさ）と「ポンプ圧で噴霧できるか」（動的降伏応力がポンプ圧内に収まるか）という2つの現場要求の両立であり、HEC+MC 系は前者に優れ、MHEC 系は両者のバランスに優れるという設計上の差異が明確に示された。主要なレオロジー特性を Table 2 にまとめる。</w:t>
      </w:r>
    </w:p>
    <w:p>
      <w:pPr>
        <w:spacing w:before="20" w:after="40" w:lineRule="exact" w:line="240"/>
      </w:pPr>
      <w:r>
        <w:rPr>
          <w:rFonts w:ascii="MS PGothic" w:hAnsi="MS PGothic" w:eastAsia="MS PGothic"/>
          <w:b/>
          <w:color w:val="000000"/>
          <w:sz w:val="17"/>
        </w:rPr>
        <w:t>Table 2. 主要レオロジー特性（作製直後）と現場性能への対応</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W w:w="2500" w:type="dxa"/>
          </w:tcPr>
          <w:p>
            <w:pPr>
              <w:spacing w:before="20" w:after="20" w:lineRule="exact" w:line="240"/>
              <w:jc w:val="center"/>
            </w:pPr>
            <w:r>
              <w:rPr>
                <w:rFonts w:ascii="MS PGothic" w:hAnsi="MS PGothic" w:eastAsia="MS PGothic"/>
                <w:b/>
                <w:color w:val="000000"/>
                <w:sz w:val="18"/>
              </w:rPr>
              <w:t>配合</w:t>
            </w:r>
          </w:p>
        </w:tc>
        <w:tc>
          <w:tcPr>
            <w:tcW w:type="dxa" w:w="2493"/>
            <w:vAlign w:val="center"/>
            <w:tcW w:w="1800" w:type="dxa"/>
          </w:tcPr>
          <w:p>
            <w:pPr>
              <w:spacing w:before="20" w:after="20" w:lineRule="exact" w:line="240"/>
              <w:jc w:val="center"/>
            </w:pPr>
            <w:r>
              <w:rPr>
                <w:rFonts w:ascii="MS PGothic" w:hAnsi="MS PGothic" w:eastAsia="MS PGothic"/>
                <w:b/>
                <w:color w:val="000000"/>
                <w:sz w:val="18"/>
              </w:rPr>
              <w:t>静的降伏応力</w:t>
            </w:r>
          </w:p>
        </w:tc>
        <w:tc>
          <w:tcPr>
            <w:tcW w:type="dxa" w:w="2493"/>
            <w:vAlign w:val="center"/>
            <w:tcW w:w="2200" w:type="dxa"/>
          </w:tcPr>
          <w:p>
            <w:pPr>
              <w:spacing w:before="20" w:after="20" w:lineRule="exact" w:line="240"/>
              <w:jc w:val="center"/>
            </w:pPr>
            <w:r>
              <w:rPr>
                <w:rFonts w:ascii="MS PGothic" w:hAnsi="MS PGothic" w:eastAsia="MS PGothic"/>
                <w:b/>
                <w:color w:val="000000"/>
                <w:sz w:val="18"/>
              </w:rPr>
              <w:t>長期変化率</w:t>
            </w:r>
          </w:p>
        </w:tc>
        <w:tc>
          <w:tcPr>
            <w:tcW w:type="dxa" w:w="2493"/>
            <w:vAlign w:val="center"/>
            <w:tcW w:w="2860" w:type="dxa"/>
          </w:tcPr>
          <w:p>
            <w:pPr>
              <w:spacing w:before="20" w:after="20" w:lineRule="exact" w:line="240"/>
              <w:jc w:val="center"/>
            </w:pPr>
            <w:r>
              <w:rPr>
                <w:rFonts w:ascii="MS PGothic" w:hAnsi="MS PGothic" w:eastAsia="MS PGothic"/>
                <w:b/>
                <w:color w:val="000000"/>
                <w:sz w:val="18"/>
              </w:rPr>
              <w:t>現場性能の対応</w:t>
            </w:r>
          </w:p>
        </w:tc>
      </w:tr>
      <w:tr>
        <w:tc>
          <w:tcPr>
            <w:tcW w:type="dxa" w:w="2493"/>
            <w:vAlign w:val="center"/>
            <w:tcW w:w="2500" w:type="dxa"/>
          </w:tcPr>
          <w:p>
            <w:pPr>
              <w:spacing w:before="20" w:after="20" w:lineRule="exact" w:line="240"/>
              <w:jc w:val="left"/>
            </w:pPr>
            <w:r>
              <w:rPr>
                <w:rFonts w:ascii="MS PGothic" w:hAnsi="MS PGothic" w:eastAsia="MS PGothic"/>
                <w:b w:val="0"/>
                <w:color w:val="000000"/>
                <w:sz w:val="18"/>
              </w:rPr>
              <w:t>HEC+MC/CSP (1-5)</w:t>
            </w:r>
          </w:p>
        </w:tc>
        <w:tc>
          <w:tcPr>
            <w:tcW w:type="dxa" w:w="2493"/>
            <w:vAlign w:val="center"/>
            <w:tcW w:w="1800" w:type="dxa"/>
          </w:tcPr>
          <w:p>
            <w:pPr>
              <w:spacing w:before="20" w:after="20" w:lineRule="exact" w:line="240"/>
              <w:jc w:val="center"/>
            </w:pPr>
            <w:r>
              <w:rPr>
                <w:rFonts w:ascii="MS PGothic" w:hAnsi="MS PGothic" w:eastAsia="MS PGothic"/>
                <w:b w:val="0"/>
                <w:color w:val="000000"/>
                <w:sz w:val="18"/>
              </w:rPr>
              <w:t>33.3 Pa</w:t>
            </w:r>
          </w:p>
        </w:tc>
        <w:tc>
          <w:tcPr>
            <w:tcW w:type="dxa" w:w="2493"/>
            <w:vAlign w:val="center"/>
            <w:tcW w:w="2200" w:type="dxa"/>
          </w:tcPr>
          <w:p>
            <w:pPr>
              <w:spacing w:before="20" w:after="20" w:lineRule="exact" w:line="240"/>
              <w:jc w:val="center"/>
            </w:pPr>
            <w:r>
              <w:rPr>
                <w:rFonts w:ascii="MS PGothic" w:hAnsi="MS PGothic" w:eastAsia="MS PGothic"/>
                <w:b w:val="0"/>
                <w:color w:val="000000"/>
                <w:sz w:val="18"/>
              </w:rPr>
              <w:t>+107%（→約69 Pa）</w:t>
            </w:r>
          </w:p>
        </w:tc>
        <w:tc>
          <w:tcPr>
            <w:tcW w:type="dxa" w:w="2493"/>
            <w:vAlign w:val="center"/>
            <w:tcW w:w="2860" w:type="dxa"/>
          </w:tcPr>
          <w:p>
            <w:pPr>
              <w:spacing w:before="20" w:after="20" w:lineRule="exact" w:line="240"/>
              <w:jc w:val="center"/>
            </w:pPr>
            <w:r>
              <w:rPr>
                <w:rFonts w:ascii="MS PGothic" w:hAnsi="MS PGothic" w:eastAsia="MS PGothic"/>
                <w:b w:val="0"/>
                <w:color w:val="000000"/>
                <w:sz w:val="18"/>
              </w:rPr>
              <w:t>付着性◎・燃焼性能やや上</w:t>
            </w:r>
          </w:p>
        </w:tc>
      </w:tr>
      <w:tr>
        <w:tc>
          <w:tcPr>
            <w:tcW w:type="dxa" w:w="2493"/>
            <w:vAlign w:val="center"/>
            <w:tcW w:w="2500" w:type="dxa"/>
          </w:tcPr>
          <w:p>
            <w:pPr>
              <w:spacing w:before="20" w:after="20" w:lineRule="exact" w:line="240"/>
              <w:jc w:val="left"/>
            </w:pPr>
            <w:r>
              <w:rPr>
                <w:rFonts w:ascii="MS PGothic" w:hAnsi="MS PGothic" w:eastAsia="MS PGothic"/>
                <w:b w:val="0"/>
                <w:color w:val="000000"/>
                <w:sz w:val="18"/>
              </w:rPr>
              <w:t>MHEC/CSP (1-5)</w:t>
            </w:r>
          </w:p>
        </w:tc>
        <w:tc>
          <w:tcPr>
            <w:tcW w:type="dxa" w:w="2493"/>
            <w:vAlign w:val="center"/>
            <w:tcW w:w="1800" w:type="dxa"/>
          </w:tcPr>
          <w:p>
            <w:pPr>
              <w:spacing w:before="20" w:after="20" w:lineRule="exact" w:line="240"/>
              <w:jc w:val="center"/>
            </w:pPr>
            <w:r>
              <w:rPr>
                <w:rFonts w:ascii="MS PGothic" w:hAnsi="MS PGothic" w:eastAsia="MS PGothic"/>
                <w:b w:val="0"/>
                <w:color w:val="000000"/>
                <w:sz w:val="18"/>
              </w:rPr>
              <w:t>3.31 Pa</w:t>
            </w:r>
          </w:p>
        </w:tc>
        <w:tc>
          <w:tcPr>
            <w:tcW w:type="dxa" w:w="2493"/>
            <w:vAlign w:val="center"/>
            <w:tcW w:w="2200" w:type="dxa"/>
          </w:tcPr>
          <w:p>
            <w:pPr>
              <w:spacing w:before="20" w:after="20" w:lineRule="exact" w:line="240"/>
              <w:jc w:val="center"/>
            </w:pPr>
            <w:r>
              <w:rPr>
                <w:rFonts w:ascii="MS PGothic" w:hAnsi="MS PGothic" w:eastAsia="MS PGothic"/>
                <w:b w:val="0"/>
                <w:color w:val="000000"/>
                <w:sz w:val="18"/>
              </w:rPr>
              <w:t>+38%</w:t>
            </w:r>
          </w:p>
        </w:tc>
        <w:tc>
          <w:tcPr>
            <w:tcW w:type="dxa" w:w="2493"/>
            <w:vAlign w:val="center"/>
            <w:tcW w:w="2860" w:type="dxa"/>
          </w:tcPr>
          <w:p>
            <w:pPr>
              <w:spacing w:before="20" w:after="20" w:lineRule="exact" w:line="240"/>
              <w:jc w:val="center"/>
            </w:pPr>
            <w:r>
              <w:rPr>
                <w:rFonts w:ascii="MS PGothic" w:hAnsi="MS PGothic" w:eastAsia="MS PGothic"/>
                <w:b w:val="0"/>
                <w:color w:val="000000"/>
                <w:sz w:val="18"/>
              </w:rPr>
              <w:t>噴霧性◎・長期安定◎</w:t>
            </w:r>
          </w:p>
        </w:tc>
      </w:tr>
    </w:tbl>
    <w:p>
      <w:pPr>
        <w:spacing w:before="0" w:after="60"/>
      </w:pPr>
    </w:p>
    <w:p>
      <w:pPr>
        <w:spacing w:before="60" w:after="0" w:lineRule="exact" w:line="280"/>
      </w:pPr>
      <w:r>
        <w:rPr>
          <w:rFonts w:ascii="MS PGothic" w:hAnsi="MS PGothic" w:eastAsia="MS PGothic"/>
          <w:b/>
          <w:color w:val="000000"/>
          <w:sz w:val="20"/>
        </w:rPr>
        <w:t>・SDS 添加の影響：レオロジーへの効果（Fig. 2e–h）</w:t>
      </w:r>
    </w:p>
    <w:p>
      <w:pPr>
        <w:spacing w:before="0" w:after="40" w:lineRule="exact" w:line="280"/>
        <w:ind w:firstLine="227"/>
      </w:pPr>
      <w:r>
        <w:rPr>
          <w:rFonts w:ascii="MS PGothic" w:hAnsi="MS PGothic" w:eastAsia="MS PGothic"/>
          <w:b w:val="0"/>
          <w:color w:val="000000"/>
          <w:sz w:val="19"/>
        </w:rPr>
        <w:t>SDS を添加した目的は、(1) 濡れ性を改善して基材への密着を高めること、(2) 気泡を安定化して発泡を促進し、断熱層をより厚くすることの2点であった。SDS は陰イオン界面活性剤であり、低濃度でも表面張力を大幅に低下させる。当初の仮説では、SDS 添加により接触角が下がって基材への濡れ拡がりが促進され、より均一な被覆が形成されると期待した。しかし結果は仮説を大きく裏切るものであった。弾性率 G' は SDS 0.1 wt% でわずかに上昇する傾向が見られたものの、0.5 wt% では G' が再び低下し無添加配合を下回った（Fig. 2e–f）。降伏応力（静的・動的ともに）はSDS 添加量の増加に伴い単調に低下した（Fig. 2g–h）。これは SDS のドデシル硫酸基が CSP 表面の負電荷を増強し、CSP–ポリマー間の水素結合よりも CSP–SDS の静電相互作用が優先されることで、PP 水素結合ネットワークが弱体化したと解釈される。すなわち SDS は意図とは逆にゲルのレオロジー性能（付着性・剛性）に有害であった。</w:t>
      </w:r>
    </w:p>
    <w:p>
      <w:pPr>
        <w:spacing w:before="60" w:after="0" w:lineRule="exact" w:line="280"/>
      </w:pPr>
      <w:r>
        <w:rPr>
          <w:rFonts w:ascii="MS PGothic" w:hAnsi="MS PGothic" w:eastAsia="MS PGothic"/>
          <w:b/>
          <w:color w:val="000000"/>
          <w:sz w:val="20"/>
        </w:rPr>
        <w:t>・SDS 添加の影響：発泡・微細構造への効果（Fig. 2i–j）</w:t>
      </w:r>
    </w:p>
    <w:p>
      <w:pPr>
        <w:spacing w:before="0" w:after="40" w:lineRule="exact" w:line="280"/>
        <w:ind w:firstLine="227"/>
      </w:pPr>
      <w:r>
        <w:rPr>
          <w:rFonts w:ascii="MS PGothic" w:hAnsi="MS PGothic" w:eastAsia="MS PGothic"/>
          <w:b w:val="0"/>
          <w:color w:val="000000"/>
          <w:sz w:val="19"/>
        </w:rPr>
        <w:t>発泡指数（expansion ratio、燃焼前後の体積比）は無添加（SDS 0%）で最大値約2.6を示した。SDS 0.1% では約2.3へ低下し、SDS 0.5% ではさらに低下した（Fig. 2i）。断面 SEM による微細構造観察では、SDS 0% で均一かつ密な多孔質構造が形成されたのに対し、SDS 0.1% では気泡は比較的均一であるが全体の発泡量が減少し、SDS 0.5% では気泡が粗大かつ不均一になった（Fig. 2j）。気泡が粗大になると単位体積あたりの壁面積が減少し、断熱層の有効熱伝導率が上昇する（断熱効果の低下）。SDS はレオロジーのみならず発泡・微細構造にも有害であり、「SDS 無添加が最適配合」という設計上の知見が得られた。このネガティブ結果は、SDS が PP ネットワークを乱すことで加熱時の発泡挙動の均一性が損なわれ、気泡の安定的な形成が阻害されたと解釈できる。SDS 添加の影響を Table 3 にまとめる。</w:t>
      </w:r>
    </w:p>
    <w:p>
      <w:pPr>
        <w:spacing w:before="20" w:after="40" w:lineRule="exact" w:line="240"/>
      </w:pPr>
      <w:r>
        <w:rPr>
          <w:rFonts w:ascii="MS PGothic" w:hAnsi="MS PGothic" w:eastAsia="MS PGothic"/>
          <w:b/>
          <w:color w:val="000000"/>
          <w:sz w:val="17"/>
        </w:rPr>
        <w:t>Table 3. SDS 濃度が発泡指数・気泡構造・弾性率に与える影響</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vAlign w:val="center"/>
            <w:tcW w:w="1600" w:type="dxa"/>
          </w:tcPr>
          <w:p>
            <w:pPr>
              <w:spacing w:before="20" w:after="20" w:lineRule="exact" w:line="240"/>
              <w:jc w:val="center"/>
            </w:pPr>
            <w:r>
              <w:rPr>
                <w:rFonts w:ascii="MS PGothic" w:hAnsi="MS PGothic" w:eastAsia="MS PGothic"/>
                <w:b/>
                <w:color w:val="000000"/>
                <w:sz w:val="18"/>
              </w:rPr>
              <w:t>SDS濃度</w:t>
            </w:r>
          </w:p>
        </w:tc>
        <w:tc>
          <w:tcPr>
            <w:tcW w:type="dxa" w:w="1994"/>
            <w:vAlign w:val="center"/>
            <w:tcW w:w="1700" w:type="dxa"/>
          </w:tcPr>
          <w:p>
            <w:pPr>
              <w:spacing w:before="20" w:after="20" w:lineRule="exact" w:line="240"/>
              <w:jc w:val="center"/>
            </w:pPr>
            <w:r>
              <w:rPr>
                <w:rFonts w:ascii="MS PGothic" w:hAnsi="MS PGothic" w:eastAsia="MS PGothic"/>
                <w:b/>
                <w:color w:val="000000"/>
                <w:sz w:val="18"/>
              </w:rPr>
              <w:t>発泡指数</w:t>
            </w:r>
          </w:p>
        </w:tc>
        <w:tc>
          <w:tcPr>
            <w:tcW w:type="dxa" w:w="1994"/>
            <w:vAlign w:val="center"/>
            <w:tcW w:w="2300" w:type="dxa"/>
          </w:tcPr>
          <w:p>
            <w:pPr>
              <w:spacing w:before="20" w:after="20" w:lineRule="exact" w:line="240"/>
              <w:jc w:val="center"/>
            </w:pPr>
            <w:r>
              <w:rPr>
                <w:rFonts w:ascii="MS PGothic" w:hAnsi="MS PGothic" w:eastAsia="MS PGothic"/>
                <w:b/>
                <w:color w:val="000000"/>
                <w:sz w:val="18"/>
              </w:rPr>
              <w:t>気泡微細構造</w:t>
            </w:r>
          </w:p>
        </w:tc>
        <w:tc>
          <w:tcPr>
            <w:tcW w:type="dxa" w:w="1994"/>
            <w:vAlign w:val="center"/>
            <w:tcW w:w="2200" w:type="dxa"/>
          </w:tcPr>
          <w:p>
            <w:pPr>
              <w:spacing w:before="20" w:after="20" w:lineRule="exact" w:line="240"/>
              <w:jc w:val="center"/>
            </w:pPr>
            <w:r>
              <w:rPr>
                <w:rFonts w:ascii="MS PGothic" w:hAnsi="MS PGothic" w:eastAsia="MS PGothic"/>
                <w:b/>
                <w:color w:val="000000"/>
                <w:sz w:val="18"/>
              </w:rPr>
              <w:t>弾性率・降伏応力</w:t>
            </w:r>
          </w:p>
        </w:tc>
        <w:tc>
          <w:tcPr>
            <w:tcW w:type="dxa" w:w="1994"/>
            <w:vAlign w:val="center"/>
            <w:tcW w:w="1560" w:type="dxa"/>
          </w:tcPr>
          <w:p>
            <w:pPr>
              <w:spacing w:before="20" w:after="20" w:lineRule="exact" w:line="240"/>
              <w:jc w:val="center"/>
            </w:pPr>
            <w:r>
              <w:rPr>
                <w:rFonts w:ascii="MS PGothic" w:hAnsi="MS PGothic" w:eastAsia="MS PGothic"/>
                <w:b/>
                <w:color w:val="000000"/>
                <w:sz w:val="18"/>
              </w:rPr>
              <w:t>総合評価</w:t>
            </w:r>
          </w:p>
        </w:tc>
      </w:tr>
      <w:tr>
        <w:tc>
          <w:tcPr>
            <w:tcW w:type="dxa" w:w="1994"/>
            <w:vAlign w:val="center"/>
            <w:tcW w:w="1600" w:type="dxa"/>
          </w:tcPr>
          <w:p>
            <w:pPr>
              <w:spacing w:before="20" w:after="20" w:lineRule="exact" w:line="240"/>
              <w:jc w:val="left"/>
            </w:pPr>
            <w:r>
              <w:rPr>
                <w:rFonts w:ascii="MS PGothic" w:hAnsi="MS PGothic" w:eastAsia="MS PGothic"/>
                <w:b w:val="0"/>
                <w:color w:val="000000"/>
                <w:sz w:val="18"/>
              </w:rPr>
              <w:t>0 %（無添加）</w:t>
            </w:r>
          </w:p>
        </w:tc>
        <w:tc>
          <w:tcPr>
            <w:tcW w:type="dxa" w:w="1994"/>
            <w:vAlign w:val="center"/>
            <w:tcW w:w="1700" w:type="dxa"/>
          </w:tcPr>
          <w:p>
            <w:pPr>
              <w:spacing w:before="20" w:after="20" w:lineRule="exact" w:line="240"/>
              <w:jc w:val="center"/>
            </w:pPr>
            <w:r>
              <w:rPr>
                <w:rFonts w:ascii="MS PGothic" w:hAnsi="MS PGothic" w:eastAsia="MS PGothic"/>
                <w:b w:val="0"/>
                <w:color w:val="000000"/>
                <w:sz w:val="18"/>
              </w:rPr>
              <w:t>約2.6（最大）</w:t>
            </w:r>
          </w:p>
        </w:tc>
        <w:tc>
          <w:tcPr>
            <w:tcW w:type="dxa" w:w="1994"/>
            <w:vAlign w:val="center"/>
            <w:tcW w:w="2300" w:type="dxa"/>
          </w:tcPr>
          <w:p>
            <w:pPr>
              <w:spacing w:before="20" w:after="20" w:lineRule="exact" w:line="240"/>
              <w:jc w:val="center"/>
            </w:pPr>
            <w:r>
              <w:rPr>
                <w:rFonts w:ascii="MS PGothic" w:hAnsi="MS PGothic" w:eastAsia="MS PGothic"/>
                <w:b w:val="0"/>
                <w:color w:val="000000"/>
                <w:sz w:val="18"/>
              </w:rPr>
              <w:t>均一・密</w:t>
            </w:r>
          </w:p>
        </w:tc>
        <w:tc>
          <w:tcPr>
            <w:tcW w:type="dxa" w:w="1994"/>
            <w:vAlign w:val="center"/>
            <w:tcW w:w="2200" w:type="dxa"/>
          </w:tcPr>
          <w:p>
            <w:pPr>
              <w:spacing w:before="20" w:after="20" w:lineRule="exact" w:line="240"/>
              <w:jc w:val="center"/>
            </w:pPr>
            <w:r>
              <w:rPr>
                <w:rFonts w:ascii="MS PGothic" w:hAnsi="MS PGothic" w:eastAsia="MS PGothic"/>
                <w:b w:val="0"/>
                <w:color w:val="000000"/>
                <w:sz w:val="18"/>
              </w:rPr>
              <w:t>最も高い</w:t>
            </w:r>
          </w:p>
        </w:tc>
        <w:tc>
          <w:tcPr>
            <w:tcW w:type="dxa" w:w="1994"/>
            <w:vAlign w:val="center"/>
            <w:tcW w:w="1560" w:type="dxa"/>
          </w:tcPr>
          <w:p>
            <w:pPr>
              <w:spacing w:before="20" w:after="20" w:lineRule="exact" w:line="240"/>
              <w:jc w:val="center"/>
            </w:pPr>
            <w:r>
              <w:rPr>
                <w:rFonts w:ascii="MS PGothic" w:hAnsi="MS PGothic" w:eastAsia="MS PGothic"/>
                <w:b w:val="0"/>
                <w:color w:val="000000"/>
                <w:sz w:val="18"/>
              </w:rPr>
              <w:t>◎ 最適</w:t>
            </w:r>
          </w:p>
        </w:tc>
      </w:tr>
      <w:tr>
        <w:tc>
          <w:tcPr>
            <w:tcW w:type="dxa" w:w="1994"/>
            <w:vAlign w:val="center"/>
            <w:tcW w:w="1600" w:type="dxa"/>
          </w:tcPr>
          <w:p>
            <w:pPr>
              <w:spacing w:before="20" w:after="20" w:lineRule="exact" w:line="240"/>
              <w:jc w:val="left"/>
            </w:pPr>
            <w:r>
              <w:rPr>
                <w:rFonts w:ascii="MS PGothic" w:hAnsi="MS PGothic" w:eastAsia="MS PGothic"/>
                <w:b w:val="0"/>
                <w:color w:val="000000"/>
                <w:sz w:val="18"/>
              </w:rPr>
              <w:t>0.1 %</w:t>
            </w:r>
          </w:p>
        </w:tc>
        <w:tc>
          <w:tcPr>
            <w:tcW w:type="dxa" w:w="1994"/>
            <w:vAlign w:val="center"/>
            <w:tcW w:w="1700" w:type="dxa"/>
          </w:tcPr>
          <w:p>
            <w:pPr>
              <w:spacing w:before="20" w:after="20" w:lineRule="exact" w:line="240"/>
              <w:jc w:val="center"/>
            </w:pPr>
            <w:r>
              <w:rPr>
                <w:rFonts w:ascii="MS PGothic" w:hAnsi="MS PGothic" w:eastAsia="MS PGothic"/>
                <w:b w:val="0"/>
                <w:color w:val="000000"/>
                <w:sz w:val="18"/>
              </w:rPr>
              <w:t>約2.3</w:t>
            </w:r>
          </w:p>
        </w:tc>
        <w:tc>
          <w:tcPr>
            <w:tcW w:type="dxa" w:w="1994"/>
            <w:vAlign w:val="center"/>
            <w:tcW w:w="2300" w:type="dxa"/>
          </w:tcPr>
          <w:p>
            <w:pPr>
              <w:spacing w:before="20" w:after="20" w:lineRule="exact" w:line="240"/>
              <w:jc w:val="center"/>
            </w:pPr>
            <w:r>
              <w:rPr>
                <w:rFonts w:ascii="MS PGothic" w:hAnsi="MS PGothic" w:eastAsia="MS PGothic"/>
                <w:b w:val="0"/>
                <w:color w:val="000000"/>
                <w:sz w:val="18"/>
              </w:rPr>
              <w:t>均一だが発泡量減少</w:t>
            </w:r>
          </w:p>
        </w:tc>
        <w:tc>
          <w:tcPr>
            <w:tcW w:type="dxa" w:w="1994"/>
            <w:vAlign w:val="center"/>
            <w:tcW w:w="2200" w:type="dxa"/>
          </w:tcPr>
          <w:p>
            <w:pPr>
              <w:spacing w:before="20" w:after="20" w:lineRule="exact" w:line="240"/>
              <w:jc w:val="center"/>
            </w:pPr>
            <w:r>
              <w:rPr>
                <w:rFonts w:ascii="MS PGothic" w:hAnsi="MS PGothic" w:eastAsia="MS PGothic"/>
                <w:b w:val="0"/>
                <w:color w:val="000000"/>
                <w:sz w:val="18"/>
              </w:rPr>
              <w:t>わずかに上昇後低下</w:t>
            </w:r>
          </w:p>
        </w:tc>
        <w:tc>
          <w:tcPr>
            <w:tcW w:type="dxa" w:w="1994"/>
            <w:vAlign w:val="center"/>
            <w:tcW w:w="1560" w:type="dxa"/>
          </w:tcPr>
          <w:p>
            <w:pPr>
              <w:spacing w:before="20" w:after="20" w:lineRule="exact" w:line="240"/>
              <w:jc w:val="center"/>
            </w:pPr>
            <w:r>
              <w:rPr>
                <w:rFonts w:ascii="MS PGothic" w:hAnsi="MS PGothic" w:eastAsia="MS PGothic"/>
                <w:b w:val="0"/>
                <w:color w:val="000000"/>
                <w:sz w:val="18"/>
              </w:rPr>
              <w:t>△</w:t>
            </w:r>
          </w:p>
        </w:tc>
      </w:tr>
      <w:tr>
        <w:tc>
          <w:tcPr>
            <w:tcW w:type="dxa" w:w="1994"/>
            <w:vAlign w:val="center"/>
            <w:tcW w:w="1600" w:type="dxa"/>
          </w:tcPr>
          <w:p>
            <w:pPr>
              <w:spacing w:before="20" w:after="20" w:lineRule="exact" w:line="240"/>
              <w:jc w:val="left"/>
            </w:pPr>
            <w:r>
              <w:rPr>
                <w:rFonts w:ascii="MS PGothic" w:hAnsi="MS PGothic" w:eastAsia="MS PGothic"/>
                <w:b w:val="0"/>
                <w:color w:val="000000"/>
                <w:sz w:val="18"/>
              </w:rPr>
              <w:t>0.5 %</w:t>
            </w:r>
          </w:p>
        </w:tc>
        <w:tc>
          <w:tcPr>
            <w:tcW w:type="dxa" w:w="1994"/>
            <w:vAlign w:val="center"/>
            <w:tcW w:w="1700" w:type="dxa"/>
          </w:tcPr>
          <w:p>
            <w:pPr>
              <w:spacing w:before="20" w:after="20" w:lineRule="exact" w:line="240"/>
              <w:jc w:val="center"/>
            </w:pPr>
            <w:r>
              <w:rPr>
                <w:rFonts w:ascii="MS PGothic" w:hAnsi="MS PGothic" w:eastAsia="MS PGothic"/>
                <w:b w:val="0"/>
                <w:color w:val="000000"/>
                <w:sz w:val="18"/>
              </w:rPr>
              <w:t>さらに低下</w:t>
            </w:r>
          </w:p>
        </w:tc>
        <w:tc>
          <w:tcPr>
            <w:tcW w:type="dxa" w:w="1994"/>
            <w:vAlign w:val="center"/>
            <w:tcW w:w="2300" w:type="dxa"/>
          </w:tcPr>
          <w:p>
            <w:pPr>
              <w:spacing w:before="20" w:after="20" w:lineRule="exact" w:line="240"/>
              <w:jc w:val="center"/>
            </w:pPr>
            <w:r>
              <w:rPr>
                <w:rFonts w:ascii="MS PGothic" w:hAnsi="MS PGothic" w:eastAsia="MS PGothic"/>
                <w:b w:val="0"/>
                <w:color w:val="000000"/>
                <w:sz w:val="18"/>
              </w:rPr>
              <w:t>粗大・不均一</w:t>
            </w:r>
          </w:p>
        </w:tc>
        <w:tc>
          <w:tcPr>
            <w:tcW w:type="dxa" w:w="1994"/>
            <w:vAlign w:val="center"/>
            <w:tcW w:w="2200" w:type="dxa"/>
          </w:tcPr>
          <w:p>
            <w:pPr>
              <w:spacing w:before="20" w:after="20" w:lineRule="exact" w:line="240"/>
              <w:jc w:val="center"/>
            </w:pPr>
            <w:r>
              <w:rPr>
                <w:rFonts w:ascii="MS PGothic" w:hAnsi="MS PGothic" w:eastAsia="MS PGothic"/>
                <w:b w:val="0"/>
                <w:color w:val="000000"/>
                <w:sz w:val="18"/>
              </w:rPr>
              <w:t>低下</w:t>
            </w:r>
          </w:p>
        </w:tc>
        <w:tc>
          <w:tcPr>
            <w:tcW w:type="dxa" w:w="1994"/>
            <w:vAlign w:val="center"/>
            <w:tcW w:w="1560" w:type="dxa"/>
          </w:tcPr>
          <w:p>
            <w:pPr>
              <w:spacing w:before="20" w:after="20" w:lineRule="exact" w:line="240"/>
              <w:jc w:val="center"/>
            </w:pPr>
            <w:r>
              <w:rPr>
                <w:rFonts w:ascii="MS PGothic" w:hAnsi="MS PGothic" w:eastAsia="MS PGothic"/>
                <w:b w:val="0"/>
                <w:color w:val="000000"/>
                <w:sz w:val="18"/>
              </w:rPr>
              <w:t>× 不適</w:t>
            </w:r>
          </w:p>
        </w:tc>
      </w:tr>
    </w:tbl>
    <w:p>
      <w:pPr>
        <w:spacing w:before="0" w:after="60"/>
      </w:pPr>
    </w:p>
    <w:tbl>
      <w:tblPr>
        <w:tblStyle w:val="TableGrid"/>
        <w:tblW w:type="auto" w:w="0"/>
        <w:jc w:val="center"/>
        <w:tblLook w:firstColumn="1" w:firstRow="1" w:lastColumn="0" w:lastRow="0" w:noHBand="0" w:noVBand="1" w:val="04A0"/>
      </w:tblPr>
      <w:tblGrid>
        <w:gridCol w:w="9972"/>
      </w:tblGrid>
      <w:tr>
        <w:trPr>
          <w:trHeight w:val="3969"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2a–j：(a) 周波数掃引 G'/G''、(b) ひずみ掃引、(c) フロースイープ（せん断希薄化）、(d) LAOS 静的降伏応力（33.3 Pa / 3.31 Pa）、(e) ステップひずみ・自己修復性、(f–h) SDS の弾性率・降伏応力への影響、(i) SDS 濃度別発泡指数、(j) SDS 0/0.1/0.5% の気泡微細構造 SEM 比較</w:t>
            </w:r>
          </w:p>
        </w:tc>
      </w:tr>
    </w:tbl>
    <w:p>
      <w:pPr>
        <w:spacing w:before="0" w:after="40"/>
      </w:pPr>
    </w:p>
    <w:p>
      <w:pPr>
        <w:spacing w:before="120" w:after="20" w:lineRule="exact" w:line="300"/>
      </w:pPr>
      <w:r>
        <w:rPr>
          <w:rFonts w:ascii="MS PGothic" w:hAnsi="MS PGothic" w:eastAsia="MS PGothic"/>
          <w:b/>
          <w:color w:val="000000"/>
          <w:sz w:val="21"/>
        </w:rPr>
        <w:t>2. エアロゲル形成機構（Figure 1・5）</w:t>
      </w:r>
    </w:p>
    <w:p>
      <w:pPr>
        <w:spacing w:before="60" w:after="0" w:lineRule="exact" w:line="280"/>
      </w:pPr>
      <w:r>
        <w:rPr>
          <w:rFonts w:ascii="MS PGothic" w:hAnsi="MS PGothic" w:eastAsia="MS PGothic"/>
          <w:b/>
          <w:color w:val="000000"/>
          <w:sz w:val="20"/>
        </w:rPr>
        <w:t>・シリカエアロゲル形成の3段階焼結機構</w:t>
      </w:r>
    </w:p>
    <w:p>
      <w:pPr>
        <w:spacing w:before="0" w:after="40" w:lineRule="exact" w:line="280"/>
        <w:ind w:firstLine="227"/>
      </w:pPr>
      <w:r>
        <w:rPr>
          <w:rFonts w:ascii="MS PGothic" w:hAnsi="MS PGothic" w:eastAsia="MS PGothic"/>
          <w:b w:val="0"/>
          <w:color w:val="000000"/>
          <w:sz w:val="19"/>
        </w:rPr>
        <w:t>本ゲルが火炎に接触してシリカエアロゲルへと変態するプロセスは、焼結の3段階としてモデル化できる（Fig. 1 模式図）。第1段階（初期分散）：室温の未加熱状態では、CSP（粒径約22 nm）が水・ポリマーマトリクス中に独立分散している。粒子間は PP 水素結合で緩やかに連結されているが、共有結合的な連結はなく、各粒子は運動の自由を保っている。第2段階（粒界形成）：加熱により水分が蒸発・脱水し、隣接する CSP 粒子間の距離が縮まる。約200℃を超えるとシリカ粒子表面のシラノール基（Si–OH）間での脱水縮合が活発になり、粒子間に粒界（grain boundary）が形成され始める。この段階では粒子形状を保ちながら点接触での連結が進む。第3段階（ネック成長・骨格完成）：さらなる加熱でネック（neck、粒子間の共有結合的な架橋部）が成長し、粒子同士が強固に連結。最終的に3次元の多孔質 SiO₂ 骨格（シリカエアロゲル）が完成する。このエアロゲル骨格は微細な気孔を多数含み、気孔内の静止空気が熱伝導を妨げることで断熱層として機能する。シリカエアロゲルが断熱材として有効なのは、気体の平均自由行程より小さな気孔サイズによってガス分子の熱対流・伝導が抑制される Knudsen 効果のためである。</w:t>
      </w:r>
    </w:p>
    <w:p>
      <w:pPr>
        <w:spacing w:before="60" w:after="0" w:lineRule="exact" w:line="280"/>
      </w:pPr>
      <w:r>
        <w:rPr>
          <w:rFonts w:ascii="MS PGothic" w:hAnsi="MS PGothic" w:eastAsia="MS PGothic"/>
          <w:b/>
          <w:color w:val="000000"/>
          <w:sz w:val="20"/>
        </w:rPr>
        <w:t>・温度同期性 — エアロゲル化を成立させる材料設計の核心</w:t>
      </w:r>
    </w:p>
    <w:p>
      <w:pPr>
        <w:spacing w:before="0" w:after="40" w:lineRule="exact" w:line="280"/>
        <w:ind w:firstLine="227"/>
      </w:pPr>
      <w:r>
        <w:rPr>
          <w:rFonts w:ascii="MS PGothic" w:hAnsi="MS PGothic" w:eastAsia="MS PGothic"/>
          <w:b w:val="0"/>
          <w:color w:val="000000"/>
          <w:sz w:val="19"/>
        </w:rPr>
        <w:t>TGA/DSC の結果が示す通り、CSP の焼結開始温度（約200℃）とセルロース有機鎖の分解開始温度（約280℃）が温度的に重なっている（約80℃の重複帯域）点が本系の設計上の本質的優位性である。有機骨格が燃焼・除去されていくのとほぼ同時に無機シリカ骨格の連結・緻密化が進行するため、構造が崩壊する前に新たな支持体が形成される。仮に焼結開始温度がセルロース分解温度よりも大幅に高い場合は、有機骨格が焼失してしまった後でシリカが焼結しても既に断熱層が崩壊しているという問題が生じる。逆に焼結開始温度が著しく低い場合は、ゲル状態のうちにシリカが固化して噴霧性が失われる恐れがある。本系はこの温度整合を、CSP 粒径（約22 nm）とセルロース誘導体の組み合わせによって自然に実現している点が巧妙であり、材料選択の合理性を裏付けている。この温度整合の重要性は、異なる粒径のシリカ粒子では焼結開始温度が異なることを考えると、22 nm という粒径選択がエアロゲル化の温度同期性を意識した設計判断である可能性が高い。</w:t>
      </w:r>
    </w:p>
    <w:p>
      <w:pPr>
        <w:spacing w:before="120" w:after="20" w:lineRule="exact" w:line="300"/>
      </w:pPr>
      <w:r>
        <w:rPr>
          <w:rFonts w:ascii="MS PGothic" w:hAnsi="MS PGothic" w:eastAsia="MS PGothic"/>
          <w:b/>
          <w:color w:val="000000"/>
          <w:sz w:val="21"/>
        </w:rPr>
        <w:t>3. 長期保存安定性（Supplementary）</w:t>
      </w:r>
    </w:p>
    <w:p>
      <w:pPr>
        <w:spacing w:before="60" w:after="0" w:lineRule="exact" w:line="280"/>
      </w:pPr>
      <w:r>
        <w:rPr>
          <w:rFonts w:ascii="MS PGothic" w:hAnsi="MS PGothic" w:eastAsia="MS PGothic"/>
          <w:b/>
          <w:color w:val="000000"/>
          <w:sz w:val="20"/>
        </w:rPr>
        <w:t>・熟成機構 — 水素結合から共有結合への転移</w:t>
      </w:r>
    </w:p>
    <w:p>
      <w:pPr>
        <w:spacing w:before="0" w:after="40" w:lineRule="exact" w:line="280"/>
        <w:ind w:firstLine="227"/>
      </w:pPr>
      <w:r>
        <w:rPr>
          <w:rFonts w:ascii="MS PGothic" w:hAnsi="MS PGothic" w:eastAsia="MS PGothic"/>
          <w:b w:val="0"/>
          <w:color w:val="000000"/>
          <w:sz w:val="19"/>
        </w:rPr>
        <w:t>ゲルを長期保存すると、ネットワーク結合の様式が変化する「熟成（aging）」が起こる。初期のネットワークは可逆的な水素結合（PP 相互作用）で形成されているが、経時的にシリカ表面のシラノール基（Si–OH）とセルロースの水酸基（–OH）との間で脱水縮合が進み、不可逆的な Si–O–C 共有結合が形成される。この共有結合化によりゲルは経時的に剛性化（G' の上昇・降伏応力の上昇）する。縮合反応は温度・pH・水分量に依存し、室温・中性付近では比較的ゆっくり進行する。熟成はゲル材料の品質変化として問題になりうるが、本系では燃焼挙動（Time to char）への影響が限定的であるため実用上の深刻な問題にはなっていない。これは、熟成によって G' が上昇しても、エアロゲル化の温度同期性（CSP 焼結とセルロース分解の重なり）が変化しないためと理解できる。共有結合の形成は Si–O–C であり、Si–O–Si（シリカ骨格）と組成が近いため、燃焼挙動への影響が小さいのは化学的に合理的である。</w:t>
      </w:r>
    </w:p>
    <w:p>
      <w:pPr>
        <w:spacing w:before="60" w:after="0" w:lineRule="exact" w:line="280"/>
      </w:pPr>
      <w:r>
        <w:rPr>
          <w:rFonts w:ascii="MS PGothic" w:hAnsi="MS PGothic" w:eastAsia="MS PGothic"/>
          <w:b/>
          <w:color w:val="000000"/>
          <w:sz w:val="20"/>
        </w:rPr>
        <w:t>・HEC+MC 系と MHEC 系の比較（長期安定性データ）</w:t>
      </w:r>
    </w:p>
    <w:p>
      <w:pPr>
        <w:spacing w:before="0" w:after="40" w:lineRule="exact" w:line="280"/>
        <w:ind w:firstLine="227"/>
      </w:pPr>
      <w:r>
        <w:rPr>
          <w:rFonts w:ascii="MS PGothic" w:hAnsi="MS PGothic" w:eastAsia="MS PGothic"/>
          <w:b w:val="0"/>
          <w:color w:val="000000"/>
          <w:sz w:val="19"/>
        </w:rPr>
        <w:t>長期保存後の降伏応力の変化率は、HEC+MC 系で +107%（33 Pa → 約69 Pa）に対し、MHEC 系で +38% と穏やかであった。HEC+MC 系の方が剛性化が大きいのは、HEC および MC 分子が MHEC より遊離の水酸基（–OH）を多く持ち、シリカ表面との共有結合化（縮合）が進みやすいためである。一方 MHEC ではメチル基およびヒドロキシエチル基による置換が遊離 –OH を少なくし、縮合を抑制する。455日間の長期保存後も燃焼挙動（Time to char）は実質的に変化しなかったことが確認されており、1年を超える実用的な保存安定性が示された（Supplementary Fig. S18–S19 参照）。実際の製品保存期間として1年以上の安定性は重要な商品価値であり、本研究の示す455日（約15ヶ月）という実証期間は実用化に向けて有力なデータと言える。性能・安定性・コストの総合比較を Table 4 に示す。</w:t>
      </w:r>
    </w:p>
    <w:p>
      <w:pPr>
        <w:spacing w:before="20" w:after="40" w:lineRule="exact" w:line="240"/>
      </w:pPr>
      <w:r>
        <w:rPr>
          <w:rFonts w:ascii="MS PGothic" w:hAnsi="MS PGothic" w:eastAsia="MS PGothic"/>
          <w:b/>
          <w:color w:val="000000"/>
          <w:sz w:val="17"/>
        </w:rPr>
        <w:t>Table 4. HEC+MC 系と MHEC 系の総合比較（性能・安定性・経済性）</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W w:w="2100" w:type="dxa"/>
          </w:tcPr>
          <w:p>
            <w:pPr>
              <w:spacing w:before="20" w:after="20" w:lineRule="exact" w:line="240"/>
              <w:jc w:val="center"/>
            </w:pPr>
            <w:r>
              <w:rPr>
                <w:rFonts w:ascii="MS PGothic" w:hAnsi="MS PGothic" w:eastAsia="MS PGothic"/>
                <w:b/>
                <w:color w:val="000000"/>
                <w:sz w:val="18"/>
              </w:rPr>
              <w:t>評価項目</w:t>
            </w:r>
          </w:p>
        </w:tc>
        <w:tc>
          <w:tcPr>
            <w:tcW w:type="dxa" w:w="2493"/>
            <w:vAlign w:val="center"/>
            <w:tcW w:w="2100" w:type="dxa"/>
          </w:tcPr>
          <w:p>
            <w:pPr>
              <w:spacing w:before="20" w:after="20" w:lineRule="exact" w:line="240"/>
              <w:jc w:val="center"/>
            </w:pPr>
            <w:r>
              <w:rPr>
                <w:rFonts w:ascii="MS PGothic" w:hAnsi="MS PGothic" w:eastAsia="MS PGothic"/>
                <w:b/>
                <w:color w:val="000000"/>
                <w:sz w:val="18"/>
              </w:rPr>
              <w:t>HEC+MC/CSP</w:t>
            </w:r>
          </w:p>
        </w:tc>
        <w:tc>
          <w:tcPr>
            <w:tcW w:type="dxa" w:w="2493"/>
            <w:vAlign w:val="center"/>
            <w:tcW w:w="1900" w:type="dxa"/>
          </w:tcPr>
          <w:p>
            <w:pPr>
              <w:spacing w:before="20" w:after="20" w:lineRule="exact" w:line="240"/>
              <w:jc w:val="center"/>
            </w:pPr>
            <w:r>
              <w:rPr>
                <w:rFonts w:ascii="MS PGothic" w:hAnsi="MS PGothic" w:eastAsia="MS PGothic"/>
                <w:b/>
                <w:color w:val="000000"/>
                <w:sz w:val="18"/>
              </w:rPr>
              <w:t>MHEC/CSP</w:t>
            </w:r>
          </w:p>
        </w:tc>
        <w:tc>
          <w:tcPr>
            <w:tcW w:type="dxa" w:w="2493"/>
            <w:vAlign w:val="center"/>
            <w:tcW w:w="3260" w:type="dxa"/>
          </w:tcPr>
          <w:p>
            <w:pPr>
              <w:spacing w:before="20" w:after="20" w:lineRule="exact" w:line="240"/>
              <w:jc w:val="center"/>
            </w:pPr>
            <w:r>
              <w:rPr>
                <w:rFonts w:ascii="MS PGothic" w:hAnsi="MS PGothic" w:eastAsia="MS PGothic"/>
                <w:b/>
                <w:color w:val="000000"/>
                <w:sz w:val="18"/>
              </w:rPr>
              <w:t>備考</w:t>
            </w:r>
          </w:p>
        </w:tc>
      </w:tr>
      <w:tr>
        <w:tc>
          <w:tcPr>
            <w:tcW w:type="dxa" w:w="2493"/>
            <w:vAlign w:val="center"/>
            <w:tcW w:w="2100" w:type="dxa"/>
          </w:tcPr>
          <w:p>
            <w:pPr>
              <w:spacing w:before="20" w:after="20" w:lineRule="exact" w:line="240"/>
              <w:jc w:val="left"/>
            </w:pPr>
            <w:r>
              <w:rPr>
                <w:rFonts w:ascii="MS PGothic" w:hAnsi="MS PGothic" w:eastAsia="MS PGothic"/>
                <w:b w:val="0"/>
                <w:color w:val="000000"/>
                <w:sz w:val="18"/>
              </w:rPr>
              <w:t>燃焼保護性能</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◎（やや上）</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w:t>
            </w:r>
          </w:p>
        </w:tc>
        <w:tc>
          <w:tcPr>
            <w:tcW w:type="dxa" w:w="2493"/>
            <w:vAlign w:val="center"/>
            <w:tcW w:w="3260" w:type="dxa"/>
          </w:tcPr>
          <w:p>
            <w:pPr>
              <w:spacing w:before="20" w:after="20" w:lineRule="exact" w:line="240"/>
              <w:jc w:val="center"/>
            </w:pPr>
            <w:r>
              <w:rPr>
                <w:rFonts w:ascii="MS PGothic" w:hAnsi="MS PGothic" w:eastAsia="MS PGothic"/>
                <w:b w:val="0"/>
                <w:color w:val="000000"/>
                <w:sz w:val="18"/>
              </w:rPr>
              <w:t>HEC+MC が僅差で優位</w:t>
            </w:r>
          </w:p>
        </w:tc>
      </w:tr>
      <w:tr>
        <w:tc>
          <w:tcPr>
            <w:tcW w:type="dxa" w:w="2493"/>
            <w:vAlign w:val="center"/>
            <w:tcW w:w="2100" w:type="dxa"/>
          </w:tcPr>
          <w:p>
            <w:pPr>
              <w:spacing w:before="20" w:after="20" w:lineRule="exact" w:line="240"/>
              <w:jc w:val="left"/>
            </w:pPr>
            <w:r>
              <w:rPr>
                <w:rFonts w:ascii="MS PGothic" w:hAnsi="MS PGothic" w:eastAsia="MS PGothic"/>
                <w:b w:val="0"/>
                <w:color w:val="000000"/>
                <w:sz w:val="18"/>
              </w:rPr>
              <w:t>長期安定性</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 (+107%剛性化)</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 (+38%)</w:t>
            </w:r>
          </w:p>
        </w:tc>
        <w:tc>
          <w:tcPr>
            <w:tcW w:type="dxa" w:w="2493"/>
            <w:vAlign w:val="center"/>
            <w:tcW w:w="3260" w:type="dxa"/>
          </w:tcPr>
          <w:p>
            <w:pPr>
              <w:spacing w:before="20" w:after="20" w:lineRule="exact" w:line="240"/>
              <w:jc w:val="center"/>
            </w:pPr>
            <w:r>
              <w:rPr>
                <w:rFonts w:ascii="MS PGothic" w:hAnsi="MS PGothic" w:eastAsia="MS PGothic"/>
                <w:b w:val="0"/>
                <w:color w:val="000000"/>
                <w:sz w:val="18"/>
              </w:rPr>
              <w:t>遊離 –OH 数の差による縮合速度の違い</w:t>
            </w:r>
          </w:p>
        </w:tc>
      </w:tr>
      <w:tr>
        <w:tc>
          <w:tcPr>
            <w:tcW w:type="dxa" w:w="2493"/>
            <w:vAlign w:val="center"/>
            <w:tcW w:w="2100" w:type="dxa"/>
          </w:tcPr>
          <w:p>
            <w:pPr>
              <w:spacing w:before="20" w:after="20" w:lineRule="exact" w:line="240"/>
              <w:jc w:val="left"/>
            </w:pPr>
            <w:r>
              <w:rPr>
                <w:rFonts w:ascii="MS PGothic" w:hAnsi="MS PGothic" w:eastAsia="MS PGothic"/>
                <w:b w:val="0"/>
                <w:color w:val="000000"/>
                <w:sz w:val="18"/>
              </w:rPr>
              <w:t>製造・品質管理</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○（2成分配合）</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◎（単一ポリマー）</w:t>
            </w:r>
          </w:p>
        </w:tc>
        <w:tc>
          <w:tcPr>
            <w:tcW w:type="dxa" w:w="2493"/>
            <w:vAlign w:val="center"/>
            <w:tcW w:w="3260" w:type="dxa"/>
          </w:tcPr>
          <w:p>
            <w:pPr>
              <w:spacing w:before="20" w:after="20" w:lineRule="exact" w:line="240"/>
              <w:jc w:val="center"/>
            </w:pPr>
            <w:r>
              <w:rPr>
                <w:rFonts w:ascii="MS PGothic" w:hAnsi="MS PGothic" w:eastAsia="MS PGothic"/>
                <w:b w:val="0"/>
                <w:color w:val="000000"/>
                <w:sz w:val="18"/>
              </w:rPr>
              <w:t>MHEC は配合比管理不要</w:t>
            </w:r>
          </w:p>
        </w:tc>
      </w:tr>
      <w:tr>
        <w:tc>
          <w:tcPr>
            <w:tcW w:type="dxa" w:w="2493"/>
            <w:vAlign w:val="center"/>
            <w:tcW w:w="2100" w:type="dxa"/>
          </w:tcPr>
          <w:p>
            <w:pPr>
              <w:spacing w:before="20" w:after="20" w:lineRule="exact" w:line="240"/>
              <w:jc w:val="left"/>
            </w:pPr>
            <w:r>
              <w:rPr>
                <w:rFonts w:ascii="MS PGothic" w:hAnsi="MS PGothic" w:eastAsia="MS PGothic"/>
                <w:b w:val="0"/>
                <w:color w:val="000000"/>
                <w:sz w:val="18"/>
              </w:rPr>
              <w:t>コスト</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w:t>
            </w:r>
          </w:p>
        </w:tc>
        <w:tc>
          <w:tcPr>
            <w:tcW w:type="dxa" w:w="2493"/>
            <w:vAlign w:val="center"/>
            <w:tcW w:w="3260" w:type="dxa"/>
          </w:tcPr>
          <w:p>
            <w:pPr>
              <w:spacing w:before="20" w:after="20" w:lineRule="exact" w:line="240"/>
              <w:jc w:val="center"/>
            </w:pPr>
            <w:r>
              <w:rPr>
                <w:rFonts w:ascii="MS PGothic" w:hAnsi="MS PGothic" w:eastAsia="MS PGothic"/>
                <w:b w:val="0"/>
                <w:color w:val="000000"/>
                <w:sz w:val="18"/>
              </w:rPr>
              <w:t>MHEC が低コスト（原料1種）</w:t>
            </w:r>
          </w:p>
        </w:tc>
      </w:tr>
      <w:tr>
        <w:tc>
          <w:tcPr>
            <w:tcW w:type="dxa" w:w="2493"/>
            <w:vAlign w:val="center"/>
            <w:tcW w:w="2100" w:type="dxa"/>
          </w:tcPr>
          <w:p>
            <w:pPr>
              <w:spacing w:before="20" w:after="20" w:lineRule="exact" w:line="240"/>
              <w:jc w:val="left"/>
            </w:pPr>
            <w:r>
              <w:rPr>
                <w:rFonts w:ascii="MS PGothic" w:hAnsi="MS PGothic" w:eastAsia="MS PGothic"/>
                <w:b w:val="0"/>
                <w:color w:val="000000"/>
                <w:sz w:val="18"/>
              </w:rPr>
              <w:t>455日後の燃焼性能</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○（変化なし）</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◎（変化なし）</w:t>
            </w:r>
          </w:p>
        </w:tc>
        <w:tc>
          <w:tcPr>
            <w:tcW w:type="dxa" w:w="2493"/>
            <w:vAlign w:val="center"/>
            <w:tcW w:w="3260" w:type="dxa"/>
          </w:tcPr>
          <w:p>
            <w:pPr>
              <w:spacing w:before="20" w:after="20" w:lineRule="exact" w:line="240"/>
              <w:jc w:val="center"/>
            </w:pPr>
            <w:r>
              <w:rPr>
                <w:rFonts w:ascii="MS PGothic" w:hAnsi="MS PGothic" w:eastAsia="MS PGothic"/>
                <w:b w:val="0"/>
                <w:color w:val="000000"/>
                <w:sz w:val="18"/>
              </w:rPr>
              <w:t>両系とも455日後も同等性能を維持</w:t>
            </w:r>
          </w:p>
        </w:tc>
      </w:tr>
    </w:tbl>
    <w:p>
      <w:pPr>
        <w:spacing w:before="0" w:after="60"/>
      </w:pPr>
    </w:p>
    <w:p>
      <w:pPr>
        <w:spacing w:before="120" w:after="20" w:lineRule="exact" w:line="300"/>
      </w:pPr>
      <w:r>
        <w:rPr>
          <w:rFonts w:ascii="MS PGothic" w:hAnsi="MS PGothic" w:eastAsia="MS PGothic"/>
          <w:b/>
          <w:color w:val="000000"/>
          <w:sz w:val="21"/>
        </w:rPr>
        <w:t>4. 燃焼試験による防火性能（Figure 3）</w:t>
      </w:r>
    </w:p>
    <w:p>
      <w:pPr>
        <w:spacing w:before="60" w:after="0" w:lineRule="exact" w:line="280"/>
      </w:pPr>
      <w:r>
        <w:rPr>
          <w:rFonts w:ascii="MS PGothic" w:hAnsi="MS PGothic" w:eastAsia="MS PGothic"/>
          <w:b/>
          <w:color w:val="000000"/>
          <w:sz w:val="20"/>
        </w:rPr>
        <w:t>・Time to char：5配合の定量比較（主結果）</w:t>
      </w:r>
    </w:p>
    <w:p>
      <w:pPr>
        <w:spacing w:before="0" w:after="40" w:lineRule="exact" w:line="280"/>
        <w:ind w:firstLine="227"/>
      </w:pPr>
      <w:r>
        <w:rPr>
          <w:rFonts w:ascii="MS PGothic" w:hAnsi="MS PGothic" w:eastAsia="MS PGothic"/>
          <w:b w:val="0"/>
          <w:color w:val="000000"/>
          <w:sz w:val="19"/>
        </w:rPr>
        <w:t>水のみでは約0.3分（約18秒）で木材表面が炭化した。これは水が即座に蒸発して保護が消失することを意味し、水単独ではほぼ保護効果がないことが確認された。市販品 AquaGel-K では約1.5分で炭化に至った。AquaGel-K は水よりも保護時間が長いものの、保持水分の蒸発とともに保護が失われることで、高い炎温度下での持続保護には不十分であることが定量的に示された。これに対し、本研究の WEG（HEC+MC/CSP および MHEC/CSP）は7分以上にわたって炭化を防いだ（Fig. 3b）。これは市販品の3〜6倍に相当する保護時間であり、全試験 n &gt;= 3 で統計的に有意な差が確認されている（誤差棒を伴う棒グラフで図示）。SDS 添加系（0.1%・0.5%）では Time to char がわずかに低下しており、前述のレオロジー・発泡デメリットが最終的な防火性能にも反映されていた。本研究 WEG の保護時間の実用的意義は大きい。一般的な山火事の延焼速度（住宅街では毎分数メートル程度）を考慮すると、追加の5〜6分の保護時間は避難・救助・消火に要する時間的余裕を決定的に拡大する。</w:t>
      </w:r>
    </w:p>
    <w:p>
      <w:pPr>
        <w:spacing w:before="20" w:after="40" w:lineRule="exact" w:line="240"/>
      </w:pPr>
      <w:r>
        <w:rPr>
          <w:rFonts w:ascii="MS PGothic" w:hAnsi="MS PGothic" w:eastAsia="MS PGothic"/>
          <w:b/>
          <w:color w:val="000000"/>
          <w:sz w:val="17"/>
        </w:rPr>
        <w:t>Table 5. 燃焼試験（Time to char）の定量比較（n &gt;= 3, 全配合）</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W w:w="2300" w:type="dxa"/>
          </w:tcPr>
          <w:p>
            <w:pPr>
              <w:spacing w:before="20" w:after="20" w:lineRule="exact" w:line="240"/>
              <w:jc w:val="center"/>
            </w:pPr>
            <w:r>
              <w:rPr>
                <w:rFonts w:ascii="MS PGothic" w:hAnsi="MS PGothic" w:eastAsia="MS PGothic"/>
                <w:b/>
                <w:color w:val="000000"/>
                <w:sz w:val="18"/>
              </w:rPr>
              <w:t>試料</w:t>
            </w:r>
          </w:p>
        </w:tc>
        <w:tc>
          <w:tcPr>
            <w:tcW w:type="dxa" w:w="2493"/>
            <w:vAlign w:val="center"/>
            <w:tcW w:w="2100" w:type="dxa"/>
          </w:tcPr>
          <w:p>
            <w:pPr>
              <w:spacing w:before="20" w:after="20" w:lineRule="exact" w:line="240"/>
              <w:jc w:val="center"/>
            </w:pPr>
            <w:r>
              <w:rPr>
                <w:rFonts w:ascii="MS PGothic" w:hAnsi="MS PGothic" w:eastAsia="MS PGothic"/>
                <w:b/>
                <w:color w:val="000000"/>
                <w:sz w:val="18"/>
              </w:rPr>
              <w:t>Time to char</w:t>
            </w:r>
          </w:p>
        </w:tc>
        <w:tc>
          <w:tcPr>
            <w:tcW w:type="dxa" w:w="2493"/>
            <w:vAlign w:val="center"/>
            <w:tcW w:w="1600" w:type="dxa"/>
          </w:tcPr>
          <w:p>
            <w:pPr>
              <w:spacing w:before="20" w:after="20" w:lineRule="exact" w:line="240"/>
              <w:jc w:val="center"/>
            </w:pPr>
            <w:r>
              <w:rPr>
                <w:rFonts w:ascii="MS PGothic" w:hAnsi="MS PGothic" w:eastAsia="MS PGothic"/>
                <w:b/>
                <w:color w:val="000000"/>
                <w:sz w:val="18"/>
              </w:rPr>
              <w:t>市販品比</w:t>
            </w:r>
          </w:p>
        </w:tc>
        <w:tc>
          <w:tcPr>
            <w:tcW w:type="dxa" w:w="2493"/>
            <w:vAlign w:val="center"/>
            <w:tcW w:w="3360" w:type="dxa"/>
          </w:tcPr>
          <w:p>
            <w:pPr>
              <w:spacing w:before="20" w:after="20" w:lineRule="exact" w:line="240"/>
              <w:jc w:val="center"/>
            </w:pPr>
            <w:r>
              <w:rPr>
                <w:rFonts w:ascii="MS PGothic" w:hAnsi="MS PGothic" w:eastAsia="MS PGothic"/>
                <w:b/>
                <w:color w:val="000000"/>
                <w:sz w:val="18"/>
              </w:rPr>
              <w:t>300秒時点の表面状態</w:t>
            </w:r>
          </w:p>
        </w:tc>
      </w:tr>
      <w:tr>
        <w:tc>
          <w:tcPr>
            <w:tcW w:type="dxa" w:w="2493"/>
            <w:vAlign w:val="center"/>
            <w:tcW w:w="2300" w:type="dxa"/>
          </w:tcPr>
          <w:p>
            <w:pPr>
              <w:spacing w:before="20" w:after="20" w:lineRule="exact" w:line="240"/>
              <w:jc w:val="left"/>
            </w:pPr>
            <w:r>
              <w:rPr>
                <w:rFonts w:ascii="MS PGothic" w:hAnsi="MS PGothic" w:eastAsia="MS PGothic"/>
                <w:b w:val="0"/>
                <w:color w:val="000000"/>
                <w:sz w:val="18"/>
              </w:rPr>
              <w:t>水のみ</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約0.3分（約18秒）</w:t>
            </w:r>
          </w:p>
        </w:tc>
        <w:tc>
          <w:tcPr>
            <w:tcW w:type="dxa" w:w="2493"/>
            <w:vAlign w:val="center"/>
            <w:tcW w:w="1600" w:type="dxa"/>
          </w:tcPr>
          <w:p>
            <w:pPr>
              <w:spacing w:before="20" w:after="20" w:lineRule="exact" w:line="240"/>
              <w:jc w:val="center"/>
            </w:pPr>
            <w:r>
              <w:rPr>
                <w:rFonts w:ascii="MS PGothic" w:hAnsi="MS PGothic" w:eastAsia="MS PGothic"/>
                <w:b w:val="0"/>
                <w:color w:val="000000"/>
                <w:sz w:val="18"/>
              </w:rPr>
              <w:t>基準以下</w:t>
            </w:r>
          </w:p>
        </w:tc>
        <w:tc>
          <w:tcPr>
            <w:tcW w:type="dxa" w:w="2493"/>
            <w:vAlign w:val="center"/>
            <w:tcW w:w="3360" w:type="dxa"/>
          </w:tcPr>
          <w:p>
            <w:pPr>
              <w:spacing w:before="20" w:after="20" w:lineRule="exact" w:line="240"/>
              <w:jc w:val="center"/>
            </w:pPr>
            <w:r>
              <w:rPr>
                <w:rFonts w:ascii="MS PGothic" w:hAnsi="MS PGothic" w:eastAsia="MS PGothic"/>
                <w:b w:val="0"/>
                <w:color w:val="000000"/>
                <w:sz w:val="18"/>
              </w:rPr>
              <w:t>完全に炭化（黒色）</w:t>
            </w:r>
          </w:p>
        </w:tc>
      </w:tr>
      <w:tr>
        <w:tc>
          <w:tcPr>
            <w:tcW w:type="dxa" w:w="2493"/>
            <w:vAlign w:val="center"/>
            <w:tcW w:w="2300" w:type="dxa"/>
          </w:tcPr>
          <w:p>
            <w:pPr>
              <w:spacing w:before="20" w:after="20" w:lineRule="exact" w:line="240"/>
              <w:jc w:val="left"/>
            </w:pPr>
            <w:r>
              <w:rPr>
                <w:rFonts w:ascii="MS PGothic" w:hAnsi="MS PGothic" w:eastAsia="MS PGothic"/>
                <w:b w:val="0"/>
                <w:color w:val="000000"/>
                <w:sz w:val="18"/>
              </w:rPr>
              <w:t>AquaGel-K（市販）</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約1.5分</w:t>
            </w:r>
          </w:p>
        </w:tc>
        <w:tc>
          <w:tcPr>
            <w:tcW w:type="dxa" w:w="2493"/>
            <w:vAlign w:val="center"/>
            <w:tcW w:w="1600" w:type="dxa"/>
          </w:tcPr>
          <w:p>
            <w:pPr>
              <w:spacing w:before="20" w:after="20" w:lineRule="exact" w:line="240"/>
              <w:jc w:val="center"/>
            </w:pPr>
            <w:r>
              <w:rPr>
                <w:rFonts w:ascii="MS PGothic" w:hAnsi="MS PGothic" w:eastAsia="MS PGothic"/>
                <w:b w:val="0"/>
                <w:color w:val="000000"/>
                <w:sz w:val="18"/>
              </w:rPr>
              <w:t>1×（基準）</w:t>
            </w:r>
          </w:p>
        </w:tc>
        <w:tc>
          <w:tcPr>
            <w:tcW w:type="dxa" w:w="2493"/>
            <w:vAlign w:val="center"/>
            <w:tcW w:w="3360" w:type="dxa"/>
          </w:tcPr>
          <w:p>
            <w:pPr>
              <w:spacing w:before="20" w:after="20" w:lineRule="exact" w:line="240"/>
              <w:jc w:val="center"/>
            </w:pPr>
            <w:r>
              <w:rPr>
                <w:rFonts w:ascii="MS PGothic" w:hAnsi="MS PGothic" w:eastAsia="MS PGothic"/>
                <w:b w:val="0"/>
                <w:color w:val="000000"/>
                <w:sz w:val="18"/>
              </w:rPr>
              <w:t>炭化（黒色）</w:t>
            </w:r>
          </w:p>
        </w:tc>
      </w:tr>
      <w:tr>
        <w:tc>
          <w:tcPr>
            <w:tcW w:type="dxa" w:w="2493"/>
            <w:vAlign w:val="center"/>
            <w:tcW w:w="2300" w:type="dxa"/>
          </w:tcPr>
          <w:p>
            <w:pPr>
              <w:spacing w:before="20" w:after="20" w:lineRule="exact" w:line="240"/>
              <w:jc w:val="left"/>
            </w:pPr>
            <w:r>
              <w:rPr>
                <w:rFonts w:ascii="MS PGothic" w:hAnsi="MS PGothic" w:eastAsia="MS PGothic"/>
                <w:b w:val="0"/>
                <w:color w:val="000000"/>
                <w:sz w:val="18"/>
              </w:rPr>
              <w:t>HEC+MC/CSP (1-5)</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7分以上</w:t>
            </w:r>
          </w:p>
        </w:tc>
        <w:tc>
          <w:tcPr>
            <w:tcW w:type="dxa" w:w="2493"/>
            <w:vAlign w:val="center"/>
            <w:tcW w:w="1600" w:type="dxa"/>
          </w:tcPr>
          <w:p>
            <w:pPr>
              <w:spacing w:before="20" w:after="20" w:lineRule="exact" w:line="240"/>
              <w:jc w:val="center"/>
            </w:pPr>
            <w:r>
              <w:rPr>
                <w:rFonts w:ascii="MS PGothic" w:hAnsi="MS PGothic" w:eastAsia="MS PGothic"/>
                <w:b w:val="0"/>
                <w:color w:val="000000"/>
                <w:sz w:val="18"/>
              </w:rPr>
              <w:t>3〜6×</w:t>
            </w:r>
          </w:p>
        </w:tc>
        <w:tc>
          <w:tcPr>
            <w:tcW w:type="dxa" w:w="2493"/>
            <w:vAlign w:val="center"/>
            <w:tcW w:w="3360" w:type="dxa"/>
          </w:tcPr>
          <w:p>
            <w:pPr>
              <w:spacing w:before="20" w:after="20" w:lineRule="exact" w:line="240"/>
              <w:jc w:val="center"/>
            </w:pPr>
            <w:r>
              <w:rPr>
                <w:rFonts w:ascii="MS PGothic" w:hAnsi="MS PGothic" w:eastAsia="MS PGothic"/>
                <w:b w:val="0"/>
                <w:color w:val="000000"/>
                <w:sz w:val="18"/>
              </w:rPr>
              <w:t>ほぼ無傷・白色断熱層が残存</w:t>
            </w:r>
          </w:p>
        </w:tc>
      </w:tr>
      <w:tr>
        <w:tc>
          <w:tcPr>
            <w:tcW w:type="dxa" w:w="2493"/>
            <w:vAlign w:val="center"/>
            <w:tcW w:w="2300" w:type="dxa"/>
          </w:tcPr>
          <w:p>
            <w:pPr>
              <w:spacing w:before="20" w:after="20" w:lineRule="exact" w:line="240"/>
              <w:jc w:val="left"/>
            </w:pPr>
            <w:r>
              <w:rPr>
                <w:rFonts w:ascii="MS PGothic" w:hAnsi="MS PGothic" w:eastAsia="MS PGothic"/>
                <w:b w:val="0"/>
                <w:color w:val="000000"/>
                <w:sz w:val="18"/>
              </w:rPr>
              <w:t>MHEC/CSP (1-5)</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7分以上</w:t>
            </w:r>
          </w:p>
        </w:tc>
        <w:tc>
          <w:tcPr>
            <w:tcW w:type="dxa" w:w="2493"/>
            <w:vAlign w:val="center"/>
            <w:tcW w:w="1600" w:type="dxa"/>
          </w:tcPr>
          <w:p>
            <w:pPr>
              <w:spacing w:before="20" w:after="20" w:lineRule="exact" w:line="240"/>
              <w:jc w:val="center"/>
            </w:pPr>
            <w:r>
              <w:rPr>
                <w:rFonts w:ascii="MS PGothic" w:hAnsi="MS PGothic" w:eastAsia="MS PGothic"/>
                <w:b w:val="0"/>
                <w:color w:val="000000"/>
                <w:sz w:val="18"/>
              </w:rPr>
              <w:t>3〜6×</w:t>
            </w:r>
          </w:p>
        </w:tc>
        <w:tc>
          <w:tcPr>
            <w:tcW w:type="dxa" w:w="2493"/>
            <w:vAlign w:val="center"/>
            <w:tcW w:w="3360" w:type="dxa"/>
          </w:tcPr>
          <w:p>
            <w:pPr>
              <w:spacing w:before="20" w:after="20" w:lineRule="exact" w:line="240"/>
              <w:jc w:val="center"/>
            </w:pPr>
            <w:r>
              <w:rPr>
                <w:rFonts w:ascii="MS PGothic" w:hAnsi="MS PGothic" w:eastAsia="MS PGothic"/>
                <w:b w:val="0"/>
                <w:color w:val="000000"/>
                <w:sz w:val="18"/>
              </w:rPr>
              <w:t>ほぼ無傷・白色断熱層が残存</w:t>
            </w:r>
          </w:p>
        </w:tc>
      </w:tr>
      <w:tr>
        <w:tc>
          <w:tcPr>
            <w:tcW w:type="dxa" w:w="2493"/>
            <w:vAlign w:val="center"/>
            <w:tcW w:w="2300" w:type="dxa"/>
          </w:tcPr>
          <w:p>
            <w:pPr>
              <w:spacing w:before="20" w:after="20" w:lineRule="exact" w:line="240"/>
              <w:jc w:val="left"/>
            </w:pPr>
            <w:r>
              <w:rPr>
                <w:rFonts w:ascii="MS PGothic" w:hAnsi="MS PGothic" w:eastAsia="MS PGothic"/>
                <w:b w:val="0"/>
                <w:color w:val="000000"/>
                <w:sz w:val="18"/>
              </w:rPr>
              <w:t>SDS 添加系（0.1/0.5%）</w:t>
            </w:r>
          </w:p>
        </w:tc>
        <w:tc>
          <w:tcPr>
            <w:tcW w:type="dxa" w:w="2493"/>
            <w:vAlign w:val="center"/>
            <w:tcW w:w="2100" w:type="dxa"/>
          </w:tcPr>
          <w:p>
            <w:pPr>
              <w:spacing w:before="20" w:after="20" w:lineRule="exact" w:line="240"/>
              <w:jc w:val="center"/>
            </w:pPr>
            <w:r>
              <w:rPr>
                <w:rFonts w:ascii="MS PGothic" w:hAnsi="MS PGothic" w:eastAsia="MS PGothic"/>
                <w:b w:val="0"/>
                <w:color w:val="000000"/>
                <w:sz w:val="18"/>
              </w:rPr>
              <w:t>7分以下（やや低下）</w:t>
            </w:r>
          </w:p>
        </w:tc>
        <w:tc>
          <w:tcPr>
            <w:tcW w:type="dxa" w:w="2493"/>
            <w:vAlign w:val="center"/>
            <w:tcW w:w="1600" w:type="dxa"/>
          </w:tcPr>
          <w:p>
            <w:pPr>
              <w:spacing w:before="20" w:after="20" w:lineRule="exact" w:line="240"/>
              <w:jc w:val="center"/>
            </w:pPr>
            <w:r>
              <w:rPr>
                <w:rFonts w:ascii="MS PGothic" w:hAnsi="MS PGothic" w:eastAsia="MS PGothic"/>
                <w:b w:val="0"/>
                <w:color w:val="000000"/>
                <w:sz w:val="18"/>
              </w:rPr>
              <w:t>3〜5×程度</w:t>
            </w:r>
          </w:p>
        </w:tc>
        <w:tc>
          <w:tcPr>
            <w:tcW w:type="dxa" w:w="2493"/>
            <w:vAlign w:val="center"/>
            <w:tcW w:w="3360" w:type="dxa"/>
          </w:tcPr>
          <w:p>
            <w:pPr>
              <w:spacing w:before="20" w:after="20" w:lineRule="exact" w:line="240"/>
              <w:jc w:val="center"/>
            </w:pPr>
            <w:r>
              <w:rPr>
                <w:rFonts w:ascii="MS PGothic" w:hAnsi="MS PGothic" w:eastAsia="MS PGothic"/>
                <w:b w:val="0"/>
                <w:color w:val="000000"/>
                <w:sz w:val="18"/>
              </w:rPr>
              <w:t>断熱層は形成されるが薄め</w:t>
            </w:r>
          </w:p>
        </w:tc>
      </w:tr>
    </w:tbl>
    <w:p>
      <w:pPr>
        <w:spacing w:before="0" w:after="60"/>
      </w:pPr>
    </w:p>
    <w:p>
      <w:pPr>
        <w:spacing w:before="60" w:after="0" w:lineRule="exact" w:line="280"/>
      </w:pPr>
      <w:r>
        <w:rPr>
          <w:rFonts w:ascii="MS PGothic" w:hAnsi="MS PGothic" w:eastAsia="MS PGothic"/>
          <w:b/>
          <w:color w:val="000000"/>
          <w:sz w:val="20"/>
        </w:rPr>
        <w:t>・表面状態の比較（120 秒・300 秒）とタイムラプス観察（Fig. 3c–d）</w:t>
      </w:r>
    </w:p>
    <w:p>
      <w:pPr>
        <w:spacing w:before="0" w:after="40" w:lineRule="exact" w:line="280"/>
        <w:ind w:firstLine="227"/>
      </w:pPr>
      <w:r>
        <w:rPr>
          <w:rFonts w:ascii="MS PGothic" w:hAnsi="MS PGothic" w:eastAsia="MS PGothic"/>
          <w:b w:val="0"/>
          <w:color w:val="000000"/>
          <w:sz w:val="19"/>
        </w:rPr>
        <w:t>120秒・300秒時点の表面写真比較（Fig. 3c）では、水は120秒で既に炭化が顕著であり、AquaGel-K は水分蒸発とともに保護を失って300秒で一様に黒く炭化した。これに対し本研究の WEG は300秒時点でも表面がほぼ無傷のまま白色の断熱層（エアロゲル層）に覆われていた。白色は形成されたシリカエアロゲルの色であり、視覚的にもエアロゲル層の形成が確認できる。燃焼過程のタイムラプス撮影（Fig. 3d）により保護メカニズムの本質的な違いが可視化された。水は加熱とともに即座に蒸発・流失し保護はほぼ瞬時に終了する。AquaGel-K は保持水分が蒸発するまでは保護するが、水が飛んだ時点で保護が終了して木材が露出する。本研究 WEG は水分蒸発と同時にゲルが発泡・膨張して白色の多孔質エアロゲル層を形成し、この固体断熱層が7分以上にわたって木材を熱から保護し続けた。写真中の白色の膨張層がその場生成したシリカエアロゲルである。他製品が「水が飛んだら終わり」であるのに対し、本ゲルは「水が飛んでからが本番」という正反対の動作原理を持つ点が決定的な差別化要因である。また、タイムラプスにより発泡の開始タイミング（水分蒸発とほぼ同時）も視覚的に確認されており、熱活性化の「その場生成」という概念と一致する。</w:t>
      </w:r>
    </w:p>
    <w:tbl>
      <w:tblPr>
        <w:tblStyle w:val="TableGrid"/>
        <w:tblW w:type="auto" w:w="0"/>
        <w:jc w:val="center"/>
        <w:tblLook w:firstColumn="1" w:firstRow="1" w:lastColumn="0" w:lastRow="0" w:noHBand="0" w:noVBand="1" w:val="04A0"/>
      </w:tblPr>
      <w:tblGrid>
        <w:gridCol w:w="9972"/>
      </w:tblGrid>
      <w:tr>
        <w:trPr>
          <w:trHeight w:val="3969"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3a–d：(a) 燃焼試験セットアップ（MAP-Pro トーチ・合板基材・約2054℃）、(b) 5配合の Time to char 棒グラフ（n&gt;=3, 誤差棒、水0.3分/AquaGel-K 1.5分/WEG 7分以上）、(c) 120s/300s 時点の表面状態写真比較（水・AquaGel-K・WEG の炭化vs無傷・白色層）、(d) タイムラプス比較（水の蒸発vs WEG の発泡膨張による白色層形成の過程）</w:t>
            </w:r>
          </w:p>
        </w:tc>
      </w:tr>
    </w:tbl>
    <w:p>
      <w:pPr>
        <w:spacing w:before="0" w:after="40"/>
      </w:pPr>
    </w:p>
    <w:p>
      <w:pPr>
        <w:spacing w:before="120" w:after="20" w:lineRule="exact" w:line="300"/>
      </w:pPr>
      <w:r>
        <w:rPr>
          <w:rFonts w:ascii="MS PGothic" w:hAnsi="MS PGothic" w:eastAsia="MS PGothic"/>
          <w:b/>
          <w:color w:val="000000"/>
          <w:sz w:val="21"/>
        </w:rPr>
        <w:t>5. 化学・熱分析によるメカニズムの裏付け（Figure 4, 5）</w:t>
      </w:r>
    </w:p>
    <w:p>
      <w:pPr>
        <w:spacing w:before="60" w:after="0" w:lineRule="exact" w:line="280"/>
      </w:pPr>
      <w:r>
        <w:rPr>
          <w:rFonts w:ascii="MS PGothic" w:hAnsi="MS PGothic" w:eastAsia="MS PGothic"/>
          <w:b/>
          <w:color w:val="000000"/>
          <w:sz w:val="20"/>
        </w:rPr>
        <w:t>・FT-IR：燃焼前後のスペクトル変化（Fig. 4a–b）</w:t>
      </w:r>
    </w:p>
    <w:p>
      <w:pPr>
        <w:spacing w:before="0" w:after="40" w:lineRule="exact" w:line="280"/>
        <w:ind w:firstLine="227"/>
      </w:pPr>
      <w:r>
        <w:rPr>
          <w:rFonts w:ascii="MS PGothic" w:hAnsi="MS PGothic" w:eastAsia="MS PGothic"/>
          <w:b w:val="0"/>
          <w:color w:val="000000"/>
          <w:sz w:val="19"/>
        </w:rPr>
        <w:t>燃焼前は O–H 伸縮（～3400 cm⁻¹）および C–H 伸縮（～2900 cm⁻¹）の明瞭なピークが存在し、セルロース有機成分の存在を示す。Si–O–Si 逆対称伸縮（～1100 cm⁻¹）もブロードに観察される。燃焼後は O–H・C–H のピークが完全に消失し、Si–O–Si ピークが顕著に増強・先鋭化して純粋なシリカ構造の形成を示す（Fig. 4a–b）。HEC+MC 系・MHEC 系の両配合で同様の変化が確認された。Si–O–Si ピークが先鋭化するのは、燃焼後のシリカが短距離秩序を持つガラス質 SiO₂ として存在するためであり、アモルファスながらも比較的規則的なシリカネットワークが形成されたことを示唆する。また C–O–C エーテルピーク（～1050 cm⁻¹）もセルロース由来として燃焼前に観察されるが、燃焼後には消失することが確認されており、セルロース骨格全体が燃焼除去されたことがピークの帰属からも確認できる。これはゲルが火炎によって有機セルロース成分を失い、無機シリカ骨格のみが残存することを化学結合レベルで直接裏付けている。</w:t>
      </w:r>
    </w:p>
    <w:p>
      <w:pPr>
        <w:spacing w:before="60" w:after="0" w:lineRule="exact" w:line="280"/>
      </w:pPr>
      <w:r>
        <w:rPr>
          <w:rFonts w:ascii="MS PGothic" w:hAnsi="MS PGothic" w:eastAsia="MS PGothic"/>
          <w:b/>
          <w:color w:val="000000"/>
          <w:sz w:val="20"/>
        </w:rPr>
        <w:t>・XPS：元素組成の定量（Fig. 4c–d）</w:t>
      </w:r>
    </w:p>
    <w:p>
      <w:pPr>
        <w:spacing w:before="0" w:after="40" w:lineRule="exact" w:line="280"/>
        <w:ind w:firstLine="227"/>
      </w:pPr>
      <w:r>
        <w:rPr>
          <w:rFonts w:ascii="MS PGothic" w:hAnsi="MS PGothic" w:eastAsia="MS PGothic"/>
          <w:b w:val="0"/>
          <w:color w:val="000000"/>
          <w:sz w:val="19"/>
        </w:rPr>
        <w:t>XPS による表面元素組成の定量結果：MHEC 系では燃焼前 C = 38.3 at% → 燃焼後 C = 4.8 at%（約87% 減少）であった（Fig. 4c）。HEC+MC 系でも同等の大幅な炭素減少が確認された（Fig. 4d）。残留炭素（4.8 at%）は有機成分が完全に除去されず微量の炭素残渣（すす等）が存在することを示すが、大部分の有機成分が燃焼除去されシリカが主成分として残存していることは明確である。Si と O の組成比は燃焼後に増加し、SiO₂ の化学量論比（Si:O = 1:2）に近づくことも確認された。燃焼後の Si 原子組成比の増加は、表面からセルロース由来の炭素が除去され相対的にシリカ組成が濃縮されたことを意味する。この XPS データは FT-IR データと完全に整合しており、シリカへの変態が表面・組成の両レベルで裏付けられている。主要な化学・熱分析データを Table 6 に示す。</w:t>
      </w:r>
    </w:p>
    <w:p>
      <w:pPr>
        <w:spacing w:before="20" w:after="40" w:lineRule="exact" w:line="240"/>
      </w:pPr>
      <w:r>
        <w:rPr>
          <w:rFonts w:ascii="MS PGothic" w:hAnsi="MS PGothic" w:eastAsia="MS PGothic"/>
          <w:b/>
          <w:color w:val="000000"/>
          <w:sz w:val="17"/>
        </w:rPr>
        <w:t>Table 6. 化学・熱分析の主要データ一覧（FT-IR / XPS / TGA / DSC）</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W w:w="1800" w:type="dxa"/>
          </w:tcPr>
          <w:p>
            <w:pPr>
              <w:spacing w:before="20" w:after="20" w:lineRule="exact" w:line="240"/>
              <w:jc w:val="center"/>
            </w:pPr>
            <w:r>
              <w:rPr>
                <w:rFonts w:ascii="MS PGothic" w:hAnsi="MS PGothic" w:eastAsia="MS PGothic"/>
                <w:b/>
                <w:color w:val="000000"/>
                <w:sz w:val="18"/>
              </w:rPr>
              <w:t>分析手法</w:t>
            </w:r>
          </w:p>
        </w:tc>
        <w:tc>
          <w:tcPr>
            <w:tcW w:type="dxa" w:w="2493"/>
            <w:vAlign w:val="center"/>
            <w:tcW w:w="2500" w:type="dxa"/>
          </w:tcPr>
          <w:p>
            <w:pPr>
              <w:spacing w:before="20" w:after="20" w:lineRule="exact" w:line="240"/>
              <w:jc w:val="center"/>
            </w:pPr>
            <w:r>
              <w:rPr>
                <w:rFonts w:ascii="MS PGothic" w:hAnsi="MS PGothic" w:eastAsia="MS PGothic"/>
                <w:b/>
                <w:color w:val="000000"/>
                <w:sz w:val="18"/>
              </w:rPr>
              <w:t>着目指標</w:t>
            </w:r>
          </w:p>
        </w:tc>
        <w:tc>
          <w:tcPr>
            <w:tcW w:type="dxa" w:w="2493"/>
            <w:vAlign w:val="center"/>
            <w:tcW w:w="2200" w:type="dxa"/>
          </w:tcPr>
          <w:p>
            <w:pPr>
              <w:spacing w:before="20" w:after="20" w:lineRule="exact" w:line="240"/>
              <w:jc w:val="center"/>
            </w:pPr>
            <w:r>
              <w:rPr>
                <w:rFonts w:ascii="MS PGothic" w:hAnsi="MS PGothic" w:eastAsia="MS PGothic"/>
                <w:b/>
                <w:color w:val="000000"/>
                <w:sz w:val="18"/>
              </w:rPr>
              <w:t>燃焼前 / 加熱前</w:t>
            </w:r>
          </w:p>
        </w:tc>
        <w:tc>
          <w:tcPr>
            <w:tcW w:type="dxa" w:w="2493"/>
            <w:vAlign w:val="center"/>
            <w:tcW w:w="2860" w:type="dxa"/>
          </w:tcPr>
          <w:p>
            <w:pPr>
              <w:spacing w:before="20" w:after="20" w:lineRule="exact" w:line="240"/>
              <w:jc w:val="center"/>
            </w:pPr>
            <w:r>
              <w:rPr>
                <w:rFonts w:ascii="MS PGothic" w:hAnsi="MS PGothic" w:eastAsia="MS PGothic"/>
                <w:b/>
                <w:color w:val="000000"/>
                <w:sz w:val="18"/>
              </w:rPr>
              <w:t>燃焼後 / 加熱後</w:t>
            </w:r>
          </w:p>
        </w:tc>
      </w:tr>
      <w:tr>
        <w:tc>
          <w:tcPr>
            <w:tcW w:type="dxa" w:w="2493"/>
            <w:vAlign w:val="center"/>
            <w:tcW w:w="1800" w:type="dxa"/>
          </w:tcPr>
          <w:p>
            <w:pPr>
              <w:spacing w:before="20" w:after="20" w:lineRule="exact" w:line="240"/>
              <w:jc w:val="left"/>
            </w:pPr>
            <w:r>
              <w:rPr>
                <w:rFonts w:ascii="MS PGothic" w:hAnsi="MS PGothic" w:eastAsia="MS PGothic"/>
                <w:b w:val="0"/>
                <w:color w:val="000000"/>
                <w:sz w:val="18"/>
              </w:rPr>
              <w:t>FT-IR</w:t>
            </w:r>
          </w:p>
        </w:tc>
        <w:tc>
          <w:tcPr>
            <w:tcW w:type="dxa" w:w="2493"/>
            <w:vAlign w:val="center"/>
            <w:tcW w:w="2500" w:type="dxa"/>
          </w:tcPr>
          <w:p>
            <w:pPr>
              <w:spacing w:before="20" w:after="20" w:lineRule="exact" w:line="240"/>
              <w:jc w:val="center"/>
            </w:pPr>
            <w:r>
              <w:rPr>
                <w:rFonts w:ascii="MS PGothic" w:hAnsi="MS PGothic" w:eastAsia="MS PGothic"/>
                <w:b w:val="0"/>
                <w:color w:val="000000"/>
                <w:sz w:val="18"/>
              </w:rPr>
              <w:t>O–H, C–H（～3400/2900 cm⁻¹）</w:t>
            </w:r>
          </w:p>
        </w:tc>
        <w:tc>
          <w:tcPr>
            <w:tcW w:type="dxa" w:w="2493"/>
            <w:vAlign w:val="center"/>
            <w:tcW w:w="2200" w:type="dxa"/>
          </w:tcPr>
          <w:p>
            <w:pPr>
              <w:spacing w:before="20" w:after="20" w:lineRule="exact" w:line="240"/>
              <w:jc w:val="center"/>
            </w:pPr>
            <w:r>
              <w:rPr>
                <w:rFonts w:ascii="MS PGothic" w:hAnsi="MS PGothic" w:eastAsia="MS PGothic"/>
                <w:b w:val="0"/>
                <w:color w:val="000000"/>
                <w:sz w:val="18"/>
              </w:rPr>
              <w:t>明瞭に存在（セルロース由来）</w:t>
            </w:r>
          </w:p>
        </w:tc>
        <w:tc>
          <w:tcPr>
            <w:tcW w:type="dxa" w:w="2493"/>
            <w:vAlign w:val="center"/>
            <w:tcW w:w="2860" w:type="dxa"/>
          </w:tcPr>
          <w:p>
            <w:pPr>
              <w:spacing w:before="20" w:after="20" w:lineRule="exact" w:line="240"/>
              <w:jc w:val="center"/>
            </w:pPr>
            <w:r>
              <w:rPr>
                <w:rFonts w:ascii="MS PGothic" w:hAnsi="MS PGothic" w:eastAsia="MS PGothic"/>
                <w:b w:val="0"/>
                <w:color w:val="000000"/>
                <w:sz w:val="18"/>
              </w:rPr>
              <w:t>完全に消失</w:t>
            </w:r>
          </w:p>
        </w:tc>
      </w:tr>
      <w:tr>
        <w:tc>
          <w:tcPr>
            <w:tcW w:type="dxa" w:w="2493"/>
            <w:vAlign w:val="center"/>
            <w:tcW w:w="1800" w:type="dxa"/>
          </w:tcPr>
          <w:p>
            <w:pPr>
              <w:spacing w:before="20" w:after="20" w:lineRule="exact" w:line="240"/>
              <w:jc w:val="left"/>
            </w:pPr>
            <w:r>
              <w:rPr>
                <w:rFonts w:ascii="MS PGothic" w:hAnsi="MS PGothic" w:eastAsia="MS PGothic"/>
                <w:b w:val="0"/>
                <w:color w:val="000000"/>
                <w:sz w:val="18"/>
              </w:rPr>
              <w:t>FT-IR</w:t>
            </w:r>
          </w:p>
        </w:tc>
        <w:tc>
          <w:tcPr>
            <w:tcW w:type="dxa" w:w="2493"/>
            <w:vAlign w:val="center"/>
            <w:tcW w:w="2500" w:type="dxa"/>
          </w:tcPr>
          <w:p>
            <w:pPr>
              <w:spacing w:before="20" w:after="20" w:lineRule="exact" w:line="240"/>
              <w:jc w:val="center"/>
            </w:pPr>
            <w:r>
              <w:rPr>
                <w:rFonts w:ascii="MS PGothic" w:hAnsi="MS PGothic" w:eastAsia="MS PGothic"/>
                <w:b w:val="0"/>
                <w:color w:val="000000"/>
                <w:sz w:val="18"/>
              </w:rPr>
              <w:t>Si–O–Si（～1100 cm⁻¹）</w:t>
            </w:r>
          </w:p>
        </w:tc>
        <w:tc>
          <w:tcPr>
            <w:tcW w:type="dxa" w:w="2493"/>
            <w:vAlign w:val="center"/>
            <w:tcW w:w="2200" w:type="dxa"/>
          </w:tcPr>
          <w:p>
            <w:pPr>
              <w:spacing w:before="20" w:after="20" w:lineRule="exact" w:line="240"/>
              <w:jc w:val="center"/>
            </w:pPr>
            <w:r>
              <w:rPr>
                <w:rFonts w:ascii="MS PGothic" w:hAnsi="MS PGothic" w:eastAsia="MS PGothic"/>
                <w:b w:val="0"/>
                <w:color w:val="000000"/>
                <w:sz w:val="18"/>
              </w:rPr>
              <w:t>ブロードなピーク</w:t>
            </w:r>
          </w:p>
        </w:tc>
        <w:tc>
          <w:tcPr>
            <w:tcW w:type="dxa" w:w="2493"/>
            <w:vAlign w:val="center"/>
            <w:tcW w:w="2860" w:type="dxa"/>
          </w:tcPr>
          <w:p>
            <w:pPr>
              <w:spacing w:before="20" w:after="20" w:lineRule="exact" w:line="240"/>
              <w:jc w:val="center"/>
            </w:pPr>
            <w:r>
              <w:rPr>
                <w:rFonts w:ascii="MS PGothic" w:hAnsi="MS PGothic" w:eastAsia="MS PGothic"/>
                <w:b w:val="0"/>
                <w:color w:val="000000"/>
                <w:sz w:val="18"/>
              </w:rPr>
              <w:t>増強・先鋭化（純シリカ化）</w:t>
            </w:r>
          </w:p>
        </w:tc>
      </w:tr>
      <w:tr>
        <w:tc>
          <w:tcPr>
            <w:tcW w:type="dxa" w:w="2493"/>
            <w:vAlign w:val="center"/>
            <w:tcW w:w="1800" w:type="dxa"/>
          </w:tcPr>
          <w:p>
            <w:pPr>
              <w:spacing w:before="20" w:after="20" w:lineRule="exact" w:line="240"/>
              <w:jc w:val="left"/>
            </w:pPr>
            <w:r>
              <w:rPr>
                <w:rFonts w:ascii="MS PGothic" w:hAnsi="MS PGothic" w:eastAsia="MS PGothic"/>
                <w:b w:val="0"/>
                <w:color w:val="000000"/>
                <w:sz w:val="18"/>
              </w:rPr>
              <w:t>XPS（MHEC 系）</w:t>
            </w:r>
          </w:p>
        </w:tc>
        <w:tc>
          <w:tcPr>
            <w:tcW w:type="dxa" w:w="2493"/>
            <w:vAlign w:val="center"/>
            <w:tcW w:w="2500" w:type="dxa"/>
          </w:tcPr>
          <w:p>
            <w:pPr>
              <w:spacing w:before="20" w:after="20" w:lineRule="exact" w:line="240"/>
              <w:jc w:val="center"/>
            </w:pPr>
            <w:r>
              <w:rPr>
                <w:rFonts w:ascii="MS PGothic" w:hAnsi="MS PGothic" w:eastAsia="MS PGothic"/>
                <w:b w:val="0"/>
                <w:color w:val="000000"/>
                <w:sz w:val="18"/>
              </w:rPr>
              <w:t>炭素組成 C 1s</w:t>
            </w:r>
          </w:p>
        </w:tc>
        <w:tc>
          <w:tcPr>
            <w:tcW w:type="dxa" w:w="2493"/>
            <w:vAlign w:val="center"/>
            <w:tcW w:w="2200" w:type="dxa"/>
          </w:tcPr>
          <w:p>
            <w:pPr>
              <w:spacing w:before="20" w:after="20" w:lineRule="exact" w:line="240"/>
              <w:jc w:val="center"/>
            </w:pPr>
            <w:r>
              <w:rPr>
                <w:rFonts w:ascii="MS PGothic" w:hAnsi="MS PGothic" w:eastAsia="MS PGothic"/>
                <w:b w:val="0"/>
                <w:color w:val="000000"/>
                <w:sz w:val="18"/>
              </w:rPr>
              <w:t>38.3 at%</w:t>
            </w:r>
          </w:p>
        </w:tc>
        <w:tc>
          <w:tcPr>
            <w:tcW w:type="dxa" w:w="2493"/>
            <w:vAlign w:val="center"/>
            <w:tcW w:w="2860" w:type="dxa"/>
          </w:tcPr>
          <w:p>
            <w:pPr>
              <w:spacing w:before="20" w:after="20" w:lineRule="exact" w:line="240"/>
              <w:jc w:val="center"/>
            </w:pPr>
            <w:r>
              <w:rPr>
                <w:rFonts w:ascii="MS PGothic" w:hAnsi="MS PGothic" w:eastAsia="MS PGothic"/>
                <w:b w:val="0"/>
                <w:color w:val="000000"/>
                <w:sz w:val="18"/>
              </w:rPr>
              <w:t>4.8 at%（約87% 減少）</w:t>
            </w:r>
          </w:p>
        </w:tc>
      </w:tr>
      <w:tr>
        <w:tc>
          <w:tcPr>
            <w:tcW w:type="dxa" w:w="2493"/>
            <w:vAlign w:val="center"/>
            <w:tcW w:w="1800" w:type="dxa"/>
          </w:tcPr>
          <w:p>
            <w:pPr>
              <w:spacing w:before="20" w:after="20" w:lineRule="exact" w:line="240"/>
              <w:jc w:val="left"/>
            </w:pPr>
            <w:r>
              <w:rPr>
                <w:rFonts w:ascii="MS PGothic" w:hAnsi="MS PGothic" w:eastAsia="MS PGothic"/>
                <w:b w:val="0"/>
                <w:color w:val="000000"/>
                <w:sz w:val="18"/>
              </w:rPr>
              <w:t>TGA</w:t>
            </w:r>
          </w:p>
        </w:tc>
        <w:tc>
          <w:tcPr>
            <w:tcW w:type="dxa" w:w="2493"/>
            <w:vAlign w:val="center"/>
            <w:tcW w:w="2500" w:type="dxa"/>
          </w:tcPr>
          <w:p>
            <w:pPr>
              <w:spacing w:before="20" w:after="20" w:lineRule="exact" w:line="240"/>
              <w:jc w:val="center"/>
            </w:pPr>
            <w:r>
              <w:rPr>
                <w:rFonts w:ascii="MS PGothic" w:hAnsi="MS PGothic" w:eastAsia="MS PGothic"/>
                <w:b w:val="0"/>
                <w:color w:val="000000"/>
                <w:sz w:val="18"/>
              </w:rPr>
              <w:t>主分解温度 / 残渣量</w:t>
            </w:r>
          </w:p>
        </w:tc>
        <w:tc>
          <w:tcPr>
            <w:tcW w:type="dxa" w:w="2493"/>
            <w:vAlign w:val="center"/>
            <w:tcW w:w="2200" w:type="dxa"/>
          </w:tcPr>
          <w:p>
            <w:pPr>
              <w:spacing w:before="20" w:after="20" w:lineRule="exact" w:line="240"/>
              <w:jc w:val="center"/>
            </w:pPr>
            <w:r>
              <w:rPr>
                <w:rFonts w:ascii="MS PGothic" w:hAnsi="MS PGothic" w:eastAsia="MS PGothic"/>
                <w:b w:val="0"/>
                <w:color w:val="000000"/>
                <w:sz w:val="18"/>
              </w:rPr>
              <w:t>セルロース分解 約280℃</w:t>
            </w:r>
          </w:p>
        </w:tc>
        <w:tc>
          <w:tcPr>
            <w:tcW w:type="dxa" w:w="2493"/>
            <w:vAlign w:val="center"/>
            <w:tcW w:w="2860" w:type="dxa"/>
          </w:tcPr>
          <w:p>
            <w:pPr>
              <w:spacing w:before="20" w:after="20" w:lineRule="exact" w:line="240"/>
              <w:jc w:val="center"/>
            </w:pPr>
            <w:r>
              <w:rPr>
                <w:rFonts w:ascii="MS PGothic" w:hAnsi="MS PGothic" w:eastAsia="MS PGothic"/>
                <w:b w:val="0"/>
                <w:color w:val="000000"/>
                <w:sz w:val="18"/>
              </w:rPr>
              <w:t>シリカ残渣 5〜8 wt%（CSP 量に対応）</w:t>
            </w:r>
          </w:p>
        </w:tc>
      </w:tr>
      <w:tr>
        <w:tc>
          <w:tcPr>
            <w:tcW w:type="dxa" w:w="2493"/>
            <w:vAlign w:val="center"/>
            <w:tcW w:w="1800" w:type="dxa"/>
          </w:tcPr>
          <w:p>
            <w:pPr>
              <w:spacing w:before="20" w:after="20" w:lineRule="exact" w:line="240"/>
              <w:jc w:val="left"/>
            </w:pPr>
            <w:r>
              <w:rPr>
                <w:rFonts w:ascii="MS PGothic" w:hAnsi="MS PGothic" w:eastAsia="MS PGothic"/>
                <w:b w:val="0"/>
                <w:color w:val="000000"/>
                <w:sz w:val="18"/>
              </w:rPr>
              <w:t>TGA/DSC</w:t>
            </w:r>
          </w:p>
        </w:tc>
        <w:tc>
          <w:tcPr>
            <w:tcW w:type="dxa" w:w="2493"/>
            <w:vAlign w:val="center"/>
            <w:tcW w:w="2500" w:type="dxa"/>
          </w:tcPr>
          <w:p>
            <w:pPr>
              <w:spacing w:before="20" w:after="20" w:lineRule="exact" w:line="240"/>
              <w:jc w:val="center"/>
            </w:pPr>
            <w:r>
              <w:rPr>
                <w:rFonts w:ascii="MS PGothic" w:hAnsi="MS PGothic" w:eastAsia="MS PGothic"/>
                <w:b w:val="0"/>
                <w:color w:val="000000"/>
                <w:sz w:val="18"/>
              </w:rPr>
              <w:t>温度同期：焼結 vs 分解</w:t>
            </w:r>
          </w:p>
        </w:tc>
        <w:tc>
          <w:tcPr>
            <w:tcW w:type="dxa" w:w="2493"/>
            <w:vAlign w:val="center"/>
            <w:tcW w:w="2200" w:type="dxa"/>
          </w:tcPr>
          <w:p>
            <w:pPr>
              <w:spacing w:before="20" w:after="20" w:lineRule="exact" w:line="240"/>
              <w:jc w:val="center"/>
            </w:pPr>
            <w:r>
              <w:rPr>
                <w:rFonts w:ascii="MS PGothic" w:hAnsi="MS PGothic" w:eastAsia="MS PGothic"/>
                <w:b w:val="0"/>
                <w:color w:val="000000"/>
                <w:sz w:val="18"/>
              </w:rPr>
              <w:t>CSP 焼結開始 約200℃</w:t>
            </w:r>
          </w:p>
        </w:tc>
        <w:tc>
          <w:tcPr>
            <w:tcW w:type="dxa" w:w="2493"/>
            <w:vAlign w:val="center"/>
            <w:tcW w:w="2860" w:type="dxa"/>
          </w:tcPr>
          <w:p>
            <w:pPr>
              <w:spacing w:before="20" w:after="20" w:lineRule="exact" w:line="240"/>
              <w:jc w:val="center"/>
            </w:pPr>
            <w:r>
              <w:rPr>
                <w:rFonts w:ascii="MS PGothic" w:hAnsi="MS PGothic" w:eastAsia="MS PGothic"/>
                <w:b w:val="0"/>
                <w:color w:val="000000"/>
                <w:sz w:val="18"/>
              </w:rPr>
              <w:t>セルロース分解開始 約280℃（重複帯域あり）</w:t>
            </w:r>
          </w:p>
        </w:tc>
      </w:tr>
    </w:tbl>
    <w:p>
      <w:pPr>
        <w:spacing w:before="0" w:after="60"/>
      </w:pPr>
    </w:p>
    <w:tbl>
      <w:tblPr>
        <w:tblStyle w:val="TableGrid"/>
        <w:tblW w:type="auto" w:w="0"/>
        <w:jc w:val="center"/>
        <w:tblLook w:firstColumn="1" w:firstRow="1" w:lastColumn="0" w:lastRow="0" w:noHBand="0" w:noVBand="1" w:val="04A0"/>
      </w:tblPr>
      <w:tblGrid>
        <w:gridCol w:w="9972"/>
      </w:tblGrid>
      <w:tr>
        <w:trPr>
          <w:trHeight w:val="3118"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4a–d：(a) HEC+MC 系の燃焼前後 FT-IR スペクトル比較（O–H・C–H 消失、Si–O–Si 増強・先鋭化）、(b) MHEC 系の燃焼前後 FT-IR、(c) MHEC 系の XPS 元素組成比（C: 38.3→4.8 at%）、(d) HEC+MC 系の XPS 元素組成比</w:t>
            </w:r>
          </w:p>
        </w:tc>
      </w:tr>
    </w:tbl>
    <w:p>
      <w:pPr>
        <w:spacing w:before="0" w:after="40"/>
      </w:pPr>
    </w:p>
    <w:p>
      <w:pPr>
        <w:spacing w:before="60" w:after="0" w:lineRule="exact" w:line="280"/>
      </w:pPr>
      <w:r>
        <w:rPr>
          <w:rFonts w:ascii="MS PGothic" w:hAnsi="MS PGothic" w:eastAsia="MS PGothic"/>
          <w:b/>
          <w:color w:val="000000"/>
          <w:sz w:val="20"/>
        </w:rPr>
        <w:t>・TGA/DSC：熱分解プロファイル（Fig. 5a）</w:t>
      </w:r>
    </w:p>
    <w:p>
      <w:pPr>
        <w:spacing w:before="0" w:after="40" w:lineRule="exact" w:line="280"/>
        <w:ind w:firstLine="227"/>
      </w:pPr>
      <w:r>
        <w:rPr>
          <w:rFonts w:ascii="MS PGothic" w:hAnsi="MS PGothic" w:eastAsia="MS PGothic"/>
          <w:b w:val="0"/>
          <w:color w:val="000000"/>
          <w:sz w:val="19"/>
        </w:rPr>
        <w:t>TGA 測定の主要結果は以下の通りである。室温〜約100℃では水分蒸発による初期重量減少（吸熱）が起こる。約100〜200℃では束縛水・構造水の脱離による緩やかな重量減少が続く。約200℃〜では CSP の粒子間ネック形成・焼結が開始し始め、重量変化はほぼないが微細構造が変化し始める重要な領域である（同時に DSC では微小な発熱が観察される場合がある）。約280℃付近ではセルロース誘導体の主鎖熱分解が始まり、急激な重量減少と DSC での発熱ピークが観測される。約400〜500℃で有機成分がほぼ完全に分解・揮発し、600℃超の残渣はシリカ約5〜8 wt%（仕込み CSP 5 wt% にほぼ一致）であった（Fig. 5a）。CSP の焼結開始（約200℃）とセルロース分解開始（約280℃）の温度重複がエアロゲル化の連続性を保証する温度同期性の直接的証拠である。また TGA 残渣がほぼ CSP 仕込み量に一致することは、燃焼後の残渣がシリカ以外の不純物をほとんど含まない純粋なシリカであることを示しており、持続可能な食品グレード原料という設計目標とも整合する。</w:t>
      </w:r>
    </w:p>
    <w:p>
      <w:pPr>
        <w:spacing w:before="60" w:after="0" w:lineRule="exact" w:line="280"/>
      </w:pPr>
      <w:r>
        <w:rPr>
          <w:rFonts w:ascii="MS PGothic" w:hAnsi="MS PGothic" w:eastAsia="MS PGothic"/>
          <w:b/>
          <w:color w:val="000000"/>
          <w:sz w:val="20"/>
        </w:rPr>
        <w:t>・断面 SEM：焼結進行の時間分解観察（Fig. 5b）</w:t>
      </w:r>
    </w:p>
    <w:p>
      <w:pPr>
        <w:spacing w:before="0" w:after="40" w:lineRule="exact" w:line="280"/>
        <w:ind w:firstLine="227"/>
      </w:pPr>
      <w:r>
        <w:rPr>
          <w:rFonts w:ascii="MS PGothic" w:hAnsi="MS PGothic" w:eastAsia="MS PGothic"/>
          <w:b w:val="0"/>
          <w:color w:val="000000"/>
          <w:sz w:val="19"/>
        </w:rPr>
        <w:t>加熱時間を段階的に変えた試料の断面 SEM 観察で、焼結の進行が直接可視化された（Fig. 5b）。加熱0分（未加熱）では CSP がマトリクス中に独立分散した状態であり、粒子間に空隙が多く焼結は認められない。このとき個々の CSP 粒子（約22 nm）が明瞭に識別できる。1分加熱では、隣接粒子間に粒界の形成が始まり一部でネック形成が観察される。粒子の輪郭が部分的にぼやけ始め、連結が進んでいることが分かる。2分加熱ではネックが成長し、粒子が連結してクラスターを形成し多孔質構造が発達する。個々の粒子の識別が困難になり始め、網目状のネットワーク構造が見え始める。4分加熱では緻密で連続した多孔質 SiO₂ 骨格（断熱層）が完成し、粒子境界が不明瞭になって共有結合ネットワークとして一体化している。これは前節で提示した焼結3段階モデル（分散→粒界形成→ネック成長→骨格完成）を実際の微細構造として時間分解的に直接裏付けるものであり、本研究のメカニズム仮説の妥当性を強力に支持する結果である。また、燃焼試験で7分以上の保護が持続したこととSEM で4分でほぼ骨格完成が確認されたことは、4分で形成された断熱層が残り3分以上の保護を担ったことを意味し、一度形成されたシリカ骨格の断熱性の高さを裏付けている。</w:t>
      </w:r>
    </w:p>
    <w:tbl>
      <w:tblPr>
        <w:tblStyle w:val="TableGrid"/>
        <w:tblW w:type="auto" w:w="0"/>
        <w:jc w:val="center"/>
        <w:tblLook w:firstColumn="1" w:firstRow="1" w:lastColumn="0" w:lastRow="0" w:noHBand="0" w:noVBand="1" w:val="04A0"/>
      </w:tblPr>
      <w:tblGrid>
        <w:gridCol w:w="9972"/>
      </w:tblGrid>
      <w:tr>
        <w:trPr>
          <w:trHeight w:val="368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5a–b：(a) TGA/DSC 熱分解曲線（セルロース分解280℃・シリカ残渣5〜8wt%・CSP焼結200℃との温度重複領域を矢示）、(b) 加熱時間別断面 SEM（0/1/2/4 分：独立分散→粒界形成→ネック成長→緻密骨格完成の段階的進行）</w:t>
            </w:r>
          </w:p>
        </w:tc>
      </w:tr>
    </w:tbl>
    <w:p>
      <w:pPr>
        <w:spacing w:before="0" w:after="40"/>
      </w:pPr>
    </w:p>
    <w:p>
      <w:pPr>
        <w:spacing w:before="120" w:after="20" w:lineRule="exact" w:line="300"/>
      </w:pPr>
      <w:r>
        <w:rPr>
          <w:rFonts w:ascii="MS PGothic" w:hAnsi="MS PGothic" w:eastAsia="MS PGothic"/>
          <w:b/>
          <w:color w:val="000000"/>
          <w:sz w:val="21"/>
        </w:rPr>
        <w:t>6. 既存製品との総合比較（Figure 6）</w:t>
      </w:r>
    </w:p>
    <w:p>
      <w:pPr>
        <w:spacing w:before="0" w:after="40" w:lineRule="exact" w:line="280"/>
        <w:ind w:firstLine="227"/>
      </w:pPr>
      <w:r>
        <w:rPr>
          <w:rFonts w:ascii="MS PGothic" w:hAnsi="MS PGothic" w:eastAsia="MS PGothic"/>
          <w:b w:val="0"/>
          <w:color w:val="000000"/>
          <w:sz w:val="19"/>
        </w:rPr>
        <w:t>実用材料としての総合評価を5つの要件で整理した（Fig. 6）。要件は (1) 噴霧可能性（既存機材対応）、(2) 基材への付着・耐ダレ性、(3) 乾燥後の保護継続（乾燥環境への耐性）、(4) 発泡による断熱層形成、(5) 長期保存安定性（1年以上）の5項目である。水は (1) には対応できるが付着が弱く、(3)(4)(5) は不可または限定的であった。AquaGel-K は (1)(2) には対応できるが、(3) 乾燥後の保護継続は限定的（水分依存なので乾燥後に効果消失）、(4) 発泡断熱層の形成は不可（エアロゲル化機構がない）、(5) 長期安定性は限定的であった。本研究の WEG は全5項目で最高評価を達成しており、特に (3)(4)(5) の3項目で既存製品が解決できていなかった課題を完全にクリアした。これは本研究の本質的な技術的ブレークスルーを端的に示しており、単なる「改良品」ではなく「動作原理の転換」による次世代材料としての位置づけを支持している。比較結果を Table 7 に示す。</w:t>
      </w:r>
    </w:p>
    <w:p>
      <w:pPr>
        <w:spacing w:before="20" w:after="40" w:lineRule="exact" w:line="240"/>
      </w:pPr>
      <w:r>
        <w:rPr>
          <w:rFonts w:ascii="MS PGothic" w:hAnsi="MS PGothic" w:eastAsia="MS PGothic"/>
          <w:b/>
          <w:color w:val="000000"/>
          <w:sz w:val="17"/>
        </w:rPr>
        <w:t>Table 7. 既存製品との5要件充足比較（◎優れる／○可能／△限定的／×不可）</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vAlign w:val="center"/>
            <w:tcW w:w="2000" w:type="dxa"/>
          </w:tcPr>
          <w:p>
            <w:pPr>
              <w:spacing w:before="20" w:after="20" w:lineRule="exact" w:line="240"/>
              <w:jc w:val="center"/>
            </w:pPr>
            <w:r>
              <w:rPr>
                <w:rFonts w:ascii="MS PGothic" w:hAnsi="MS PGothic" w:eastAsia="MS PGothic"/>
                <w:b/>
                <w:color w:val="000000"/>
                <w:sz w:val="18"/>
              </w:rPr>
              <w:t>要件</w:t>
            </w:r>
          </w:p>
        </w:tc>
        <w:tc>
          <w:tcPr>
            <w:tcW w:type="dxa" w:w="1994"/>
            <w:vAlign w:val="center"/>
            <w:tcW w:w="900" w:type="dxa"/>
          </w:tcPr>
          <w:p>
            <w:pPr>
              <w:spacing w:before="20" w:after="20" w:lineRule="exact" w:line="240"/>
              <w:jc w:val="center"/>
            </w:pPr>
            <w:r>
              <w:rPr>
                <w:rFonts w:ascii="MS PGothic" w:hAnsi="MS PGothic" w:eastAsia="MS PGothic"/>
                <w:b/>
                <w:color w:val="000000"/>
                <w:sz w:val="18"/>
              </w:rPr>
              <w:t>水</w:t>
            </w:r>
          </w:p>
        </w:tc>
        <w:tc>
          <w:tcPr>
            <w:tcW w:type="dxa" w:w="1994"/>
            <w:vAlign w:val="center"/>
            <w:tcW w:w="1600" w:type="dxa"/>
          </w:tcPr>
          <w:p>
            <w:pPr>
              <w:spacing w:before="20" w:after="20" w:lineRule="exact" w:line="240"/>
              <w:jc w:val="center"/>
            </w:pPr>
            <w:r>
              <w:rPr>
                <w:rFonts w:ascii="MS PGothic" w:hAnsi="MS PGothic" w:eastAsia="MS PGothic"/>
                <w:b/>
                <w:color w:val="000000"/>
                <w:sz w:val="18"/>
              </w:rPr>
              <w:t>AquaGel-K</w:t>
            </w:r>
          </w:p>
        </w:tc>
        <w:tc>
          <w:tcPr>
            <w:tcW w:type="dxa" w:w="1994"/>
            <w:vAlign w:val="center"/>
            <w:tcW w:w="1700" w:type="dxa"/>
          </w:tcPr>
          <w:p>
            <w:pPr>
              <w:spacing w:before="20" w:after="20" w:lineRule="exact" w:line="240"/>
              <w:jc w:val="center"/>
            </w:pPr>
            <w:r>
              <w:rPr>
                <w:rFonts w:ascii="MS PGothic" w:hAnsi="MS PGothic" w:eastAsia="MS PGothic"/>
                <w:b/>
                <w:color w:val="000000"/>
                <w:sz w:val="18"/>
              </w:rPr>
              <w:t>本研究 WEG</w:t>
            </w:r>
          </w:p>
        </w:tc>
        <w:tc>
          <w:tcPr>
            <w:tcW w:type="dxa" w:w="1994"/>
            <w:vAlign w:val="center"/>
            <w:tcW w:w="3160" w:type="dxa"/>
          </w:tcPr>
          <w:p>
            <w:pPr>
              <w:spacing w:before="20" w:after="20" w:lineRule="exact" w:line="240"/>
              <w:jc w:val="center"/>
            </w:pPr>
            <w:r>
              <w:rPr>
                <w:rFonts w:ascii="MS PGothic" w:hAnsi="MS PGothic" w:eastAsia="MS PGothic"/>
                <w:b/>
                <w:color w:val="000000"/>
                <w:sz w:val="18"/>
              </w:rPr>
              <w:t>本研究が優位な理由</w:t>
            </w:r>
          </w:p>
        </w:tc>
      </w:tr>
      <w:tr>
        <w:tc>
          <w:tcPr>
            <w:tcW w:type="dxa" w:w="1994"/>
            <w:vAlign w:val="center"/>
            <w:tcW w:w="2000" w:type="dxa"/>
          </w:tcPr>
          <w:p>
            <w:pPr>
              <w:spacing w:before="20" w:after="20" w:lineRule="exact" w:line="240"/>
              <w:jc w:val="left"/>
            </w:pPr>
            <w:r>
              <w:rPr>
                <w:rFonts w:ascii="MS PGothic" w:hAnsi="MS PGothic" w:eastAsia="MS PGothic"/>
                <w:b w:val="0"/>
                <w:color w:val="000000"/>
                <w:sz w:val="18"/>
              </w:rPr>
              <w:t>①噴霧可能性</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6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7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3160" w:type="dxa"/>
          </w:tcPr>
          <w:p>
            <w:pPr>
              <w:spacing w:before="20" w:after="20" w:lineRule="exact" w:line="240"/>
              <w:jc w:val="center"/>
            </w:pPr>
            <w:r>
              <w:rPr>
                <w:rFonts w:ascii="MS PGothic" w:hAnsi="MS PGothic" w:eastAsia="MS PGothic"/>
                <w:b w:val="0"/>
                <w:color w:val="000000"/>
                <w:sz w:val="18"/>
              </w:rPr>
              <w:t>せん断希薄化・自己修復による最適設計</w:t>
            </w:r>
          </w:p>
        </w:tc>
      </w:tr>
      <w:tr>
        <w:tc>
          <w:tcPr>
            <w:tcW w:type="dxa" w:w="1994"/>
            <w:vAlign w:val="center"/>
            <w:tcW w:w="2000" w:type="dxa"/>
          </w:tcPr>
          <w:p>
            <w:pPr>
              <w:spacing w:before="20" w:after="20" w:lineRule="exact" w:line="240"/>
              <w:jc w:val="left"/>
            </w:pPr>
            <w:r>
              <w:rPr>
                <w:rFonts w:ascii="MS PGothic" w:hAnsi="MS PGothic" w:eastAsia="MS PGothic"/>
                <w:b w:val="0"/>
                <w:color w:val="000000"/>
                <w:sz w:val="18"/>
              </w:rPr>
              <w:t>②基材への付着</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6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7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3160" w:type="dxa"/>
          </w:tcPr>
          <w:p>
            <w:pPr>
              <w:spacing w:before="20" w:after="20" w:lineRule="exact" w:line="240"/>
              <w:jc w:val="center"/>
            </w:pPr>
            <w:r>
              <w:rPr>
                <w:rFonts w:ascii="MS PGothic" w:hAnsi="MS PGothic" w:eastAsia="MS PGothic"/>
                <w:b w:val="0"/>
                <w:color w:val="000000"/>
                <w:sz w:val="18"/>
              </w:rPr>
              <w:t>高静的降伏応力（33.3 Pa）で垂直面に固着</w:t>
            </w:r>
          </w:p>
        </w:tc>
      </w:tr>
      <w:tr>
        <w:tc>
          <w:tcPr>
            <w:tcW w:type="dxa" w:w="1994"/>
            <w:vAlign w:val="center"/>
            <w:tcW w:w="2000" w:type="dxa"/>
          </w:tcPr>
          <w:p>
            <w:pPr>
              <w:spacing w:before="20" w:after="20" w:lineRule="exact" w:line="240"/>
              <w:jc w:val="left"/>
            </w:pPr>
            <w:r>
              <w:rPr>
                <w:rFonts w:ascii="MS PGothic" w:hAnsi="MS PGothic" w:eastAsia="MS PGothic"/>
                <w:b w:val="0"/>
                <w:color w:val="000000"/>
                <w:sz w:val="18"/>
              </w:rPr>
              <w:t>③乾燥後の保護継続</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6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7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3160" w:type="dxa"/>
          </w:tcPr>
          <w:p>
            <w:pPr>
              <w:spacing w:before="20" w:after="20" w:lineRule="exact" w:line="240"/>
              <w:jc w:val="center"/>
            </w:pPr>
            <w:r>
              <w:rPr>
                <w:rFonts w:ascii="MS PGothic" w:hAnsi="MS PGothic" w:eastAsia="MS PGothic"/>
                <w:b w:val="0"/>
                <w:color w:val="000000"/>
                <w:sz w:val="18"/>
              </w:rPr>
              <w:t>エアロゲル化で水分蒸発後も断熱層が残存</w:t>
            </w:r>
          </w:p>
        </w:tc>
      </w:tr>
      <w:tr>
        <w:tc>
          <w:tcPr>
            <w:tcW w:type="dxa" w:w="1994"/>
            <w:vAlign w:val="center"/>
            <w:tcW w:w="2000" w:type="dxa"/>
          </w:tcPr>
          <w:p>
            <w:pPr>
              <w:spacing w:before="20" w:after="20" w:lineRule="exact" w:line="240"/>
              <w:jc w:val="left"/>
            </w:pPr>
            <w:r>
              <w:rPr>
                <w:rFonts w:ascii="MS PGothic" w:hAnsi="MS PGothic" w:eastAsia="MS PGothic"/>
                <w:b w:val="0"/>
                <w:color w:val="000000"/>
                <w:sz w:val="18"/>
              </w:rPr>
              <w:t>④発泡による断熱層形成</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6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7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3160" w:type="dxa"/>
          </w:tcPr>
          <w:p>
            <w:pPr>
              <w:spacing w:before="20" w:after="20" w:lineRule="exact" w:line="240"/>
              <w:jc w:val="center"/>
            </w:pPr>
            <w:r>
              <w:rPr>
                <w:rFonts w:ascii="MS PGothic" w:hAnsi="MS PGothic" w:eastAsia="MS PGothic"/>
                <w:b w:val="0"/>
                <w:color w:val="000000"/>
                <w:sz w:val="18"/>
              </w:rPr>
              <w:t>発泡指数2.6・多孔質シリカ骨格をその場生成</w:t>
            </w:r>
          </w:p>
        </w:tc>
      </w:tr>
      <w:tr>
        <w:tc>
          <w:tcPr>
            <w:tcW w:type="dxa" w:w="1994"/>
            <w:vAlign w:val="center"/>
            <w:tcW w:w="2000" w:type="dxa"/>
          </w:tcPr>
          <w:p>
            <w:pPr>
              <w:spacing w:before="20" w:after="20" w:lineRule="exact" w:line="240"/>
              <w:jc w:val="left"/>
            </w:pPr>
            <w:r>
              <w:rPr>
                <w:rFonts w:ascii="MS PGothic" w:hAnsi="MS PGothic" w:eastAsia="MS PGothic"/>
                <w:b w:val="0"/>
                <w:color w:val="000000"/>
                <w:sz w:val="18"/>
              </w:rPr>
              <w:t>⑤長期保存安定性</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6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7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3160" w:type="dxa"/>
          </w:tcPr>
          <w:p>
            <w:pPr>
              <w:spacing w:before="20" w:after="20" w:lineRule="exact" w:line="240"/>
              <w:jc w:val="center"/>
            </w:pPr>
            <w:r>
              <w:rPr>
                <w:rFonts w:ascii="MS PGothic" w:hAnsi="MS PGothic" w:eastAsia="MS PGothic"/>
                <w:b w:val="0"/>
                <w:color w:val="000000"/>
                <w:sz w:val="18"/>
              </w:rPr>
              <w:t>455日後も燃焼挙動不変（水素結合→共有結合を許容）</w:t>
            </w:r>
          </w:p>
        </w:tc>
      </w:tr>
    </w:tbl>
    <w:p>
      <w:pPr>
        <w:spacing w:before="0" w:after="60"/>
      </w:pP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6：水 / AquaGel-K / 本研究 WEG の5要件充足比較チャート（◎○△×）　＊WEG のみ全5要件で◎、既存品は (3)(4)(5) で×〜△</w:t>
            </w:r>
          </w:p>
        </w:tc>
      </w:tr>
    </w:tbl>
    <w:p>
      <w:pPr>
        <w:spacing w:before="0" w:after="40"/>
      </w:pPr>
    </w:p>
    <w:p>
      <w:pPr>
        <w:spacing w:before="160" w:after="40"/>
      </w:pPr>
      <w:r>
        <w:rPr>
          <w:rFonts w:ascii="MS PGothic" w:hAnsi="MS PGothic" w:eastAsia="MS PGothic"/>
          <w:b/>
          <w:color w:val="000000"/>
          <w:sz w:val="22"/>
        </w:rPr>
        <w:t>【結論】</w:t>
      </w:r>
    </w:p>
    <w:p>
      <w:pPr>
        <w:spacing w:before="0" w:after="40" w:lineRule="exact" w:line="280"/>
        <w:ind w:firstLine="227"/>
      </w:pPr>
      <w:r>
        <w:rPr>
          <w:rFonts w:ascii="MS PGothic" w:hAnsi="MS PGothic" w:eastAsia="MS PGothic"/>
          <w:b w:val="0"/>
          <w:color w:val="000000"/>
          <w:sz w:val="19"/>
        </w:rPr>
        <w:t>本研究の核心メカニズムは3ステップに集約される。第1に水の蒸発（火炎の輻射熱・伝導熱を吸収し、気化潜熱によって基材への熱流束を低減する初期保護）、第2に CSP の焼結（水分蒸発後の温度上昇に伴う粒子間ネック形成・共有結合化）、第3に多孔質シリカエアロゲル断熱層の形成（固体断熱層が7分以上の継続保護を実現）、という流れである。この3段階は TGA/DSC・断面 SEM・FT-IR・XPS のすべての分析によって化学的・構造的に整合した形で裏付けられており、メカニズムの信頼性は高い。特に TGA による温度同期性の実証と断面 SEM による焼結段階の可視化は、提案メカニズムを独立した分析手法で検証した説得力の高い結果と言える。</w:t>
      </w:r>
    </w:p>
    <w:p>
      <w:pPr>
        <w:spacing w:before="0" w:after="40" w:lineRule="exact" w:line="280"/>
        <w:ind w:firstLine="227"/>
      </w:pPr>
      <w:r>
        <w:rPr>
          <w:rFonts w:ascii="MS PGothic" w:hAnsi="MS PGothic" w:eastAsia="MS PGothic"/>
          <w:b w:val="0"/>
          <w:color w:val="000000"/>
          <w:sz w:val="19"/>
        </w:rPr>
        <w:t>得られた4つの主要成果は以下の通りである。(1) 市販品の3〜6倍に及ぶ保護時間（Time to char &gt;= 7分 vs. AquaGel-K 約1.5分、n &gt;= 3 で統計的に有意）、(2) 455日超の長期保存安定性（燃焼挙動不変、MHEC 系の降伏応力変化率 +38% と穏やか）、(3) 既存機材でそのまま使える噴霧可能性（せん断希薄化・自己修復性・適度な降伏応力に基づく設計）、(4) 食品グレード・生分解性の持続可能原料のみによる構成。これらにより、WEG は「単なる水のキャリア（水が飛んだら終わり）」から「熱を受けて自分自身を断熱材へと能動的に変態させる難燃材料（水が飛んでからが本番）」へと概念的に進化した。乾燥という従来の致命的弱点を逆に保護発現のトリガーへ転換した点に、本研究の最も本質的な独創性がある。</w:t>
      </w:r>
    </w:p>
    <w:p>
      <w:pPr>
        <w:spacing w:before="0" w:after="40" w:lineRule="exact" w:line="280"/>
        <w:ind w:firstLine="227"/>
      </w:pPr>
      <w:r>
        <w:rPr>
          <w:rFonts w:ascii="MS PGothic" w:hAnsi="MS PGothic" w:eastAsia="MS PGothic"/>
          <w:b w:val="0"/>
          <w:color w:val="000000"/>
          <w:sz w:val="19"/>
        </w:rPr>
        <w:t>今後の課題としては、まず大規模製造へのスケールアップ（現状は実験室スケールでの検証）と製造コストの低減が挙げられる。次に、屋外環境での長期耐候性（紫外線・降雨・凍結融解・温度変動による性能変化）の実地検証が必要であり、本論文は基礎実証の段階に位置づけられる。また、現場での散布密度・乾燥条件・風速・基材の種類（金属・コンクリート・瓦等）がエアロゲル形成に与える影響、さらに火炎からの距離・輻射熱強度などの条件依存性も今後の研究課題である。規制・認証の観点では、消防機器としての認定試験や環境安全性評価も実用化に向けた重要なハードルとなる。</w:t>
      </w:r>
    </w:p>
    <w:p>
      <w:pPr>
        <w:spacing w:before="0" w:after="40" w:lineRule="exact" w:line="280"/>
        <w:ind w:firstLine="227"/>
      </w:pPr>
      <w:r>
        <w:rPr>
          <w:rFonts w:ascii="MS PGothic" w:hAnsi="MS PGothic" w:eastAsia="MS PGothic"/>
          <w:b w:val="0"/>
          <w:color w:val="000000"/>
          <w:sz w:val="19"/>
        </w:rPr>
        <w:t>自身の研究との関連では、共有結合架橋を用いずに動的水素結合のみで付着性・噴霧性・自己修復性を作り込むレオロジー設計の考え方が直接的な参考となる。また、LAOS と Herschel–Bulkley 解析を組み合わせた降伏応力の2側面（静的・動的）評価手法は、自身のハイドロゲル系の物性設計・評価においても応用できる有用な方法論である。特に「静的降伏応力 = 付着性・耐ダレ性」「動的降伏応力 = 噴霧性・流動性」という機能への対応づけのフレームワークは、注射可能なゲル（injectable hydrogel）の設計にも直接応用できる。さらに、界面活性剤添加がネットワーク弱体化をもたらしたというネガティブ結果は、自身の研究で添加物を検討する際の参考になる知見である。本論文のレオロジー測定手法・解析プロトコルは、実用目的のゲル材料の設計指針として普遍的な価値を持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