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jpg" ContentType="image/jpeg"/>
  <Override PartName="/word/media/rId48.jpg" ContentType="image/jpeg"/>
  <Override PartName="/word/media/rId38.jpg" ContentType="image/jpeg"/>
  <Override PartName="/word/media/rId35.jpg" ContentType="image/jpeg"/>
  <Override PartName="/word/media/rId41.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心理学講読2016</w:t>
      </w:r>
    </w:p>
    <w:p>
      <w:pPr>
        <w:pStyle w:val="Author"/>
      </w:pPr>
      <w:r>
        <w:t xml:space="preserve">竹林由武</w:t>
      </w:r>
    </w:p>
    <w:p>
      <w:pPr>
        <w:pStyle w:val="Date"/>
      </w:pPr>
      <w:r>
        <w:t xml:space="preserve">2016-04-06</w:t>
      </w:r>
    </w:p>
    <w:p>
      <w:pPr>
        <w:pStyle w:val="Heading1"/>
      </w:pPr>
      <w:bookmarkStart w:id="21" w:name="a."/>
      <w:bookmarkEnd w:id="21"/>
      <w:r>
        <w:t xml:space="preserve">A.本講義の目標</w:t>
      </w:r>
    </w:p>
    <w:p>
      <w:pPr>
        <w:pStyle w:val="BlockText"/>
      </w:pPr>
      <w:r>
        <w:t xml:space="preserve">ポジティブ心理学の諸概念を、アクセプタンス&amp;コミットメントセラピーの理論体系に基づいて、行動論的観点から理解し、臨床心理学的問題への介入方法に関する知識を習得する。</w:t>
      </w:r>
    </w:p>
    <w:p>
      <w:pPr>
        <w:pStyle w:val="Heading1"/>
      </w:pPr>
      <w:bookmarkStart w:id="22" w:name="b."/>
      <w:bookmarkEnd w:id="22"/>
      <w:r>
        <w:t xml:space="preserve">B.講義概要</w:t>
      </w:r>
    </w:p>
    <w:p>
      <w:pPr>
        <w:pStyle w:val="BlockText"/>
      </w:pPr>
      <w:r>
        <w:t xml:space="preserve">本講読においては、ウェルビーイングの向上との関連が指摘されているポジティブ心理学の諸概念を、アクセプタンス&amp;コミットメントセラピーの理論体系に基づいて行動論的観点から理解するための書籍を講読する。</w:t>
      </w:r>
    </w:p>
    <w:p>
      <w:pPr>
        <w:pStyle w:val="Heading2"/>
      </w:pPr>
      <w:bookmarkStart w:id="23" w:name="背景"/>
      <w:bookmarkEnd w:id="23"/>
      <w:r>
        <w:t xml:space="preserve">背景</w:t>
      </w:r>
    </w:p>
    <w:p>
      <w:pPr>
        <w:pStyle w:val="BlockText"/>
      </w:pPr>
      <w:r>
        <w:t xml:space="preserve">ウェルビーイングは、個人の幸福度を反映する概念であり、ポジティブ心理学領域を中心に研究がなされている。 - 臨床心理学領域においても、2010年頃からウェルビーイングに関する実証研究への関心が一段と高まり、ウェルビーイングと関連する心理機能が病理の改善または予防に有効であることを示す知見が散見されるようになってきた。 - それらの心理機能は、行動論に基づく心理学的介入であるアクセプタンス&amp;コミットメントセラピーにおいて操作的に定義され、ウェルビーイングの向上を促す行動変容の方略が体系化されている。 - これまでの臨床心理学の研究によって理解が進んだ人のネガティブな側面に関する知識に加えて、ポジティブな側面をマネジメントするための理論と方法を理解することは、臨床心理学の研究と実践の発展に役立つ。</w:t>
      </w:r>
    </w:p>
    <w:p>
      <w:pPr>
        <w:pStyle w:val="Heading1"/>
      </w:pPr>
      <w:bookmarkStart w:id="24" w:name="c."/>
      <w:bookmarkEnd w:id="24"/>
      <w:r>
        <w:t xml:space="preserve">C.教科書</w:t>
      </w:r>
    </w:p>
    <w:p>
      <w:pPr>
        <w:pStyle w:val="Heading2"/>
      </w:pPr>
      <w:bookmarkStart w:id="25" w:name="--7"/>
      <w:bookmarkEnd w:id="25"/>
      <w:r>
        <w:t xml:space="preserve">マインドフルネス, アクセプタンスとポジティブ心理学: ウェルビーイングの7つの基礎</w:t>
      </w:r>
    </w:p>
    <w:p>
      <w:pPr>
        <w:pStyle w:val="Compact"/>
      </w:pPr>
      <w:r>
        <w:t xml:space="preserve"> </w:t>
      </w:r>
      <w:r>
        <w:t xml:space="preserve">Kashdan, T. B., &amp; Ciarrochi, J. (Eds.). (2013). Mindfulness, acceptance, and positive psychology: The seven foundations of well-being. New Harbinger Publications.</w:t>
      </w:r>
      <w:r>
        <w:t xml:space="preserve"> </w:t>
      </w:r>
    </w:p>
    <w:p>
      <w:pPr>
        <w:pStyle w:val="BodyText"/>
      </w:pPr>
    </w:p>
    <w:p>
      <w:pPr>
        <w:pStyle w:val="Heading2"/>
      </w:pPr>
      <w:bookmarkStart w:id="26" w:name="1-kashdan-t.-b"/>
      <w:bookmarkEnd w:id="26"/>
      <w:r>
        <w:t xml:space="preserve">監修者1: Kashdan, T. B</w:t>
      </w:r>
    </w:p>
    <w:p>
      <w:pPr>
        <w:pStyle w:val="Compact"/>
        <w:numPr>
          <w:numId w:val="1001"/>
          <w:ilvl w:val="0"/>
        </w:numPr>
      </w:pPr>
      <w:r>
        <w:t xml:space="preserve">好奇心をテーマにした講演: Becoming a mad scientist with your life: Todd Kashdan at TEDxUtrecht</w:t>
      </w:r>
    </w:p>
    <w:p>
      <w:pPr>
        <w:pStyle w:val="Compact"/>
        <w:numPr>
          <w:numId w:val="1002"/>
          <w:ilvl w:val="0"/>
        </w:numPr>
      </w:pPr>
      <w:r>
        <w:t xml:space="preserve">Kasdanの日本語書籍</w:t>
      </w:r>
    </w:p>
    <w:p>
      <w:pPr>
        <w:numPr>
          <w:numId w:val="1000"/>
          <w:ilvl w:val="0"/>
        </w:numPr>
      </w:pPr>
      <w:r>
        <w:t xml:space="preserve"> </w:t>
      </w:r>
    </w:p>
    <w:p>
      <w:pPr>
        <w:pStyle w:val="Heading2"/>
      </w:pPr>
      <w:bookmarkStart w:id="27" w:name="2-ciarrochi-j."/>
      <w:bookmarkEnd w:id="27"/>
      <w:r>
        <w:t xml:space="preserve">監修者2: Ciarrochi, J.</w:t>
      </w:r>
    </w:p>
    <w:p>
      <w:pPr>
        <w:pStyle w:val="Compact"/>
        <w:numPr>
          <w:numId w:val="1003"/>
          <w:ilvl w:val="0"/>
        </w:numPr>
      </w:pPr>
      <w:r>
        <w:t xml:space="preserve">マインドフルネスをテーマにした講演: Reshape your life: Joseph Ciarrochi at Mind &amp; Its Potential 2014</w:t>
      </w:r>
    </w:p>
    <w:p>
      <w:pPr>
        <w:pStyle w:val="Compact"/>
        <w:numPr>
          <w:numId w:val="1004"/>
          <w:ilvl w:val="0"/>
        </w:numPr>
      </w:pPr>
      <w:r>
        <w:t xml:space="preserve">Ciarrochiの日本語書籍</w:t>
      </w:r>
    </w:p>
    <w:p>
      <w:pPr>
        <w:numPr>
          <w:numId w:val="1000"/>
          <w:ilvl w:val="0"/>
        </w:numPr>
      </w:pPr>
      <w:r>
        <w:t xml:space="preserve"> </w:t>
      </w:r>
    </w:p>
    <w:p>
      <w:pPr>
        <w:pStyle w:val="Heading1"/>
      </w:pPr>
      <w:bookmarkStart w:id="28" w:name="d."/>
      <w:bookmarkEnd w:id="28"/>
      <w:r>
        <w:t xml:space="preserve">D.シラバス</w:t>
      </w:r>
    </w:p>
    <w:p>
      <w:pPr>
        <w:pStyle w:val="Compact"/>
        <w:numPr>
          <w:numId w:val="1005"/>
          <w:ilvl w:val="0"/>
        </w:numPr>
      </w:pPr>
      <w:r>
        <w:t xml:space="preserve">ガイダンス1回+13回発表+総括1回</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講義</w:t>
            </w:r>
          </w:p>
        </w:tc>
        <w:tc>
          <w:tcPr>
            <w:tcBorders>
              <w:bottom w:val="single"/>
            </w:tcBorders>
            <w:vAlign w:val="bottom"/>
          </w:tcPr>
          <w:p>
            <w:pPr>
              <w:pStyle w:val="Compact"/>
              <w:jc w:val="left"/>
            </w:pPr>
            <w:r>
              <w:t xml:space="preserve">内容</w:t>
            </w:r>
          </w:p>
        </w:tc>
        <w:tc>
          <w:tcPr>
            <w:tcBorders>
              <w:bottom w:val="single"/>
            </w:tcBorders>
            <w:vAlign w:val="bottom"/>
          </w:tcPr>
          <w:p>
            <w:pPr>
              <w:pStyle w:val="Compact"/>
              <w:jc w:val="left"/>
            </w:pPr>
            <w:r>
              <w:t xml:space="preserve">該当ページ</w:t>
            </w:r>
          </w:p>
        </w:tc>
      </w:tr>
      <w:tr>
        <w:tc>
          <w:p>
            <w:pPr>
              <w:pStyle w:val="Compact"/>
              <w:jc w:val="center"/>
            </w:pPr>
            <w:r>
              <w:t xml:space="preserve">1</w:t>
            </w:r>
          </w:p>
        </w:tc>
        <w:tc>
          <w:p>
            <w:pPr>
              <w:pStyle w:val="Compact"/>
              <w:jc w:val="left"/>
            </w:pPr>
            <w:r>
              <w:t xml:space="preserve">前期ガイダンスと講読内容の概説</w:t>
            </w:r>
          </w:p>
        </w:tc>
        <w:tc>
          <w:p>
            <w:pStyle w:val="Compact"/>
          </w:p>
        </w:tc>
      </w:tr>
      <w:tr>
        <w:tc>
          <w:p>
            <w:pPr>
              <w:pStyle w:val="Compact"/>
              <w:jc w:val="center"/>
            </w:pPr>
            <w:r>
              <w:t xml:space="preserve">2</w:t>
            </w:r>
          </w:p>
        </w:tc>
        <w:tc>
          <w:p>
            <w:pPr>
              <w:pStyle w:val="Compact"/>
              <w:jc w:val="left"/>
            </w:pPr>
            <w:r>
              <w:t xml:space="preserve">ポジティブ心理学とアクセプタンス&amp;コミットメントセラピーの接点1</w:t>
            </w:r>
          </w:p>
        </w:tc>
        <w:tc>
          <w:p>
            <w:pPr>
              <w:pStyle w:val="Compact"/>
              <w:jc w:val="left"/>
            </w:pPr>
            <w:r>
              <w:t xml:space="preserve">pp1-pp9</w:t>
            </w:r>
          </w:p>
        </w:tc>
      </w:tr>
      <w:tr>
        <w:tc>
          <w:p>
            <w:pPr>
              <w:pStyle w:val="Compact"/>
              <w:jc w:val="center"/>
            </w:pPr>
            <w:r>
              <w:t xml:space="preserve">3</w:t>
            </w:r>
          </w:p>
        </w:tc>
        <w:tc>
          <w:p>
            <w:pPr>
              <w:pStyle w:val="Compact"/>
              <w:jc w:val="left"/>
            </w:pPr>
            <w:r>
              <w:t xml:space="preserve">ポジティブ心理学とアクセプタンス&amp;コミットメントセラピーの接点2</w:t>
            </w:r>
          </w:p>
        </w:tc>
        <w:tc>
          <w:p>
            <w:pPr>
              <w:pStyle w:val="Compact"/>
              <w:jc w:val="left"/>
            </w:pPr>
            <w:r>
              <w:t xml:space="preserve">pp10-pp25</w:t>
            </w:r>
          </w:p>
        </w:tc>
      </w:tr>
      <w:tr>
        <w:tc>
          <w:p>
            <w:pPr>
              <w:pStyle w:val="Compact"/>
              <w:jc w:val="center"/>
            </w:pPr>
            <w:r>
              <w:t xml:space="preserve">4</w:t>
            </w:r>
          </w:p>
        </w:tc>
        <w:tc>
          <w:p>
            <w:pPr>
              <w:pStyle w:val="Compact"/>
              <w:jc w:val="left"/>
            </w:pPr>
            <w:r>
              <w:t xml:space="preserve">マインドフルネスと認知・感情システム１</w:t>
            </w:r>
          </w:p>
        </w:tc>
        <w:tc>
          <w:p>
            <w:pPr>
              <w:pStyle w:val="Compact"/>
              <w:jc w:val="left"/>
            </w:pPr>
            <w:r>
              <w:t xml:space="preserve">pp30-pp42</w:t>
            </w:r>
          </w:p>
        </w:tc>
      </w:tr>
      <w:tr>
        <w:tc>
          <w:p>
            <w:pPr>
              <w:pStyle w:val="Compact"/>
              <w:jc w:val="center"/>
            </w:pPr>
            <w:r>
              <w:t xml:space="preserve">5</w:t>
            </w:r>
          </w:p>
        </w:tc>
        <w:tc>
          <w:p>
            <w:pPr>
              <w:pStyle w:val="Compact"/>
              <w:jc w:val="left"/>
            </w:pPr>
            <w:r>
              <w:t xml:space="preserve">マインドフルネスと認知・感情システム２</w:t>
            </w:r>
          </w:p>
        </w:tc>
        <w:tc>
          <w:p>
            <w:pPr>
              <w:pStyle w:val="Compact"/>
              <w:jc w:val="left"/>
            </w:pPr>
            <w:r>
              <w:t xml:space="preserve">pp42-pp49</w:t>
            </w:r>
          </w:p>
        </w:tc>
      </w:tr>
      <w:tr>
        <w:tc>
          <w:p>
            <w:pPr>
              <w:pStyle w:val="Compact"/>
              <w:jc w:val="center"/>
            </w:pPr>
            <w:r>
              <w:t xml:space="preserve">6</w:t>
            </w:r>
          </w:p>
        </w:tc>
        <w:tc>
          <w:p>
            <w:pPr>
              <w:pStyle w:val="Compact"/>
              <w:jc w:val="left"/>
            </w:pPr>
            <w:r>
              <w:t xml:space="preserve">マインドフルネスと認知・感情システム３</w:t>
            </w:r>
          </w:p>
        </w:tc>
        <w:tc>
          <w:p>
            <w:pPr>
              <w:pStyle w:val="Compact"/>
              <w:jc w:val="left"/>
            </w:pPr>
            <w:r>
              <w:t xml:space="preserve">pp50-pp59</w:t>
            </w:r>
          </w:p>
        </w:tc>
      </w:tr>
      <w:tr>
        <w:tc>
          <w:p>
            <w:pPr>
              <w:pStyle w:val="Compact"/>
              <w:jc w:val="center"/>
            </w:pPr>
            <w:r>
              <w:t xml:space="preserve">7</w:t>
            </w:r>
          </w:p>
        </w:tc>
        <w:tc>
          <w:p>
            <w:pPr>
              <w:pStyle w:val="Compact"/>
              <w:jc w:val="left"/>
            </w:pPr>
            <w:r>
              <w:t xml:space="preserve">愛と人間らしさ</w:t>
            </w:r>
          </w:p>
        </w:tc>
        <w:tc>
          <w:p>
            <w:pPr>
              <w:pStyle w:val="Compact"/>
              <w:jc w:val="left"/>
            </w:pPr>
            <w:r>
              <w:t xml:space="preserve">pp68-pp77</w:t>
            </w:r>
          </w:p>
        </w:tc>
      </w:tr>
      <w:tr>
        <w:tc>
          <w:p>
            <w:pPr>
              <w:pStyle w:val="Compact"/>
              <w:jc w:val="center"/>
            </w:pPr>
            <w:r>
              <w:t xml:space="preserve">8</w:t>
            </w:r>
          </w:p>
        </w:tc>
        <w:tc>
          <w:p>
            <w:pPr>
              <w:pStyle w:val="Compact"/>
              <w:jc w:val="left"/>
            </w:pPr>
            <w:r>
              <w:t xml:space="preserve">セルフ・コンパッション (自己への慈しみ)とアクセプタンス&amp;コミットメントセラピー１</w:t>
            </w:r>
          </w:p>
        </w:tc>
        <w:tc>
          <w:p>
            <w:pPr>
              <w:pStyle w:val="Compact"/>
              <w:jc w:val="left"/>
            </w:pPr>
            <w:r>
              <w:t xml:space="preserve">pp78-pp90</w:t>
            </w:r>
          </w:p>
        </w:tc>
      </w:tr>
      <w:tr>
        <w:tc>
          <w:p>
            <w:pPr>
              <w:pStyle w:val="Compact"/>
              <w:jc w:val="center"/>
            </w:pPr>
            <w:r>
              <w:t xml:space="preserve">9</w:t>
            </w:r>
          </w:p>
        </w:tc>
        <w:tc>
          <w:p>
            <w:pPr>
              <w:pStyle w:val="Compact"/>
              <w:jc w:val="left"/>
            </w:pPr>
            <w:r>
              <w:t xml:space="preserve">セルフ・コンパッション (自己への慈しみ)とアクセプタンス&amp;コミットメントセラピー２</w:t>
            </w:r>
          </w:p>
        </w:tc>
        <w:tc>
          <w:p>
            <w:pPr>
              <w:pStyle w:val="Compact"/>
              <w:jc w:val="left"/>
            </w:pPr>
            <w:r>
              <w:t xml:space="preserve">pp90-pp101</w:t>
            </w:r>
          </w:p>
        </w:tc>
      </w:tr>
      <w:tr>
        <w:tc>
          <w:p>
            <w:pPr>
              <w:pStyle w:val="Compact"/>
              <w:jc w:val="center"/>
            </w:pPr>
            <w:r>
              <w:t xml:space="preserve">10</w:t>
            </w:r>
          </w:p>
        </w:tc>
        <w:tc>
          <w:p>
            <w:pPr>
              <w:pStyle w:val="Compact"/>
              <w:jc w:val="left"/>
            </w:pPr>
            <w:r>
              <w:t xml:space="preserve">視点取得１</w:t>
            </w:r>
          </w:p>
        </w:tc>
        <w:tc>
          <w:p>
            <w:pPr>
              <w:pStyle w:val="Compact"/>
              <w:jc w:val="left"/>
            </w:pPr>
            <w:r>
              <w:t xml:space="preserve">pp107-pp115</w:t>
            </w:r>
          </w:p>
        </w:tc>
      </w:tr>
      <w:tr>
        <w:tc>
          <w:p>
            <w:pPr>
              <w:pStyle w:val="Compact"/>
              <w:jc w:val="center"/>
            </w:pPr>
            <w:r>
              <w:t xml:space="preserve">11</w:t>
            </w:r>
          </w:p>
        </w:tc>
        <w:tc>
          <w:p>
            <w:pPr>
              <w:pStyle w:val="Compact"/>
              <w:jc w:val="left"/>
            </w:pPr>
            <w:r>
              <w:t xml:space="preserve">視点取得２</w:t>
            </w:r>
          </w:p>
        </w:tc>
        <w:tc>
          <w:p>
            <w:pPr>
              <w:pStyle w:val="Compact"/>
              <w:jc w:val="left"/>
            </w:pPr>
            <w:r>
              <w:t xml:space="preserve">pp115-pp126</w:t>
            </w:r>
          </w:p>
        </w:tc>
      </w:tr>
      <w:tr>
        <w:tc>
          <w:p>
            <w:pPr>
              <w:pStyle w:val="Compact"/>
              <w:jc w:val="center"/>
            </w:pPr>
            <w:r>
              <w:t xml:space="preserve">12</w:t>
            </w:r>
          </w:p>
        </w:tc>
        <w:tc>
          <w:p>
            <w:pPr>
              <w:pStyle w:val="Compact"/>
              <w:jc w:val="left"/>
            </w:pPr>
            <w:r>
              <w:t xml:space="preserve">コミットされた行為１</w:t>
            </w:r>
          </w:p>
        </w:tc>
        <w:tc>
          <w:p>
            <w:pPr>
              <w:pStyle w:val="Compact"/>
              <w:jc w:val="left"/>
            </w:pPr>
            <w:r>
              <w:t xml:space="preserve">pp127-pp139</w:t>
            </w:r>
          </w:p>
        </w:tc>
      </w:tr>
      <w:tr>
        <w:tc>
          <w:p>
            <w:pPr>
              <w:pStyle w:val="Compact"/>
              <w:jc w:val="center"/>
            </w:pPr>
            <w:r>
              <w:t xml:space="preserve">13</w:t>
            </w:r>
          </w:p>
        </w:tc>
        <w:tc>
          <w:p>
            <w:pPr>
              <w:pStyle w:val="Compact"/>
              <w:jc w:val="left"/>
            </w:pPr>
            <w:r>
              <w:t xml:space="preserve">ポジティブな側面に焦点を当てた介入の概観１</w:t>
            </w:r>
          </w:p>
        </w:tc>
        <w:tc>
          <w:p>
            <w:pPr>
              <w:pStyle w:val="Compact"/>
              <w:jc w:val="left"/>
            </w:pPr>
            <w:r>
              <w:t xml:space="preserve">pp140-pp151</w:t>
            </w:r>
          </w:p>
        </w:tc>
      </w:tr>
      <w:tr>
        <w:tc>
          <w:p>
            <w:pPr>
              <w:pStyle w:val="Compact"/>
              <w:jc w:val="center"/>
            </w:pPr>
            <w:r>
              <w:t xml:space="preserve">14</w:t>
            </w:r>
          </w:p>
        </w:tc>
        <w:tc>
          <w:p>
            <w:pPr>
              <w:pStyle w:val="Compact"/>
              <w:jc w:val="left"/>
            </w:pPr>
            <w:r>
              <w:t xml:space="preserve">ポジティブな側面に焦点を当てた介入の概観２</w:t>
            </w:r>
          </w:p>
        </w:tc>
        <w:tc>
          <w:p>
            <w:pPr>
              <w:pStyle w:val="Compact"/>
              <w:jc w:val="left"/>
            </w:pPr>
            <w:r>
              <w:t xml:space="preserve">pp151-pp161</w:t>
            </w:r>
          </w:p>
        </w:tc>
      </w:tr>
      <w:tr>
        <w:tc>
          <w:p>
            <w:pPr>
              <w:pStyle w:val="Compact"/>
              <w:jc w:val="center"/>
            </w:pPr>
            <w:r>
              <w:t xml:space="preserve">15</w:t>
            </w:r>
          </w:p>
        </w:tc>
        <w:tc>
          <w:p>
            <w:pPr>
              <w:pStyle w:val="Compact"/>
              <w:jc w:val="left"/>
            </w:pPr>
            <w:r>
              <w:t xml:space="preserve">前期の総括</w:t>
            </w:r>
          </w:p>
        </w:tc>
        <w:tc>
          <w:p>
            <w:pStyle w:val="Compact"/>
          </w:p>
        </w:tc>
      </w:tr>
      <w:tr>
        <w:tc>
          <w:p>
            <w:pPr>
              <w:pStyle w:val="Compact"/>
              <w:jc w:val="center"/>
            </w:pPr>
            <w:r>
              <w:t xml:space="preserve">16</w:t>
            </w:r>
          </w:p>
        </w:tc>
        <w:tc>
          <w:p>
            <w:pPr>
              <w:pStyle w:val="Compact"/>
              <w:jc w:val="left"/>
            </w:pPr>
            <w:r>
              <w:t xml:space="preserve">後期ガイダンスと講読内容の概説</w:t>
            </w:r>
          </w:p>
        </w:tc>
        <w:tc>
          <w:p>
            <w:pStyle w:val="Compact"/>
          </w:p>
        </w:tc>
      </w:tr>
      <w:tr>
        <w:tc>
          <w:p>
            <w:pPr>
              <w:pStyle w:val="Compact"/>
              <w:jc w:val="center"/>
            </w:pPr>
            <w:r>
              <w:t xml:space="preserve">17</w:t>
            </w:r>
          </w:p>
        </w:tc>
        <w:tc>
          <w:p>
            <w:pPr>
              <w:pStyle w:val="Compact"/>
              <w:jc w:val="left"/>
            </w:pPr>
            <w:r>
              <w:t xml:space="preserve">ポジティブ心理学的介入： 関係フレーム理論による考察１</w:t>
            </w:r>
          </w:p>
        </w:tc>
        <w:tc>
          <w:p>
            <w:pStyle w:val="Compact"/>
          </w:p>
        </w:tc>
      </w:tr>
      <w:tr>
        <w:tc>
          <w:p>
            <w:pPr>
              <w:pStyle w:val="Compact"/>
              <w:jc w:val="center"/>
            </w:pPr>
            <w:r>
              <w:t xml:space="preserve">18</w:t>
            </w:r>
          </w:p>
        </w:tc>
        <w:tc>
          <w:p>
            <w:pPr>
              <w:pStyle w:val="Compact"/>
              <w:jc w:val="left"/>
            </w:pPr>
            <w:r>
              <w:t xml:space="preserve">ポジティブ心理学的介入： 関係フレーム理論による考察２</w:t>
            </w:r>
          </w:p>
        </w:tc>
        <w:tc>
          <w:p>
            <w:pStyle w:val="Compact"/>
          </w:p>
        </w:tc>
      </w:tr>
      <w:tr>
        <w:tc>
          <w:p>
            <w:pPr>
              <w:pStyle w:val="Compact"/>
              <w:jc w:val="center"/>
            </w:pPr>
            <w:r>
              <w:t xml:space="preserve">19</w:t>
            </w:r>
          </w:p>
        </w:tc>
        <w:tc>
          <w:p>
            <w:pPr>
              <w:pStyle w:val="Compact"/>
              <w:jc w:val="left"/>
            </w:pPr>
            <w:r>
              <w:t xml:space="preserve">文脈を考慮したポジティブ心理学的介入１</w:t>
            </w:r>
          </w:p>
        </w:tc>
        <w:tc>
          <w:p>
            <w:pStyle w:val="Compact"/>
          </w:p>
        </w:tc>
      </w:tr>
      <w:tr>
        <w:tc>
          <w:p>
            <w:pPr>
              <w:pStyle w:val="Compact"/>
              <w:jc w:val="center"/>
            </w:pPr>
            <w:r>
              <w:t xml:space="preserve">20</w:t>
            </w:r>
          </w:p>
        </w:tc>
        <w:tc>
          <w:p>
            <w:pPr>
              <w:pStyle w:val="Compact"/>
              <w:jc w:val="left"/>
            </w:pPr>
            <w:r>
              <w:t xml:space="preserve">文脈を考慮したポジティブ心理学的介入２</w:t>
            </w:r>
          </w:p>
        </w:tc>
        <w:tc>
          <w:p>
            <w:pStyle w:val="Compact"/>
          </w:p>
        </w:tc>
      </w:tr>
      <w:tr>
        <w:tc>
          <w:p>
            <w:pPr>
              <w:pStyle w:val="Compact"/>
              <w:jc w:val="center"/>
            </w:pPr>
            <w:r>
              <w:t xml:space="preserve">21</w:t>
            </w:r>
          </w:p>
        </w:tc>
        <w:tc>
          <w:p>
            <w:pPr>
              <w:pStyle w:val="Compact"/>
              <w:jc w:val="left"/>
            </w:pPr>
            <w:r>
              <w:t xml:space="preserve">罪責感や恥の受容：道徳感情に対するポジティブなアプローチ１</w:t>
            </w:r>
          </w:p>
        </w:tc>
        <w:tc>
          <w:p>
            <w:pStyle w:val="Compact"/>
          </w:p>
        </w:tc>
      </w:tr>
      <w:tr>
        <w:tc>
          <w:p>
            <w:pPr>
              <w:pStyle w:val="Compact"/>
              <w:jc w:val="center"/>
            </w:pPr>
            <w:r>
              <w:t xml:space="preserve">22</w:t>
            </w:r>
          </w:p>
        </w:tc>
        <w:tc>
          <w:p>
            <w:pPr>
              <w:pStyle w:val="Compact"/>
              <w:jc w:val="left"/>
            </w:pPr>
            <w:r>
              <w:t xml:space="preserve">罪責感や恥の受容：道徳感情に対するポジティブなアプローチ２</w:t>
            </w:r>
          </w:p>
        </w:tc>
        <w:tc>
          <w:p>
            <w:pStyle w:val="Compact"/>
          </w:p>
        </w:tc>
      </w:tr>
      <w:tr>
        <w:tc>
          <w:p>
            <w:pPr>
              <w:pStyle w:val="Compact"/>
              <w:jc w:val="center"/>
            </w:pPr>
            <w:r>
              <w:t xml:space="preserve">23</w:t>
            </w:r>
          </w:p>
        </w:tc>
        <w:tc>
          <w:p>
            <w:pPr>
              <w:pStyle w:val="Compact"/>
              <w:jc w:val="left"/>
            </w:pPr>
            <w:r>
              <w:t xml:space="preserve">コミットされた行為２</w:t>
            </w:r>
          </w:p>
        </w:tc>
        <w:tc>
          <w:p>
            <w:pStyle w:val="Compact"/>
          </w:p>
        </w:tc>
      </w:tr>
      <w:tr>
        <w:tc>
          <w:p>
            <w:pPr>
              <w:pStyle w:val="Compact"/>
              <w:jc w:val="center"/>
            </w:pPr>
            <w:r>
              <w:t xml:space="preserve">24</w:t>
            </w:r>
          </w:p>
        </w:tc>
        <w:tc>
          <w:p>
            <w:pPr>
              <w:pStyle w:val="Compact"/>
              <w:jc w:val="left"/>
            </w:pPr>
            <w:r>
              <w:t xml:space="preserve">コミットされた行為３</w:t>
            </w:r>
          </w:p>
        </w:tc>
        <w:tc>
          <w:p>
            <w:pStyle w:val="Compact"/>
          </w:p>
        </w:tc>
      </w:tr>
      <w:tr>
        <w:tc>
          <w:p>
            <w:pPr>
              <w:pStyle w:val="Compact"/>
              <w:jc w:val="center"/>
            </w:pPr>
            <w:r>
              <w:t xml:space="preserve">25</w:t>
            </w:r>
          </w:p>
        </w:tc>
        <w:tc>
          <w:p>
            <w:pPr>
              <w:pStyle w:val="Compact"/>
              <w:jc w:val="left"/>
            </w:pPr>
            <w:r>
              <w:t xml:space="preserve">関係フレーム理論に基づく知能の発達１</w:t>
            </w:r>
          </w:p>
        </w:tc>
        <w:tc>
          <w:p>
            <w:pStyle w:val="Compact"/>
          </w:p>
        </w:tc>
      </w:tr>
      <w:tr>
        <w:tc>
          <w:p>
            <w:pPr>
              <w:pStyle w:val="Compact"/>
              <w:jc w:val="center"/>
            </w:pPr>
            <w:r>
              <w:t xml:space="preserve">26</w:t>
            </w:r>
          </w:p>
        </w:tc>
        <w:tc>
          <w:p>
            <w:pPr>
              <w:pStyle w:val="Compact"/>
              <w:jc w:val="left"/>
            </w:pPr>
            <w:r>
              <w:t xml:space="preserve">関係フレーム理論に基づく知能の発達２</w:t>
            </w:r>
          </w:p>
        </w:tc>
        <w:tc>
          <w:p>
            <w:pStyle w:val="Compact"/>
          </w:p>
        </w:tc>
      </w:tr>
      <w:tr>
        <w:tc>
          <w:p>
            <w:pPr>
              <w:pStyle w:val="Compact"/>
              <w:jc w:val="center"/>
            </w:pPr>
            <w:r>
              <w:t xml:space="preserve">27</w:t>
            </w:r>
          </w:p>
        </w:tc>
        <w:tc>
          <w:p>
            <w:pPr>
              <w:pStyle w:val="Compact"/>
              <w:jc w:val="left"/>
            </w:pPr>
            <w:r>
              <w:t xml:space="preserve">関係フレーム理論に基づく知能の発達３</w:t>
            </w:r>
          </w:p>
        </w:tc>
        <w:tc>
          <w:p>
            <w:pStyle w:val="Compact"/>
          </w:p>
        </w:tc>
      </w:tr>
      <w:tr>
        <w:tc>
          <w:p>
            <w:pPr>
              <w:pStyle w:val="Compact"/>
              <w:jc w:val="center"/>
            </w:pPr>
            <w:r>
              <w:t xml:space="preserve">28</w:t>
            </w:r>
          </w:p>
        </w:tc>
        <w:tc>
          <w:p>
            <w:pPr>
              <w:pStyle w:val="Compact"/>
              <w:jc w:val="left"/>
            </w:pPr>
            <w:r>
              <w:t xml:space="preserve">ポジティブ心理学とアクセプタンス&amp;コミットメントセラピーの対話１</w:t>
            </w:r>
          </w:p>
        </w:tc>
        <w:tc>
          <w:p>
            <w:pStyle w:val="Compact"/>
          </w:p>
        </w:tc>
      </w:tr>
      <w:tr>
        <w:tc>
          <w:p>
            <w:pPr>
              <w:pStyle w:val="Compact"/>
              <w:jc w:val="center"/>
            </w:pPr>
            <w:r>
              <w:t xml:space="preserve">29</w:t>
            </w:r>
          </w:p>
        </w:tc>
        <w:tc>
          <w:p>
            <w:pPr>
              <w:pStyle w:val="Compact"/>
              <w:jc w:val="left"/>
            </w:pPr>
            <w:r>
              <w:t xml:space="preserve">ポジティブ心理学とアクセプタンス&amp;コミットメントセラピーの対話２</w:t>
            </w:r>
          </w:p>
        </w:tc>
        <w:tc>
          <w:p>
            <w:pStyle w:val="Compact"/>
          </w:p>
        </w:tc>
      </w:tr>
      <w:tr>
        <w:tc>
          <w:p>
            <w:pPr>
              <w:pStyle w:val="Compact"/>
              <w:jc w:val="center"/>
            </w:pPr>
            <w:r>
              <w:t xml:space="preserve">30</w:t>
            </w:r>
          </w:p>
        </w:tc>
        <w:tc>
          <w:p>
            <w:pPr>
              <w:pStyle w:val="Compact"/>
              <w:jc w:val="left"/>
            </w:pPr>
            <w:r>
              <w:t xml:space="preserve">総括</w:t>
            </w:r>
          </w:p>
        </w:tc>
        <w:tc>
          <w:p>
            <w:pStyle w:val="Compact"/>
          </w:p>
        </w:tc>
      </w:tr>
    </w:tbl>
    <w:p>
      <w:pPr>
        <w:pStyle w:val="Heading1"/>
      </w:pPr>
      <w:bookmarkStart w:id="29" w:name="e."/>
      <w:bookmarkEnd w:id="29"/>
      <w:r>
        <w:t xml:space="preserve">E.成績評価方法・基準</w:t>
      </w:r>
    </w:p>
    <w:p>
      <w:pPr>
        <w:pStyle w:val="Compact"/>
        <w:pStyle w:val="BlockText"/>
        <w:numPr>
          <w:numId w:val="1006"/>
          <w:ilvl w:val="0"/>
        </w:numPr>
      </w:pPr>
      <w:r>
        <w:t xml:space="preserve">各回の内容についての理解を前提とし、発表・プレゼンテーションの内容（70%）と議論・授業への貢献度（30%）の平常点で判定する。</w:t>
      </w:r>
    </w:p>
    <w:p>
      <w:pPr>
        <w:pStyle w:val="Compact"/>
        <w:pStyle w:val="BlockText"/>
        <w:numPr>
          <w:numId w:val="1006"/>
          <w:ilvl w:val="0"/>
        </w:numPr>
      </w:pPr>
      <w:r>
        <w:t xml:space="preserve">プレゼンテーションは,担当箇所の内容を全訳したものを読み上げるのではなく,内容の要点をまとめ, パワーポイント等で発表することとする。</w:t>
      </w:r>
    </w:p>
    <w:p>
      <w:pPr>
        <w:pStyle w:val="Compact"/>
        <w:pStyle w:val="BlockText"/>
        <w:numPr>
          <w:numId w:val="1006"/>
          <w:ilvl w:val="0"/>
        </w:numPr>
      </w:pPr>
      <w:r>
        <w:t xml:space="preserve">発表者は, 講義参加者と講師分の発表資料を講義開始前に印刷しておく。</w:t>
      </w:r>
    </w:p>
    <w:p>
      <w:pPr>
        <w:pStyle w:val="Compact"/>
        <w:pStyle w:val="BlockText"/>
        <w:numPr>
          <w:numId w:val="1006"/>
          <w:ilvl w:val="0"/>
        </w:numPr>
      </w:pPr>
      <w:r>
        <w:t xml:space="preserve">講読書籍の内容で不明な点は、日本語の参考文献等で可能な限り調べて発表すること。</w:t>
      </w:r>
    </w:p>
    <w:p>
      <w:pPr>
        <w:pStyle w:val="Compact"/>
        <w:pStyle w:val="BlockText"/>
        <w:numPr>
          <w:numId w:val="1006"/>
          <w:ilvl w:val="0"/>
        </w:numPr>
      </w:pPr>
      <w:r>
        <w:t xml:space="preserve">その上で分からない箇所、理解が難しい箇所については講師が解説する。</w:t>
      </w:r>
    </w:p>
    <w:p>
      <w:pPr>
        <w:pStyle w:val="Heading1"/>
      </w:pPr>
      <w:bookmarkStart w:id="30" w:name="f."/>
      <w:bookmarkEnd w:id="30"/>
      <w:r>
        <w:t xml:space="preserve">F.履修上の留意点</w:t>
      </w:r>
    </w:p>
    <w:p>
      <w:pPr>
        <w:pStyle w:val="BlockText"/>
      </w:pPr>
      <w:r>
        <w:t xml:space="preserve">準備学習においては、教科書・参考書の各回の授業内容に該当する範囲を読み、授業での議論に備える。事後学習においては、授業でノートしたことを整理し、関連文献を読むなどして、理解の深化に努める。</w:t>
      </w:r>
    </w:p>
    <w:p>
      <w:pPr>
        <w:pStyle w:val="Heading1"/>
      </w:pPr>
      <w:bookmarkStart w:id="31" w:name="g."/>
      <w:bookmarkEnd w:id="31"/>
      <w:r>
        <w:t xml:space="preserve">G.参考図書</w:t>
      </w:r>
    </w:p>
    <w:p>
      <w:pPr>
        <w:pStyle w:val="Heading2"/>
      </w:pPr>
      <w:bookmarkStart w:id="32" w:name="ポジティブ心理学関連"/>
      <w:bookmarkEnd w:id="32"/>
      <w:r>
        <w:t xml:space="preserve">ポジティブ心理学関連</w:t>
      </w:r>
    </w:p>
    <w:p>
      <w:pPr>
        <w:pStyle w:val="FirstParagraph"/>
      </w:pPr>
      <w:r>
        <w:drawing>
          <wp:inline>
            <wp:extent cx="4267200" cy="6350000"/>
            <wp:effectExtent b="0" l="0" r="0" t="0"/>
            <wp:docPr descr="" id="1" name="Picture"/>
            <a:graphic>
              <a:graphicData uri="http://schemas.openxmlformats.org/drawingml/2006/picture">
                <pic:pic>
                  <pic:nvPicPr>
                    <pic:cNvPr descr="http://ecx.images-amazon.com/images/I/519OFfjethL.jpg" id="0" name="Picture"/>
                    <pic:cNvPicPr>
                      <a:picLocks noChangeArrowheads="1" noChangeAspect="1"/>
                    </pic:cNvPicPr>
                  </pic:nvPicPr>
                  <pic:blipFill>
                    <a:blip r:embed="rId35"/>
                    <a:stretch>
                      <a:fillRect/>
                    </a:stretch>
                  </pic:blipFill>
                  <pic:spPr bwMode="auto">
                    <a:xfrm>
                      <a:off x="0" y="0"/>
                      <a:ext cx="4267200" cy="6350000"/>
                    </a:xfrm>
                    <a:prstGeom prst="rect">
                      <a:avLst/>
                    </a:prstGeom>
                    <a:noFill/>
                    <a:ln w="9525">
                      <a:noFill/>
                      <a:headEnd/>
                      <a:tailEnd/>
                    </a:ln>
                  </pic:spPr>
                </pic:pic>
              </a:graphicData>
            </a:graphic>
          </wp:inline>
        </w:drawing>
      </w:r>
    </w:p>
    <w:p>
      <w:pPr>
        <w:pStyle w:val="BodyText"/>
      </w:pPr>
      <w:r>
        <w:drawing>
          <wp:inline>
            <wp:extent cx="4406900" cy="6350000"/>
            <wp:effectExtent b="0" l="0" r="0" t="0"/>
            <wp:docPr descr="" id="1" name="Picture"/>
            <a:graphic>
              <a:graphicData uri="http://schemas.openxmlformats.org/drawingml/2006/picture">
                <pic:pic>
                  <pic:nvPicPr>
                    <pic:cNvPr descr="http://ecx.images-amazon.com/images/I/5135RWS0CAL.jpg" id="0" name="Picture"/>
                    <pic:cNvPicPr>
                      <a:picLocks noChangeArrowheads="1" noChangeAspect="1"/>
                    </pic:cNvPicPr>
                  </pic:nvPicPr>
                  <pic:blipFill>
                    <a:blip r:embed="rId38"/>
                    <a:stretch>
                      <a:fillRect/>
                    </a:stretch>
                  </pic:blipFill>
                  <pic:spPr bwMode="auto">
                    <a:xfrm>
                      <a:off x="0" y="0"/>
                      <a:ext cx="4406900" cy="6350000"/>
                    </a:xfrm>
                    <a:prstGeom prst="rect">
                      <a:avLst/>
                    </a:prstGeom>
                    <a:noFill/>
                    <a:ln w="9525">
                      <a:noFill/>
                      <a:headEnd/>
                      <a:tailEnd/>
                    </a:ln>
                  </pic:spPr>
                </pic:pic>
              </a:graphicData>
            </a:graphic>
          </wp:inline>
        </w:drawing>
      </w:r>
    </w:p>
    <w:p>
      <w:pPr>
        <w:pStyle w:val="BodyText"/>
      </w:pPr>
      <w:r>
        <w:drawing>
          <wp:inline>
            <wp:extent cx="4368800" cy="6350000"/>
            <wp:effectExtent b="0" l="0" r="0" t="0"/>
            <wp:docPr descr="" id="1" name="Picture"/>
            <a:graphic>
              <a:graphicData uri="http://schemas.openxmlformats.org/drawingml/2006/picture">
                <pic:pic>
                  <pic:nvPicPr>
                    <pic:cNvPr descr="http://ecx.images-amazon.com/images/I/51d-MSiKXvL.jpg" id="0" name="Picture"/>
                    <pic:cNvPicPr>
                      <a:picLocks noChangeArrowheads="1" noChangeAspect="1"/>
                    </pic:cNvPicPr>
                  </pic:nvPicPr>
                  <pic:blipFill>
                    <a:blip r:embed="rId41"/>
                    <a:stretch>
                      <a:fillRect/>
                    </a:stretch>
                  </pic:blipFill>
                  <pic:spPr bwMode="auto">
                    <a:xfrm>
                      <a:off x="0" y="0"/>
                      <a:ext cx="4368800" cy="6350000"/>
                    </a:xfrm>
                    <a:prstGeom prst="rect">
                      <a:avLst/>
                    </a:prstGeom>
                    <a:noFill/>
                    <a:ln w="9525">
                      <a:noFill/>
                      <a:headEnd/>
                      <a:tailEnd/>
                    </a:ln>
                  </pic:spPr>
                </pic:pic>
              </a:graphicData>
            </a:graphic>
          </wp:inline>
        </w:drawing>
      </w:r>
    </w:p>
    <w:p>
      <w:pPr>
        <w:pStyle w:val="BodyText"/>
      </w:pPr>
      <w:r>
        <w:drawing>
          <wp:inline>
            <wp:extent cx="4483100" cy="6350000"/>
            <wp:effectExtent b="0" l="0" r="0" t="0"/>
            <wp:docPr descr="" id="1" name="Picture"/>
            <a:graphic>
              <a:graphicData uri="http://schemas.openxmlformats.org/drawingml/2006/picture">
                <pic:pic>
                  <pic:nvPicPr>
                    <pic:cNvPr descr="http://ecx.images-amazon.com/images/I/51n5B0RaZBL.jpg" id="0" name="Picture"/>
                    <pic:cNvPicPr>
                      <a:picLocks noChangeArrowheads="1" noChangeAspect="1"/>
                    </pic:cNvPicPr>
                  </pic:nvPicPr>
                  <pic:blipFill>
                    <a:blip r:embed="rId44"/>
                    <a:stretch>
                      <a:fillRect/>
                    </a:stretch>
                  </pic:blipFill>
                  <pic:spPr bwMode="auto">
                    <a:xfrm>
                      <a:off x="0" y="0"/>
                      <a:ext cx="4483100" cy="6350000"/>
                    </a:xfrm>
                    <a:prstGeom prst="rect">
                      <a:avLst/>
                    </a:prstGeom>
                    <a:noFill/>
                    <a:ln w="9525">
                      <a:noFill/>
                      <a:headEnd/>
                      <a:tailEnd/>
                    </a:ln>
                  </pic:spPr>
                </pic:pic>
              </a:graphicData>
            </a:graphic>
          </wp:inline>
        </w:drawing>
      </w:r>
    </w:p>
    <w:p>
      <w:pPr>
        <w:pStyle w:val="Heading2"/>
      </w:pPr>
      <w:bookmarkStart w:id="45" w:name="act"/>
      <w:bookmarkEnd w:id="45"/>
      <w:r>
        <w:t xml:space="preserve">ACT関連</w:t>
      </w:r>
    </w:p>
    <w:p>
      <w:pPr>
        <w:pStyle w:val="FirstParagraph"/>
      </w:pPr>
      <w:r>
        <w:drawing>
          <wp:inline>
            <wp:extent cx="4305300" cy="6337300"/>
            <wp:effectExtent b="0" l="0" r="0" t="0"/>
            <wp:docPr descr="" id="1" name="Picture"/>
            <a:graphic>
              <a:graphicData uri="http://schemas.openxmlformats.org/drawingml/2006/picture">
                <pic:pic>
                  <pic:nvPicPr>
                    <pic:cNvPr descr="http://ecx.images-amazon.com/images/I/41BHKYIDjML._SX337_BO1,204,203,200_.jpg" id="0" name="Picture"/>
                    <pic:cNvPicPr>
                      <a:picLocks noChangeArrowheads="1" noChangeAspect="1"/>
                    </pic:cNvPicPr>
                  </pic:nvPicPr>
                  <pic:blipFill>
                    <a:blip r:embed="rId48"/>
                    <a:stretch>
                      <a:fillRect/>
                    </a:stretch>
                  </pic:blipFill>
                  <pic:spPr bwMode="auto">
                    <a:xfrm>
                      <a:off x="0" y="0"/>
                      <a:ext cx="4305300" cy="6337300"/>
                    </a:xfrm>
                    <a:prstGeom prst="rect">
                      <a:avLst/>
                    </a:prstGeom>
                    <a:noFill/>
                    <a:ln w="9525">
                      <a:noFill/>
                      <a:headEnd/>
                      <a:tailEnd/>
                    </a:ln>
                  </pic:spPr>
                </pic:pic>
              </a:graphicData>
            </a:graphic>
          </wp:inline>
        </w:drawing>
      </w:r>
    </w:p>
    <w:p>
      <w:pPr>
        <w:pStyle w:val="BodyText"/>
      </w:pPr>
      <w:r>
        <w:drawing>
          <wp:inline>
            <wp:extent cx="4470400" cy="6350000"/>
            <wp:effectExtent b="0" l="0" r="0" t="0"/>
            <wp:docPr descr="" id="1" name="Picture"/>
            <a:graphic>
              <a:graphicData uri="http://schemas.openxmlformats.org/drawingml/2006/picture">
                <pic:pic>
                  <pic:nvPicPr>
                    <pic:cNvPr descr="http://ecx.images-amazon.com/images/I/412AsjjNSnL.jpg" id="0" name="Picture"/>
                    <pic:cNvPicPr>
                      <a:picLocks noChangeArrowheads="1" noChangeAspect="1"/>
                    </pic:cNvPicPr>
                  </pic:nvPicPr>
                  <pic:blipFill>
                    <a:blip r:embed="rId51"/>
                    <a:stretch>
                      <a:fillRect/>
                    </a:stretch>
                  </pic:blipFill>
                  <pic:spPr bwMode="auto">
                    <a:xfrm>
                      <a:off x="0" y="0"/>
                      <a:ext cx="4470400" cy="635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0efb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7944f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b17d1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心理学講読2016</dc:title>
  <dc:creator>竹林由武</dc:creator>
  <dcterms:created xsi:type="dcterms:W3CDTF">2016-04-06</dcterms:created>
  <dcterms:modified xsi:type="dcterms:W3CDTF">2016-04-06</dcterms:modified>
</cp:coreProperties>
</file>