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18C82B1D"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w:t>
      </w:r>
      <w:proofErr w:type="spellStart"/>
      <w:r>
        <w:rPr>
          <w:rFonts w:ascii="Times New Roman" w:hAnsi="Times New Roman" w:cs="Times New Roman"/>
        </w:rPr>
        <w:t>choloroform</w:t>
      </w:r>
      <w:proofErr w:type="spellEnd"/>
      <w:r>
        <w:rPr>
          <w:rFonts w:ascii="Times New Roman" w:hAnsi="Times New Roman" w:cs="Times New Roman"/>
        </w:rPr>
        <w:t xml:space="preserve"> to obtain higher quality samples, than compared to standard lab practices. Tail tips were collected at wean (4 weeks) and digested using proteinase K overnight. Samples were cools to room temperature before protein precipitation solution containing </w:t>
      </w:r>
      <w:proofErr w:type="gramStart"/>
      <w:r>
        <w:rPr>
          <w:rFonts w:ascii="Times New Roman" w:hAnsi="Times New Roman" w:cs="Times New Roman"/>
        </w:rPr>
        <w:t>5M ammonium</w:t>
      </w:r>
      <w:proofErr w:type="gramEnd"/>
      <w:r>
        <w:rPr>
          <w:rFonts w:ascii="Times New Roman" w:hAnsi="Times New Roman" w:cs="Times New Roman"/>
        </w:rPr>
        <w:t xml:space="preserve"> acetate was added, </w:t>
      </w:r>
      <w:proofErr w:type="spellStart"/>
      <w:r>
        <w:rPr>
          <w:rFonts w:ascii="Times New Roman" w:hAnsi="Times New Roman" w:cs="Times New Roman"/>
        </w:rPr>
        <w:t>vortexed</w:t>
      </w:r>
      <w:proofErr w:type="spellEnd"/>
      <w:r>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Samples for 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C383D93"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proofErr w:type="gramStart"/>
      <w:r w:rsidR="00CE09FB">
        <w:rPr>
          <w:rFonts w:ascii="Times New Roman" w:hAnsi="Times New Roman" w:cs="Times New Roman"/>
        </w:rPr>
        <w:t>were</w:t>
      </w:r>
      <w:proofErr w:type="gramEnd"/>
      <w:r w:rsidR="00CE09FB">
        <w:rPr>
          <w:rFonts w:ascii="Times New Roman" w:hAnsi="Times New Roman" w:cs="Times New Roman"/>
        </w:rPr>
        <w:t xml:space="preserv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lastRenderedPageBreak/>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proofErr w:type="spellStart"/>
      <w:r w:rsidR="00CE09FB">
        <w:rPr>
          <w:rFonts w:ascii="Times New Roman" w:hAnsi="Times New Roman" w:cs="Times New Roman"/>
        </w:rPr>
        <w:t>heterozygosity</w:t>
      </w:r>
      <w:proofErr w:type="spellEnd"/>
      <w:r w:rsidR="00CE09FB">
        <w:rPr>
          <w:rFonts w:ascii="Times New Roman" w:hAnsi="Times New Roman" w:cs="Times New Roman"/>
        </w:rPr>
        <w:t>,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23FE937E"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1F0514">
        <w:rPr>
          <w:rFonts w:ascii="Times New Roman" w:hAnsi="Times New Roman" w:cs="Times New Roman"/>
        </w:rPr>
        <w:t xml:space="preserve">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786D0D1B" w14:textId="39A1539C"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RNA extraction kit</w:t>
      </w:r>
    </w:p>
    <w:p w14:paraId="41356CF2" w14:textId="1E389761"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RNA quality QC </w:t>
      </w:r>
    </w:p>
    <w:p w14:paraId="7C1413D0" w14:textId="7558C464" w:rsidR="007C0D57" w:rsidRPr="007C0D57" w:rsidRDefault="007C0D57" w:rsidP="007C0D57">
      <w:pPr>
        <w:pStyle w:val="ListParagraph"/>
        <w:numPr>
          <w:ilvl w:val="0"/>
          <w:numId w:val="1"/>
        </w:numPr>
        <w:rPr>
          <w:rFonts w:ascii="Times New Roman" w:hAnsi="Times New Roman" w:cs="Times New Roman"/>
        </w:rPr>
      </w:pPr>
      <w:proofErr w:type="spellStart"/>
      <w:proofErr w:type="gramStart"/>
      <w:r w:rsidRPr="007C0D57">
        <w:rPr>
          <w:rFonts w:ascii="Times New Roman" w:hAnsi="Times New Roman" w:cs="Times New Roman"/>
        </w:rPr>
        <w:t>cDNA</w:t>
      </w:r>
      <w:proofErr w:type="spellEnd"/>
      <w:proofErr w:type="gramEnd"/>
      <w:r w:rsidRPr="007C0D57">
        <w:rPr>
          <w:rFonts w:ascii="Times New Roman" w:hAnsi="Times New Roman" w:cs="Times New Roman"/>
        </w:rPr>
        <w:t xml:space="preserve"> synthesis and library prep</w:t>
      </w:r>
    </w:p>
    <w:p w14:paraId="56C0EED8" w14:textId="66B65F1B" w:rsidR="00E47867" w:rsidRPr="007C0D57" w:rsidRDefault="00E4786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Bcl2fastq tool to convert to </w:t>
      </w:r>
      <w:proofErr w:type="spellStart"/>
      <w:r w:rsidRPr="007C0D57">
        <w:rPr>
          <w:rFonts w:ascii="Times New Roman" w:hAnsi="Times New Roman" w:cs="Times New Roman"/>
        </w:rPr>
        <w:t>fastq</w:t>
      </w:r>
      <w:proofErr w:type="spellEnd"/>
    </w:p>
    <w:p w14:paraId="4297C815" w14:textId="77777777" w:rsidR="00E47867" w:rsidRDefault="00E47867">
      <w:pPr>
        <w:rPr>
          <w:rFonts w:ascii="Times New Roman" w:hAnsi="Times New Roman" w:cs="Times New Roman"/>
        </w:rPr>
      </w:pPr>
    </w:p>
    <w:p w14:paraId="466ACAA4" w14:textId="77777777" w:rsidR="00700E94" w:rsidRDefault="00700E94">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6FC39541" w:rsidR="006729B0" w:rsidRDefault="00E47867">
      <w:pPr>
        <w:rPr>
          <w:rFonts w:ascii="Times" w:hAnsi="Times" w:cs="Times"/>
          <w:b/>
        </w:rPr>
      </w:pPr>
      <w:r>
        <w:rPr>
          <w:rFonts w:ascii="Times" w:hAnsi="Times" w:cs="Times"/>
          <w:b/>
        </w:rPr>
        <w:t>Albumin quantification</w:t>
      </w: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5CA8BBA5"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692273">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4B88DD90" w14:textId="48CCE342" w:rsidR="00692273" w:rsidRDefault="00692273">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r w:rsidR="002031A2" w:rsidRPr="002031A2">
        <w:rPr>
          <w:rFonts w:ascii="Times" w:hAnsi="Times" w:cs="Times"/>
        </w:rPr>
        <w:t>https://github.com/simecek/GFRcalc.</w:t>
      </w:r>
    </w:p>
    <w:p w14:paraId="2886E552" w14:textId="77777777" w:rsidR="00692273" w:rsidRPr="00B842DE" w:rsidRDefault="00692273" w:rsidP="00692273">
      <w:pPr>
        <w:jc w:val="both"/>
        <w:rPr>
          <w:rFonts w:ascii="Arial" w:eastAsia="Times New Roman" w:hAnsi="Arial" w:cs="Arial"/>
          <w:color w:val="000000"/>
        </w:rPr>
      </w:pPr>
    </w:p>
    <w:p w14:paraId="5A18317C" w14:textId="77777777" w:rsidR="00692273" w:rsidRDefault="00692273" w:rsidP="00692273">
      <w:pPr>
        <w:jc w:val="both"/>
        <w:rPr>
          <w:rFonts w:ascii="Arial" w:eastAsia="Times New Roman" w:hAnsi="Arial" w:cs="Arial"/>
          <w:b/>
          <w:i/>
          <w:color w:val="000000"/>
        </w:rPr>
      </w:pPr>
    </w:p>
    <w:p w14:paraId="1D17D446" w14:textId="1125A87F" w:rsidR="00942C41" w:rsidRPr="00B842DE" w:rsidRDefault="00942C41">
      <w:pPr>
        <w:rPr>
          <w:rFonts w:ascii="Times New Roman" w:hAnsi="Times New Roman" w:cs="Times New Roman"/>
        </w:rPr>
      </w:pPr>
      <w:bookmarkStart w:id="0" w:name="_GoBack"/>
      <w:bookmarkEnd w:id="0"/>
    </w:p>
    <w:sectPr w:rsidR="00942C41"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61502"/>
    <w:rsid w:val="000C1FE6"/>
    <w:rsid w:val="000C5A55"/>
    <w:rsid w:val="00134087"/>
    <w:rsid w:val="001571CD"/>
    <w:rsid w:val="001F0514"/>
    <w:rsid w:val="002031A2"/>
    <w:rsid w:val="00221912"/>
    <w:rsid w:val="00256D24"/>
    <w:rsid w:val="002A656E"/>
    <w:rsid w:val="002B3F02"/>
    <w:rsid w:val="002D1995"/>
    <w:rsid w:val="002E16F2"/>
    <w:rsid w:val="00325472"/>
    <w:rsid w:val="003351D4"/>
    <w:rsid w:val="003A13BC"/>
    <w:rsid w:val="003B1F19"/>
    <w:rsid w:val="003D3438"/>
    <w:rsid w:val="003E0AD4"/>
    <w:rsid w:val="00432142"/>
    <w:rsid w:val="004845F2"/>
    <w:rsid w:val="00556A85"/>
    <w:rsid w:val="005A1049"/>
    <w:rsid w:val="006729B0"/>
    <w:rsid w:val="00692273"/>
    <w:rsid w:val="006D0762"/>
    <w:rsid w:val="006D65C4"/>
    <w:rsid w:val="006E3264"/>
    <w:rsid w:val="00700E94"/>
    <w:rsid w:val="00770B5B"/>
    <w:rsid w:val="007C0D57"/>
    <w:rsid w:val="00842C7A"/>
    <w:rsid w:val="00847822"/>
    <w:rsid w:val="00942C41"/>
    <w:rsid w:val="00947F03"/>
    <w:rsid w:val="00992DD2"/>
    <w:rsid w:val="009978AB"/>
    <w:rsid w:val="009B05F1"/>
    <w:rsid w:val="00A1763C"/>
    <w:rsid w:val="00A50825"/>
    <w:rsid w:val="00A67B74"/>
    <w:rsid w:val="00A9438C"/>
    <w:rsid w:val="00AC17B7"/>
    <w:rsid w:val="00AC62F1"/>
    <w:rsid w:val="00B842DE"/>
    <w:rsid w:val="00B9240E"/>
    <w:rsid w:val="00CB2259"/>
    <w:rsid w:val="00CE09FB"/>
    <w:rsid w:val="00D34390"/>
    <w:rsid w:val="00DB4ADC"/>
    <w:rsid w:val="00DE4259"/>
    <w:rsid w:val="00E3499F"/>
    <w:rsid w:val="00E47867"/>
    <w:rsid w:val="00E762CB"/>
    <w:rsid w:val="00E9624D"/>
    <w:rsid w:val="00EC5F47"/>
    <w:rsid w:val="00EE7524"/>
    <w:rsid w:val="00EF5361"/>
    <w:rsid w:val="00F104F2"/>
    <w:rsid w:val="00FD1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1230</Words>
  <Characters>7015</Characters>
  <Application>Microsoft Macintosh Word</Application>
  <DocSecurity>0</DocSecurity>
  <Lines>58</Lines>
  <Paragraphs>16</Paragraphs>
  <ScaleCrop>false</ScaleCrop>
  <Company>The Jackson Laboratory</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19</cp:revision>
  <dcterms:created xsi:type="dcterms:W3CDTF">2017-02-07T17:55:00Z</dcterms:created>
  <dcterms:modified xsi:type="dcterms:W3CDTF">2017-02-10T14:27:00Z</dcterms:modified>
</cp:coreProperties>
</file>