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3"/>
      </w:pPr>
      <w:r>
        <w:t>DOT AI 跨境汇款与个人财务助手</w:t>
      </w:r>
    </w:p>
    <w:p>
      <w:pPr>
        <w:pStyle w:val="a5"/>
      </w:pPr>
      <w:r>
        <w:t>NON on-chain 功能需求说明书</w:t>
      </w:r>
    </w:p>
    <w:p>
      <w:pPr>
        <w:pStyle w:val="a5"/>
      </w:pPr>
      <w:r>
        <w:t>版本 5.0 中文修订版    2026 年 10 月 20 日</w:t>
      </w:r>
    </w:p>
    <w:p>
      <w:r>
        <w:t>本项目面向有跨币种生活、学习及汇款需求的用户，帮助用户理解汇率与费用、规划资金、准备银行转账资料，并管理日常开销和提醒。产品采用 NON on-chain 方向，不要求区块链钱包、链上交易或 AI 自主付款。</w:t>
      </w:r>
    </w:p>
    <w:p>
      <w:r>
        <w:t>AI 的工作是理解请求、给出可检查的计划、调用信息与记录工具、解释结果。用户自行在银行或汇款机构完成实际支付。本地模拟支付用于展示流程和异常恢复，不能作为真实汇款证明。项目中的“执行”指查询、计算、创建待审核记录、生成资料和提醒等应用操作。</w:t>
      </w:r>
    </w:p>
    <w:p>
      <w:pPr>
        <w:pStyle w:val="2"/>
      </w:pPr>
      <w:r>
        <w:t>1 本次范围调整</w:t>
      </w:r>
    </w:p>
    <w:p>
      <w:pPr>
        <w:spacing w:after="100"/>
        <w:ind w:left="200" w:hanging="200"/>
      </w:pPr>
      <w:r>
        <w:t>• 删除原需求中的 AI 支付权限分级、支付授权委托、自动扣款、自动换汇及自主资金执行目标。账户登录、数据访问控制和日志保护仍是软件安全要求。</w:t>
      </w:r>
    </w:p>
    <w:p>
      <w:pPr>
        <w:spacing w:after="100"/>
        <w:ind w:left="200" w:hanging="200"/>
      </w:pPr>
      <w:r>
        <w:t>• 链上钱包、私钥托管、签名广播、Gas、链上限额和链上交易回执不纳入本版交付范围，也不作为功能缺失扣分项。</w:t>
      </w:r>
    </w:p>
    <w:p>
      <w:pPr>
        <w:spacing w:after="100"/>
        <w:ind w:left="200" w:hanging="200"/>
      </w:pPr>
      <w:r>
        <w:t>• 将原先必须连接外部服务商沙箱的首发门槛，调整为信息分析与规划闭环；第三方沙箱接入成为可选扩展，本地模拟必须明确标注。</w:t>
      </w:r>
    </w:p>
    <w:p>
      <w:pPr>
        <w:spacing w:after="100"/>
        <w:ind w:left="200" w:hanging="200"/>
      </w:pPr>
      <w:r>
        <w:t>• 将消费记账、学生理财、银行模板、汇率盯盘、成长激励及邮件报告纳入正式功能范围。</w:t>
      </w:r>
    </w:p>
    <w:p>
      <w:pPr>
        <w:spacing w:after="100"/>
        <w:ind w:left="200" w:hanging="200"/>
      </w:pPr>
      <w:r>
        <w:t>• 将建议增加但尚未形成完整实现的能力列入独立需求清单，不与当前能力混写。</w:t>
      </w:r>
    </w:p>
    <w:p>
      <w:pPr>
        <w:pStyle w:val="2"/>
      </w:pPr>
      <w:r>
        <w:t>2 状态与验收口径</w:t>
      </w:r>
    </w:p>
    <w:p>
      <w:r>
        <w:t>“已实现”表示当前代码存在相关功能；“待外部验收”表示仍需实际模型、行情、SMTP 等依赖验证；“本地模拟”表示不发生真实资金移动；“建议新增”表示尚未形成本文定义的完整闭环。代码实现和实际可用性分别验收。</w:t>
      </w:r>
    </w:p>
    <w:p>
      <w:r>
        <w:t>当前工程检查基线为 15 个业务视图、40 个 Agent 工具及 163 项通过的 Python 测试。该结果来自 2026 年 10 月 20 日的前次检查，不能替代浏览器、外部服务或实际用户验收。本版需求替代 v4.0 的范围与优先级；既有评分报告依据旧范围计算，应另行重评，不沿用其自主付款扣分。</w:t>
      </w:r>
    </w:p>
    <w:p>
      <w:r>
        <w:t>本文描述产品需求变更，不代表历史实现已经从代码仓库彻底清理。遗留支付授权和 EVM 实现须按第 9 节进行交付隔离或清理。本次只修订文档。</w:t>
      </w:r>
    </w:p>
    <w:p>
      <w:r>
        <w:br w:type="page"/>
      </w:r>
    </w:p>
    <w:p>
      <w:pPr>
        <w:pStyle w:val="1"/>
      </w:pPr>
      <w:r>
        <w:t>3 用户问题与核心体验</w:t>
      </w:r>
    </w:p>
    <w:p>
      <w:pPr>
        <w:pStyle w:val="2"/>
      </w:pPr>
      <w:r>
        <w:t>3 1 用户与场景</w:t>
      </w:r>
    </w:p>
    <w:p>
      <w:r>
        <w:t>目标用户包括向家人汇款的人、海外工作者、国际学生、自由职业者及需要跨币种生活规划的人。国籍、语言、居住地和汇款地区分别记录，不根据姓名或语言推断付款资格。</w:t>
      </w:r>
    </w:p>
    <w:p>
      <w:r>
        <w:t>用户通常需要同时回答四个问题：现在换汇是否合适；扣除费用后预计能收到多少；这笔支出会不会影响房租或学费；应准备哪些银行资料。项目将这些问题连接到个人现金流和提醒，而不是连接到 AI 自动付款。</w:t>
      </w:r>
    </w:p>
    <w:p>
      <w:pPr>
        <w:pStyle w:val="2"/>
      </w:pPr>
      <w:r>
        <w:t>3 2 标准使用流程</w:t>
      </w:r>
    </w:p>
    <w:p>
      <w:r>
        <w:t>1. 用户用自然语言说明金额、币种、用途及截止日期；系统追问缺失信息，显示所理解的需求。</w:t>
      </w:r>
    </w:p>
    <w:p>
      <w:r>
        <w:t>2. 工具查询带来源和时间的参考汇率，计算历史位置、费用情景及资金缺口；不可用数据明确显示不可用。</w:t>
      </w:r>
    </w:p>
    <w:p>
      <w:r>
        <w:t>3. 系统展示方案和假设，用户调整金额、时间、安全垫或目标；接受方案只保存计划，不扣款。</w:t>
      </w:r>
    </w:p>
    <w:p>
      <w:r>
        <w:t>4. 系统生成待核对的银行资料和指令单，或创建汇率、学费及申请截止提醒。用户核对后自行前往银行渠道操作。</w:t>
      </w:r>
    </w:p>
    <w:p>
      <w:r>
        <w:t>5. 用户继续记账和更新计划。未来的人工实际汇款记录应与模拟记录分开，详细要求见第 9 节。</w:t>
      </w:r>
    </w:p>
    <w:p>
      <w:pPr>
        <w:pStyle w:val="2"/>
      </w:pPr>
      <w:r>
        <w:t>3 3 必须区分的数据</w:t>
      </w:r>
    </w:p>
    <w:p>
      <w:pPr>
        <w:spacing w:after="100"/>
        <w:ind w:left="200" w:hanging="200"/>
      </w:pPr>
      <w:r>
        <w:t>• 参考汇率是数据源提供的观察值，不是银行承诺成交价；日参考数据不得标成实时可成交价格。</w:t>
      </w:r>
    </w:p>
    <w:p>
      <w:pPr>
        <w:spacing w:after="100"/>
        <w:ind w:left="200" w:hanging="200"/>
      </w:pPr>
      <w:r>
        <w:t>• 模拟方案和本地模拟报价用于比较与演示，不代表服务商已经提供报价或接受支付。</w:t>
      </w:r>
    </w:p>
    <w:p>
      <w:pPr>
        <w:spacing w:after="100"/>
        <w:ind w:left="200" w:hanging="200"/>
      </w:pPr>
      <w:r>
        <w:t>• 用户自填现金及导入账单是规划依据，不证明银行当前可用余额；计划中的奖学金和收入不是已到账资金。</w:t>
      </w:r>
    </w:p>
    <w:p>
      <w:pPr>
        <w:spacing w:after="100"/>
        <w:ind w:left="200" w:hanging="200"/>
      </w:pPr>
      <w:r>
        <w:t>• 预测、情景计算、内部习惯指标和模型解释各有标签，不得呈现为保证收益、官方信用评分或已发生交易。</w:t>
      </w:r>
    </w:p>
    <w:p>
      <w:pPr>
        <w:pStyle w:val="2"/>
      </w:pPr>
      <w:r>
        <w:t>3 4 产品价值验证</w:t>
      </w:r>
    </w:p>
    <w:p>
      <w:r>
        <w:t>用户应能看懂净到账金额的计算依据，识别计划的资金缺口，找到所需转账资料，并知道下一步需要由自己完成什么。评估记录任务完成率、金额与币种错误、来源理解、提醒有效性和用户反馈；节省费用或改善习惯的效果需由实际使用证据支持。</w:t>
      </w:r>
    </w:p>
    <w:p>
      <w:r>
        <w:br w:type="page"/>
      </w:r>
    </w:p>
    <w:p>
      <w:pPr>
        <w:pStyle w:val="1"/>
      </w:pPr>
      <w:r>
        <w:t>4 汇率分析与汇款规划</w:t>
      </w:r>
    </w:p>
    <w:p>
      <w:r>
        <w:t>本节承接原 4.1—4.6 模块。除明确标为建议新增的内容外，以下能力已有代码实现；外部数据可用性须单独验收。</w:t>
      </w:r>
    </w:p>
    <w:p>
      <w:pPr>
        <w:pStyle w:val="2"/>
      </w:pPr>
      <w:r>
        <w:t>FR01 资金与汇款需求</w:t>
      </w:r>
    </w:p>
    <w:p>
      <w:r>
        <w:t>记录持有币种、发送及接收地区、金额、用途、收款对象、语言和期望日期。支持固定发送额及在费用模型支持时反算目标接收额。对币种、金额、日期或对象不明确的请求先追问。示例：“我需要在月底前准备 5,000 元人民币，帮我比较澳元换汇方案，并计算学费后的余额。”</w:t>
      </w:r>
    </w:p>
    <w:p>
      <w:r>
        <w:t>验收：同一请求在聊天与表单中形成一致的结构化信息；缺少关键字段时不生成看似完整的转账指令。</w:t>
      </w:r>
    </w:p>
    <w:p>
      <w:pPr>
        <w:pStyle w:val="2"/>
      </w:pPr>
      <w:r>
        <w:t>FR02 地区与路线配置</w:t>
      </w:r>
    </w:p>
    <w:p>
      <w:r>
        <w:t>提供地区、币种、语言和路线能力配置，优先展示 APEC 相关场景。参考查询、历史数据、模拟比较与本地模拟支付分别标记。启用地区模板不表示银行或汇款机构支持该地区。</w:t>
      </w:r>
    </w:p>
    <w:p>
      <w:r>
        <w:t>验收：禁用或不支持的路线明确说明原因，不能因模板存在就宣称可真实汇款。</w:t>
      </w:r>
    </w:p>
    <w:p>
      <w:pPr>
        <w:pStyle w:val="2"/>
      </w:pPr>
      <w:r>
        <w:t>FR03 最新参考汇率</w:t>
      </w:r>
    </w:p>
    <w:p>
      <w:r>
        <w:t>展示数据源、报价方向、观察时间和更新频率。现有来源包括 ECB 及明确标注的 Frankfurter 回退数据；经共同基准币推导的汇率需标明推导关系。来源失败不伪造真实数据。</w:t>
      </w:r>
    </w:p>
    <w:p>
      <w:r>
        <w:t>验收：用户能区分观察时间与查询时间；切换方向后计算一致；模拟测试值不得混入真实行情标签。</w:t>
      </w:r>
    </w:p>
    <w:p>
      <w:pPr>
        <w:pStyle w:val="2"/>
      </w:pPr>
      <w:r>
        <w:t>FR04 历史分析</w:t>
      </w:r>
    </w:p>
    <w:p>
      <w:r>
        <w:t>支持 30 天、90 天和一年等窗口，展示趋势、最小值、最大值、均值、分位和数据覆盖。解释与换汇方向绑定，历史高位不等于未来上涨概率。</w:t>
      </w:r>
    </w:p>
    <w:p>
      <w:r>
        <w:t>验收：稀疏数据和缺失交易日有说明；历史不可用不阻断用户保存计划。</w:t>
      </w:r>
    </w:p>
    <w:p>
      <w:pPr>
        <w:pStyle w:val="2"/>
      </w:pPr>
      <w:r>
        <w:t>FR05 实验预测与情景计算</w:t>
      </w:r>
    </w:p>
    <w:p>
      <w:r>
        <w:t>已有实验性 7 天预测、历史回测误差、与不变汇率基线的比较及区间信息；数据不足时停止输出。30 天预测仍为后续候选功能。情景计算独立展示，例如汇率不利变化 3% 对资金缺口的影响。</w:t>
      </w:r>
    </w:p>
    <w:p>
      <w:r>
        <w:t>验收：显示数据截止日、预测期限及评估依据；模型不能补写缺失预测值，预测区间不应解释为收益保证。</w:t>
      </w:r>
    </w:p>
    <w:p>
      <w:pPr>
        <w:pStyle w:val="2"/>
      </w:pPr>
      <w:r>
        <w:t>FR06 方案与总成本比较</w:t>
      </w:r>
    </w:p>
    <w:p>
      <w:r>
        <w:t>比较固定费、比例费、适用汇率、价差、预计接收额与时效，可按接收额或速度排序。当前存在参考计算、模拟选项与本地模拟报价，尚未接入经验证的外部可成交报价。未知中转行或收款行费用必须提示。</w:t>
      </w:r>
    </w:p>
    <w:p>
      <w:r>
        <w:t>验收：费用计算可复核；方案来源清楚；用户可从方案继续到目标规划或模板资料准备。</w:t>
      </w:r>
    </w:p>
    <w:p>
      <w:r>
        <w:br w:type="page"/>
      </w:r>
    </w:p>
    <w:p>
      <w:pPr>
        <w:pStyle w:val="1"/>
      </w:pPr>
      <w:r>
        <w:t>5 资金记录与本地演示</w:t>
      </w:r>
    </w:p>
    <w:p>
      <w:r>
        <w:t>本节修订原 4.7、4.8、4.10—4.13。原支付权限分级取消；应用数据校验、用户核对和审计保留。</w:t>
      </w:r>
    </w:p>
    <w:p>
      <w:pPr>
        <w:pStyle w:val="2"/>
      </w:pPr>
      <w:r>
        <w:t>FR07 多币种资金记录</w:t>
      </w:r>
    </w:p>
    <w:p>
      <w:r>
        <w:t>分别展示每币种记录余额、可用值和本地模拟中的预留资金。参考等值须附汇率来源，不直接相加不同币种。用户自填资金与模拟账本独立标记；自填资金不是系统托管钱包。</w:t>
      </w:r>
    </w:p>
    <w:p>
      <w:r>
        <w:t>验收：模拟充值或模拟交易不能被显示成真实银行资产变化；同一资产不得因账单导入与手工填写被无提示地重复计入。</w:t>
      </w:r>
    </w:p>
    <w:p>
      <w:pPr>
        <w:pStyle w:val="2"/>
      </w:pPr>
      <w:r>
        <w:t>FR08 目标与预算</w:t>
      </w:r>
    </w:p>
    <w:p>
      <w:r>
        <w:t>记录目标金额、币种、用途和期限，支持收入、开销、安全垫及一次性或分期情景。展示缺口、所需准备金额及时间安排。接受或修改计划只改变规划数据。</w:t>
      </w:r>
    </w:p>
    <w:p>
      <w:r>
        <w:t>验收：已确认支出、未来预计支出与模拟付款有清楚的数据口径；所有推算说明汇率和收入假设。</w:t>
      </w:r>
    </w:p>
    <w:p>
      <w:pPr>
        <w:pStyle w:val="2"/>
      </w:pPr>
      <w:r>
        <w:t>FR09 输入与结果校验</w:t>
      </w:r>
    </w:p>
    <w:p>
      <w:r>
        <w:t>用后端规则检查金额、币种、日期、必填字段、支持路线和银行字段格式；记录类操作保留审核过程。模型输出及导入文件均视为待校验输入。用户确认模板信息属于资料核对，不是向 AI 授予扣款权。</w:t>
      </w:r>
    </w:p>
    <w:p>
      <w:r>
        <w:t>验收：非法金额被拒绝；待审核内容可修改；聊天中的“好的”不构成付款指令。系统不提供 AI 支付授权等级、自动扣款委托或自行提高限额的产品入口。</w:t>
      </w:r>
    </w:p>
    <w:p>
      <w:pPr>
        <w:pStyle w:val="2"/>
      </w:pPr>
      <w:r>
        <w:t>FR10 本地模拟支付</w:t>
      </w:r>
    </w:p>
    <w:p>
      <w:r>
        <w:t>当前实现保留草稿、用户操作、提交、处理中、未知、完成及失败等演示状态，以及幂等、资金预留和对账逻辑。仅用于演示应用如何处理重复请求和不确定结果，不作为本版核心成功标准。</w:t>
      </w:r>
    </w:p>
    <w:p>
      <w:r>
        <w:t>验收：页面、记录和回执均标明本地模拟；未知结果不能直接当作失败重付；终态只能结算一次。任何用户按钮只能操作模拟账本，不应被理解为授权 AI 实际付款。旧版演示里的授权步骤不再是本版 AI 功能要求。</w:t>
      </w:r>
    </w:p>
    <w:p>
      <w:pPr>
        <w:pStyle w:val="2"/>
      </w:pPr>
      <w:r>
        <w:t>FR11 决策记录与历史</w:t>
      </w:r>
    </w:p>
    <w:p>
      <w:r>
        <w:t>区分接受建议、确认资料、修改计划和本地模拟操作。保留对应版本、时间及结果；修改金额或收款资料后重新标为待核对。历史数据不因今日汇率变化而被重写。</w:t>
      </w:r>
    </w:p>
    <w:p>
      <w:r>
        <w:t>验收：用户能看出“计划”“模拟完成”与未来的“用户记录实际完成”之间的区别。</w:t>
      </w:r>
    </w:p>
    <w:p>
      <w:pPr>
        <w:pStyle w:val="2"/>
      </w:pPr>
      <w:r>
        <w:t>FR12 审计日志</w:t>
      </w:r>
    </w:p>
    <w:p>
      <w:r>
        <w:t>记录请求、工具、关键修改、校验、错误恢复及关联标识；敏感字段脱敏，不记录凭据。现有审计通过应用层追加及数据库限制保护，不宣称密码学不可篡改。</w:t>
      </w:r>
    </w:p>
    <w:p>
      <w:r>
        <w:t>验收：可以还原一条需求从理解、计算、资料准备到保存结果的过程；审计访问与普通数据访问均受应用控制。</w:t>
      </w:r>
    </w:p>
    <w:p>
      <w:r>
        <w:br w:type="page"/>
      </w:r>
    </w:p>
    <w:p>
      <w:pPr>
        <w:pStyle w:val="1"/>
      </w:pPr>
      <w:r>
        <w:t>6 AI 工具与记忆</w:t>
      </w:r>
    </w:p>
    <w:p>
      <w:r>
        <w:t>本节扩充原 4.9。当前为单一 Agent 编排器结合规则回退及业务工具，并非已实现多个独立 Agent 相互协作。</w:t>
      </w:r>
    </w:p>
    <w:p>
      <w:pPr>
        <w:pStyle w:val="2"/>
      </w:pPr>
      <w:r>
        <w:t>FR13 可检查的规划过程</w:t>
      </w:r>
    </w:p>
    <w:p>
      <w:r>
        <w:t>系统先记录意图、金额币种、缺失字段和计划步骤，再调用白名单工具。前端通过 SSE 展示阶段、工具和结果事件。这是工作进度可视化，不意味着暴露模型内部推理，也不等于逐字生成流。</w:t>
      </w:r>
    </w:p>
    <w:p>
      <w:r>
        <w:t>已配置支持工具调用的兼容模型时进行模型编排；未配置时使用规则规划器并明确标注规则模式。模型调用失败应给出可理解的状态，不伪装成成功。</w:t>
      </w:r>
    </w:p>
    <w:p>
      <w:pPr>
        <w:pStyle w:val="2"/>
      </w:pPr>
      <w:r>
        <w:t>FR14 业务工具</w:t>
      </w:r>
    </w:p>
    <w:p>
      <w:r>
        <w:t>当前 40 个工具涵盖汇率查询、历史分析、实验预测、方案比较、余额与目标查询、现金流、支出记录、奖学金、模板草拟、盯盘、提醒及记忆等。金额计算和业务规则由程序处理，模型负责选择工具及说明结果。</w:t>
      </w:r>
    </w:p>
    <w:p>
      <w:r>
        <w:t>代表工具包括 latest_rate、rate_history、compare_options、cashflow_plan、afford_check、log_expense、draft_transfer_template、watch_exchange 和 recall_memory。prepare_payment 等历史名称对应本地模拟草稿，不代表真实支付工具。产品交付应避免此类名称误导用户。</w:t>
      </w:r>
    </w:p>
    <w:p>
      <w:r>
        <w:t>边界：不向 AI 提供付款批准、真实提交、自动换汇或扣款工具。资料与账目写入按各模块的审核规则处理；邮件发送属于可选通知能力，须受收件地址与通知设置约束。</w:t>
      </w:r>
    </w:p>
    <w:p>
      <w:pPr>
        <w:pStyle w:val="2"/>
      </w:pPr>
      <w:r>
        <w:t>FR15 三层记忆</w:t>
      </w:r>
    </w:p>
    <w:p>
      <w:r>
        <w:t>短期对话保存最近上下文；长期笔记记录偏好、人物与习惯；经历记录保存任务及工具结果。当前近期上下文默认取 12 条消息，长期有效笔记上限 200 条、单条 3—300 字符。检索使用词匹配及中日韩字符组合，不是向量语义检索。</w:t>
      </w:r>
    </w:p>
    <w:p>
      <w:r>
        <w:t>用户可以查看和遗忘笔记。现有遗忘主要将笔记标为失效，不等于同时物理删除对话、经历及备份；完整删除属于建议新增要求。记忆不能替代当前行情、账本或已确认模板作为事实来源。</w:t>
      </w:r>
    </w:p>
    <w:p>
      <w:pPr>
        <w:pStyle w:val="2"/>
      </w:pPr>
      <w:r>
        <w:t>验收场景</w:t>
      </w:r>
    </w:p>
    <w:p>
      <w:pPr>
        <w:spacing w:after="100"/>
        <w:ind w:left="200" w:hanging="200"/>
      </w:pPr>
      <w:r>
        <w:t>• 用户说“下月要交学费”，系统补问币种、金额及日期，并调用现金流工具而非猜测余额。</w:t>
      </w:r>
    </w:p>
    <w:p>
      <w:pPr>
        <w:spacing w:after="100"/>
        <w:ind w:left="200" w:hanging="200"/>
      </w:pPr>
      <w:r>
        <w:t>• CSV、小票或工具结果含有“忽略规则”“自动付款”等文字时，仍作为数据处理，不能扩大工具能力。</w:t>
      </w:r>
    </w:p>
    <w:p>
      <w:pPr>
        <w:spacing w:after="100"/>
        <w:ind w:left="200" w:hanging="200"/>
      </w:pPr>
      <w:r>
        <w:t>• 未配置模型时明确标识规则模式；查询失败时不生成虚构报价。</w:t>
      </w:r>
    </w:p>
    <w:p>
      <w:pPr>
        <w:spacing w:after="100"/>
        <w:ind w:left="200" w:hanging="200"/>
      </w:pPr>
      <w:r>
        <w:t>• 用户修改偏好后后续回答采用新值；遗忘操作显示实际作用范围。</w:t>
      </w:r>
    </w:p>
    <w:p>
      <w:r>
        <w:t>多 Agent 分工可作为后续架构实验，但不是当前交付要求。是否采用取决于任务质量、延迟和可维护性测试，不以 Agent 数量衡量完成度。</w:t>
      </w:r>
    </w:p>
    <w:p>
      <w:r>
        <w:br w:type="page"/>
      </w:r>
    </w:p>
    <w:p>
      <w:pPr>
        <w:pStyle w:val="1"/>
      </w:pPr>
      <w:r>
        <w:t>7 新增个人财务与学生功能</w:t>
      </w:r>
    </w:p>
    <w:p>
      <w:r>
        <w:t>以下功能从辅助演示扩充为正式产品模块。已有代码不等于外部服务已经验收。</w:t>
      </w:r>
    </w:p>
    <w:p>
      <w:pPr>
        <w:pStyle w:val="2"/>
      </w:pPr>
      <w:r>
        <w:t>FR16 消费记账与审核</w:t>
      </w:r>
    </w:p>
    <w:p>
      <w:r>
        <w:t>支持银行 CSV 导入、文字快速记账、商家分类建议、疑似重复标记、批量审核、修改删除、周期预计开销及消费统计。语音输入依赖浏览器能力。导入和 AI 创建的支出先进入审核队列。</w:t>
      </w:r>
    </w:p>
    <w:p>
      <w:r>
        <w:t>验收：保留原始金额和币种；预计条目与已确认支出区分；重复导入能提示疑似重复，用户能纠正分类。银行自动同步不属于已实现能力。</w:t>
      </w:r>
    </w:p>
    <w:p>
      <w:pPr>
        <w:pStyle w:val="2"/>
      </w:pPr>
      <w:r>
        <w:t>FR17 小票识别</w:t>
      </w:r>
    </w:p>
    <w:p>
      <w:r>
        <w:t>通过视觉模型提取小票信息，用户检查后保存。该能力需要支持图像的外部模型；未配置时说明不可用。识别结果不是银行交易证明。</w:t>
      </w:r>
    </w:p>
    <w:p>
      <w:r>
        <w:t>验收：用户可改日期、商家、币种和金额；失败图片不得生成确定支出；跨语言、模糊图片及错误币种的实际识别质量仍需专项验收。</w:t>
      </w:r>
    </w:p>
    <w:p>
      <w:pPr>
        <w:pStyle w:val="2"/>
      </w:pPr>
      <w:r>
        <w:t>FR18 自填现金与资金需求</w:t>
      </w:r>
    </w:p>
    <w:p>
      <w:r>
        <w:t>记录用户持有资金、来源、币种和换汇需求，展示参考换算及目标缺口。资金来源区分手工输入、已确认记录与模拟账本。</w:t>
      </w:r>
    </w:p>
    <w:p>
      <w:r>
        <w:t>验收：用户可追溯计算采用哪些资金；界面不将自填数字称为银行验证余额。独立资产去重与完整对账见建议新增需求。</w:t>
      </w:r>
    </w:p>
    <w:p>
      <w:pPr>
        <w:pStyle w:val="2"/>
      </w:pPr>
      <w:r>
        <w:t>FR19 学期现金流与支出承受判断</w:t>
      </w:r>
    </w:p>
    <w:p>
      <w:r>
        <w:t>记录学期、学费及截止日、生活费、收入和安全垫，估算月末余额、最低点和首次缺口。“买得起吗”对比购买前后的资金走势与必要支出，说明可承担程度及假设。</w:t>
      </w:r>
    </w:p>
    <w:p>
      <w:r>
        <w:t>验收：结果能复算；收入时点与学费日期影响资金缺口；用户能看到缺失输入。此功能不审批贷款，不保证未来偿付能力。</w:t>
      </w:r>
    </w:p>
    <w:p>
      <w:pPr>
        <w:pStyle w:val="2"/>
      </w:pPr>
      <w:r>
        <w:t>FR20 奖学金与助学金跟踪</w:t>
      </w:r>
    </w:p>
    <w:p>
      <w:r>
        <w:t>记录了解、准备、申请、获得等状态及日期、材料清单，提供材料和截止提醒。已获得的奖学金按设置的发放时间进入预测；实际到账仍需用户核对。</w:t>
      </w:r>
    </w:p>
    <w:p>
      <w:r>
        <w:t>验收：未获批收入不被默认当成已到账现金；能修改截止日期与材料；系统不自动向外部机构提交申请，也不保证获得资助。</w:t>
      </w:r>
    </w:p>
    <w:p>
      <w:pPr>
        <w:pStyle w:val="2"/>
      </w:pPr>
      <w:r>
        <w:t>FR21 消费洞察与邮件报告</w:t>
      </w:r>
    </w:p>
    <w:p>
      <w:r>
        <w:t>比较近期与上一期消费，展示分类变化、订阅、频繁小额开销、预算与学费缺口。支持周月报告预览和 SMTP 邮件适配。实际投递依赖有效配置与外部验收。</w:t>
      </w:r>
    </w:p>
    <w:p>
      <w:r>
        <w:t>验收：洞察引用具体金额和时间窗；用户可控制通知；未配置 SMTP 仍能看预览，不宣称已经送达。持久重试和投递追踪属于后续需求。</w:t>
      </w:r>
    </w:p>
    <w:p>
      <w:r>
        <w:br w:type="page"/>
      </w:r>
    </w:p>
    <w:p>
      <w:pPr>
        <w:pStyle w:val="1"/>
      </w:pPr>
      <w:r>
        <w:t>8 银行资料与日常支持</w:t>
      </w:r>
    </w:p>
    <w:p>
      <w:pPr>
        <w:pStyle w:val="2"/>
      </w:pPr>
      <w:r>
        <w:t>FR22 银行转账模板</w:t>
      </w:r>
    </w:p>
    <w:p>
      <w:r>
        <w:t>支持 SWIFT、SEPA、BSB、FPS、ACH、CNAPS 和 NEFT 等字段模板及对应格式校验，保存用户确认状态，生成可复制的转账资料和文本指令。SWIFT 的 MT103 内容仅为字段预览，由实际银行生成并发送正式报文。</w:t>
      </w:r>
    </w:p>
    <w:p>
      <w:r>
        <w:t>AI 起草或银行字段变更后，模板保持待核实；用户应对照可信来源核对信息。格式通过不等于账号存在、账户归属正确或收款人可信。系统不向银行发送转账指令。</w:t>
      </w:r>
    </w:p>
    <w:p>
      <w:r>
        <w:t>验收：未核实及变更状态明显；完整账户信息只在必要的受保护资料视图展示；复制及下载内容准确标明用途。独立收款人验证与防诈骗闭环属于后续扩展。</w:t>
      </w:r>
    </w:p>
    <w:p>
      <w:pPr>
        <w:pStyle w:val="2"/>
      </w:pPr>
      <w:r>
        <w:t>FR23 汇率盯盘</w:t>
      </w:r>
    </w:p>
    <w:p>
      <w:r>
        <w:t>根据历史位置、均值偏离、近期走势、实验预测、最低接受汇率和截止日期产生判断与提醒。可使用规则及模型解释。低于用户底线不能称为好时机，临近截止不能只建议继续等待。</w:t>
      </w:r>
    </w:p>
    <w:p>
      <w:r>
        <w:t>验收：结论带数据时间及理由；没有新数据时避免反复发送相同提醒；“把握程度”不是经过校准的获利概率。盯盘只提醒，不自动换汇。持久去重、漏发追踪和跨重启恢复仍需增强。</w:t>
      </w:r>
    </w:p>
    <w:p>
      <w:pPr>
        <w:pStyle w:val="2"/>
      </w:pPr>
      <w:r>
        <w:t>FR24 付款习惯与信用教育</w:t>
      </w:r>
    </w:p>
    <w:p>
      <w:r>
        <w:t>提供义务到期、付款记录、内部一致性指标和教育说明，承接原 4.14。模拟支付不建立真实信用历史，不承诺汇款能够改善信用评分，也不表示已向征信机构报送。</w:t>
      </w:r>
    </w:p>
    <w:p>
      <w:r>
        <w:t>验收：内部指标和用户自报记录均有标签，用户能够区分教育内容与正式信用评估。</w:t>
      </w:r>
    </w:p>
    <w:p>
      <w:pPr>
        <w:pStyle w:val="2"/>
      </w:pPr>
      <w:r>
        <w:t>FR25 提醒与成长激励</w:t>
      </w:r>
    </w:p>
    <w:p>
      <w:r>
        <w:t>提醒覆盖付款期限、目标汇率、资金缺口、学费、奖学金材料及本地模拟异常。成长包含徽章、宽容连续记录、可选挑战、等级与庆祝开关。等级反映应用中的技能或习惯，不评价资产规模和信用资质。</w:t>
      </w:r>
    </w:p>
    <w:p>
      <w:r>
        <w:t>验收：用户可关闭激励和动效；挑战结束不惩罚用户；未完成支付不能因庆祝动画而显示为已付款。</w:t>
      </w:r>
    </w:p>
    <w:p>
      <w:pPr>
        <w:pStyle w:val="2"/>
      </w:pPr>
      <w:r>
        <w:t>FR26 可视化与语言</w:t>
      </w:r>
    </w:p>
    <w:p>
      <w:r>
        <w:t>当前 15 个视图覆盖总览、AI、汇款规划、模板、记账、支付演示、汇率、目标、学生理财、成长、习惯、资金、记忆、路线和审计。采用黑白点线圆设计，提供图表、阶段反馈、深色模式和减少动画支持。</w:t>
      </w:r>
    </w:p>
    <w:p>
      <w:r>
        <w:t>现有六套语言为英语、简体中文、繁体中文、越南语、日语、韩语。六语言全量内容回归、键盘与屏幕阅读器验收尚需补齐；语言文件存在不表示所有文案均已通过本地化评审。</w:t>
      </w:r>
    </w:p>
    <w:p>
      <w:r>
        <w:br w:type="page"/>
      </w:r>
    </w:p>
    <w:p>
      <w:pPr>
        <w:pStyle w:val="1"/>
      </w:pPr>
      <w:r>
        <w:t>9 建议新增的优先需求</w:t>
      </w:r>
    </w:p>
    <w:p>
      <w:r>
        <w:t>下列条目尚未形成这里定义的完整交付闭环。它们是面向 NON on-chain 产品的建议，不要求恢复 AI 支付权限或链上支付。</w:t>
      </w:r>
    </w:p>
    <w:p>
      <w:pPr>
        <w:pStyle w:val="2"/>
      </w:pPr>
      <w:r>
        <w:t>N01 清理旧支付范围    P0</w:t>
      </w:r>
    </w:p>
    <w:p>
      <w:r>
        <w:t>问题：旧文档、页面术语和历史代码可能使评委误解为托管或自动支付产品。要求：竞赛部署只开放信息、记录、规划、资料及明确的模拟演示；移除或隔离 EVM 配置与真实支付路径；删除 AI 支付授权产品入口，统一钱包和授权用语。</w:t>
      </w:r>
    </w:p>
    <w:p>
      <w:r>
        <w:t>验收：竞赛构建无法调用真实支付路径；工具列表无资金执行接口； README、页面、演示脚本和本说明一致。此项是交付清理，不表示当前遗留代码已全部删除。</w:t>
      </w:r>
    </w:p>
    <w:p>
      <w:pPr>
        <w:pStyle w:val="2"/>
      </w:pPr>
      <w:r>
        <w:t>N02 人工实际汇款档案    P0</w:t>
      </w:r>
    </w:p>
    <w:p>
      <w:r>
        <w:t>问题：用户离开应用完成银行支付后，规划缺少可靠的后续记录。要求：用户手工登记渠道、发送额、实际费用、到账额、时间、参考号及状态，可关联原计划并上传已脱敏凭证。记录标为用户提供，不能自动升级为银行验证事实。</w:t>
      </w:r>
    </w:p>
    <w:p>
      <w:r>
        <w:t>验收：规划、模拟、用户记录实际汇款互不混淆；实际金额覆盖估算时保留版本；重复登记提示；无真实银行凭证或回执不能称为系统验证完成。</w:t>
      </w:r>
    </w:p>
    <w:p>
      <w:pPr>
        <w:pStyle w:val="2"/>
      </w:pPr>
      <w:r>
        <w:t>N03 资产与账单核对    P0</w:t>
      </w:r>
    </w:p>
    <w:p>
      <w:r>
        <w:t>问题：手工现金、导入账单、计划和模拟余额可能重复计入。要求：建立账户来源、期初余额和对账周期；将本人账户间转账匹配为内部移动，支持拆分费用和标记未匹配条目。</w:t>
      </w:r>
    </w:p>
    <w:p>
      <w:r>
        <w:t>验收：同一份账单重复导入不重复入账；内部转账不重复算作消费和收入；展示核对差额并让用户选择处理方式。现有疑似重复提示不等于完整对账。</w:t>
      </w:r>
    </w:p>
    <w:p>
      <w:pPr>
        <w:pStyle w:val="2"/>
      </w:pPr>
      <w:r>
        <w:t>N04 完整隐私与删除    P0</w:t>
      </w:r>
    </w:p>
    <w:p>
      <w:r>
        <w:t>问题：记忆软遗忘不能覆盖所有数据副本。要求：让用户导出自身数据、选择保留期限、删除对话与笔记及关联附件，并说明审计和备份的保留边界；记账图片和模型请求说明传输范围。</w:t>
      </w:r>
    </w:p>
    <w:p>
      <w:r>
        <w:t>验收：删除范围可预览，执行有结果；删除后不再参与检索；备份到期策略可验证；导出与删除不能访问其他用户数据。</w:t>
      </w:r>
    </w:p>
    <w:p>
      <w:pPr>
        <w:pStyle w:val="2"/>
      </w:pPr>
      <w:r>
        <w:t>N05 防诈骗核对流程    P1</w:t>
      </w:r>
    </w:p>
    <w:p>
      <w:r>
        <w:t>要求：模板中收款信息变更时突出显示差异，提供独立渠道复核清单，并可保存核对时间与依据。银行格式检查与身份真实性分开展示。</w:t>
      </w:r>
    </w:p>
    <w:p>
      <w:r>
        <w:t>验收：格式合法但未核实的账号仍显示未核实；用户不能因模型一句“安全”跳过核对。可选外部账户核验仅在有合适服务及证据时增加。</w:t>
      </w:r>
    </w:p>
    <w:p>
      <w:r>
        <w:t>优先级定义：P0 为竞赛交付范围和关键数据可信性；P1 为可靠试用体验；P2 为证据充分后再扩展。是否全部纳入本次开发，应按实际时间安排，不将建议自动标为承诺交付。</w:t>
      </w:r>
    </w:p>
    <w:p>
      <w:r>
        <w:br w:type="page"/>
      </w:r>
    </w:p>
    <w:p>
      <w:pPr>
        <w:pStyle w:val="1"/>
      </w:pPr>
      <w:r>
        <w:t>10 后续可靠性与体验要求</w:t>
      </w:r>
    </w:p>
    <w:p>
      <w:pPr>
        <w:pStyle w:val="2"/>
      </w:pPr>
      <w:r>
        <w:t>N06 通知可靠性    P1</w:t>
      </w:r>
    </w:p>
    <w:p>
      <w:r>
        <w:t>将进程内提醒升级为持久任务队列，保存预定时间、时区、发送状态、重试次数及失败原因；按事件去重，支持静默时间和取消订阅。用户应能查看最近提醒与失败原因。</w:t>
      </w:r>
    </w:p>
    <w:p>
      <w:r>
        <w:t>验收：重启后未发送任务仍存在；同一事件不重复发信；SMTP 拒绝、网络中断和时区变化有测试；“已排队”“已发送”“已送达”不混用。</w:t>
      </w:r>
    </w:p>
    <w:p>
      <w:pPr>
        <w:pStyle w:val="2"/>
      </w:pPr>
      <w:r>
        <w:t>N07 数据新鲜度与来源追溯    P1</w:t>
      </w:r>
    </w:p>
    <w:p>
      <w:r>
        <w:t>现有来源标签基础上，统一记录查询及观察时间、推导路径、回退原因和过期状态；显示同一来源下的计算依据。不同来源口径差异不得被误认为市场波动。</w:t>
      </w:r>
    </w:p>
    <w:p>
      <w:r>
        <w:t>验收：来源中断时显示上次数据时间；过期值不生成误导性“当前好时机”；用户能复核一条结论采用的数据和费用假设。</w:t>
      </w:r>
    </w:p>
    <w:p>
      <w:pPr>
        <w:pStyle w:val="2"/>
      </w:pPr>
      <w:r>
        <w:t>N08 模型质量与攻击防护评测    P1</w:t>
      </w:r>
    </w:p>
    <w:p>
      <w:r>
        <w:t>建立覆盖六语言、歧义日期、不同货币小数位、导入文件提示注入、错误工具参数及来源失败的评测集；记录模型版本、工具正确率、费用和响应时间。现有工具白名单与单元测试作为基础，不视为完整评测。</w:t>
      </w:r>
    </w:p>
    <w:p>
      <w:r>
        <w:t>验收：自动评分与人工抽检并存；错误请求不会生成真实支付操作；关键数字由工具生成且可追溯；模型不可用时可继续使用基础规划功能。</w:t>
      </w:r>
    </w:p>
    <w:p>
      <w:pPr>
        <w:pStyle w:val="2"/>
      </w:pPr>
      <w:r>
        <w:t>N09 多用户与可恢复部署    P1</w:t>
      </w:r>
    </w:p>
    <w:p>
      <w:r>
        <w:t>现有单用户原型扩展前，增加账户隔离、会话管理、访问限流、敏感配置保护，以及数据库加密备份和恢复演练。认证与数据隔离属于软件安全，不恢复 AI 资金授权等级。</w:t>
      </w:r>
    </w:p>
    <w:p>
      <w:r>
        <w:t>验收：跨账户请求被阻止；能从备份恢复计划、记账与提醒；对日志脱敏、会话过期和数据恢复执行专项测试。</w:t>
      </w:r>
    </w:p>
    <w:p>
      <w:pPr>
        <w:pStyle w:val="2"/>
      </w:pPr>
      <w:r>
        <w:t>N10 可访问性与完整语言验收    P1</w:t>
      </w:r>
    </w:p>
    <w:p>
      <w:r>
        <w:t>为图表提供文本等价、键盘路径和焦点说明；点线圆不能成为唯一状态线索。检查移动端、缩放、减少动画、屏幕阅读器及六语言长文本。</w:t>
      </w:r>
    </w:p>
    <w:p>
      <w:r>
        <w:t>验收：仅使用键盘可以完成查询、记账审核和模板核对；所有关键错误有文本；字体放大后金额与按钮不被截断。</w:t>
      </w:r>
    </w:p>
    <w:p>
      <w:pPr>
        <w:pStyle w:val="2"/>
      </w:pPr>
      <w:r>
        <w:t>N11 外部信息与分析扩展    P2</w:t>
      </w:r>
    </w:p>
    <w:p>
      <w:r>
        <w:t>可选增加独立服务商费用信息、开放银行只读导入、更多汇率来源及经过评价的 30 天预测。每项都要求明确服务范围、数据授权、时效和故障处理。外部服务商沙箱仅作为独立演示扩展，不恢复为首发门槛；所有扩展默认不执行支付。</w:t>
      </w:r>
    </w:p>
    <w:p>
      <w:r>
        <w:br w:type="page"/>
      </w:r>
    </w:p>
    <w:p>
      <w:pPr>
        <w:pStyle w:val="1"/>
      </w:pPr>
      <w:r>
        <w:t>11 工程架构与交付安排</w:t>
      </w:r>
    </w:p>
    <w:p>
      <w:pPr>
        <w:pStyle w:val="2"/>
      </w:pPr>
      <w:r>
        <w:t>11 1 当前实现</w:t>
      </w:r>
    </w:p>
    <w:p>
      <w:r>
        <w:t>前端采用原生 JavaScript 模块、HTML 与 CSS，Nginx 提供页面并代理 API；后端为 FastAPI，SQLite 保存业务数据、消息、记忆和审计。Docker Compose 启动前后端服务并使用持久卷。当前部署主要面向本地单用户演示。</w:t>
      </w:r>
    </w:p>
    <w:p>
      <w:r>
        <w:t>请求流为“界面或聊天 → Agent 规划 → 工具白名单 → 业务计算与校验 → 数据及外部适配器 → 结构化结果与进度事件”。后台任务检查汇率、周期条目、提醒及模拟状态；当前运行于 API 进程内，不是独立高可用调度系统。</w:t>
      </w:r>
    </w:p>
    <w:p>
      <w:r>
        <w:t>核心文件包括 agent.py、agent_rules.py、tools.py、memory.py、rates.py、planning.py、expenses.py、money.py、student.py、templates.py、watch.py、mailer.py、motivation.py、service.py 和 api.py。模型与 SMTP 凭据置于服务配置，不由前端持有；银行凭证和私钥不属于本版用户输入需求。</w:t>
      </w:r>
    </w:p>
    <w:p>
      <w:pPr>
        <w:pStyle w:val="2"/>
      </w:pPr>
      <w:r>
        <w:t>11 2 分阶段交付</w:t>
      </w:r>
    </w:p>
    <w:p>
      <w:r>
        <w:t>阶段 A 为竞赛演示：完成范围术语统一，稳定展示需求澄清、带来源汇率、比较、现金流、模板、记账审核及提醒设置；本地模拟为可选附加演示。使用明确标记的演示资料。</w:t>
      </w:r>
    </w:p>
    <w:p>
      <w:r>
        <w:t>阶段 B 为个人试用：优先完成人工实际汇款档案、账单核对、隐私删除、可靠提醒和外部服务验收，观察用户是否理解数据来源与建议局限。</w:t>
      </w:r>
    </w:p>
    <w:p>
      <w:r>
        <w:t>阶段 C 为多人服务：在真实用户接入前完成账户隔离、备份恢复、可访问性与负载测试，再评估只读金融数据连接和更多分析能力。</w:t>
      </w:r>
    </w:p>
    <w:p>
      <w:pPr>
        <w:pStyle w:val="2"/>
      </w:pPr>
      <w:r>
        <w:t>11 3 新版评估权重</w:t>
      </w:r>
    </w:p>
    <w:p>
      <w:r>
        <w:t>需求理解与澄清 15%；汇率来源及解释 20%；方案比较与资金规划 20%；记账和学生财务 15%；模板与人工核对 10%；提醒与记忆 10%；界面、部署和可复核性 10%。总计 100%。</w:t>
      </w:r>
    </w:p>
    <w:p>
      <w:r>
        <w:t>这是建议的新版验收权重，不是已经完成的新评分。每项按“实现证据、自动化检查、外部依赖验证、用户可完成任务”评定，待外部验收不得直接算作全部完成。链上执行、AI 自动付款及 AI 支付权限体系不参与评分。</w:t>
      </w:r>
    </w:p>
    <w:p>
      <w:pPr>
        <w:pStyle w:val="2"/>
      </w:pPr>
      <w:r>
        <w:t>11 4 文档维护</w:t>
      </w:r>
    </w:p>
    <w:p>
      <w:r>
        <w:t>新增功能必须同步修改状态、验收场景及数据边界。单元测试数量需标日期；不以测试全部通过宣称全部需求完成。竞赛展示的独立费用节省、预测精度和用户收益结论应附实际样本及测量方法。</w:t>
      </w:r>
    </w:p>
    <w:p>
      <w:r>
        <w:br w:type="page"/>
      </w:r>
    </w:p>
    <w:p>
      <w:pPr>
        <w:pStyle w:val="1"/>
      </w:pPr>
      <w:r>
        <w:t>12 竞赛演示与验收清单</w:t>
      </w:r>
    </w:p>
    <w:p>
      <w:pPr>
        <w:pStyle w:val="2"/>
      </w:pPr>
      <w:r>
        <w:t>12 1 一条连续演示</w:t>
      </w:r>
    </w:p>
    <w:p>
      <w:r>
        <w:t>以“学生月底前需要准备学费，同时希望保留生活费”为例，完成自然语言需求澄清、参考汇率查询、费用情景比较、学期现金流和缺口分析；创建待核实银行模板，并设置汇率与学费提醒。</w:t>
      </w:r>
    </w:p>
    <w:p>
      <w:r>
        <w:t>接着导入一份演示账单，确认分类并处理疑似重复，查看消费洞察和计划变化。最后展示记忆笔记、工具过程和审计记录，说明用户需要自行前往银行完成实际支付。模型或行情不可用时，展示有标签的降级或失败状态，不临时编造结果。</w:t>
      </w:r>
    </w:p>
    <w:p>
      <w:pPr>
        <w:pStyle w:val="2"/>
      </w:pPr>
      <w:r>
        <w:t>12 2 必验项目</w:t>
      </w:r>
    </w:p>
    <w:p>
      <w:pPr>
        <w:spacing w:after="100"/>
        <w:ind w:left="200" w:hanging="200"/>
      </w:pPr>
      <w:r>
        <w:t>• 范围：演示入口不要求钱包连接、私钥或链上充值，也没有 AI 自动付款和支付授权等级配置。</w:t>
      </w:r>
    </w:p>
    <w:p>
      <w:pPr>
        <w:spacing w:after="100"/>
        <w:ind w:left="200" w:hanging="200"/>
      </w:pPr>
      <w:r>
        <w:t>• 理解：缺少币种、金额或截止日期会追问；跨语言金额与日期可人工核对。</w:t>
      </w:r>
    </w:p>
    <w:p>
      <w:pPr>
        <w:spacing w:after="100"/>
        <w:ind w:left="200" w:hanging="200"/>
      </w:pPr>
      <w:r>
        <w:t>• 行情：来源、时间、方向和数据类型可见；不可用时明确失败；历史窗口及预测假设可检查。</w:t>
      </w:r>
    </w:p>
    <w:p>
      <w:pPr>
        <w:spacing w:after="100"/>
        <w:ind w:left="200" w:hanging="200"/>
      </w:pPr>
      <w:r>
        <w:t>• 计算：净接收额、手续费、目标缺口与安全垫可以复算；预计与已确认资金区分。</w:t>
      </w:r>
    </w:p>
    <w:p>
      <w:pPr>
        <w:spacing w:after="100"/>
        <w:ind w:left="200" w:hanging="200"/>
      </w:pPr>
      <w:r>
        <w:t>• 记账：AI 与导入记录进入审核；重复导入有提示；修改后统计更新。</w:t>
      </w:r>
    </w:p>
    <w:p>
      <w:pPr>
        <w:spacing w:after="100"/>
        <w:ind w:left="200" w:hanging="200"/>
      </w:pPr>
      <w:r>
        <w:t>• 模板：资料变更恢复待核实；账号格式通过不显示为已认证收款人；预览不是银行报文。</w:t>
      </w:r>
    </w:p>
    <w:p>
      <w:pPr>
        <w:spacing w:after="100"/>
        <w:ind w:left="200" w:hanging="200"/>
      </w:pPr>
      <w:r>
        <w:t>• 提醒：可创建和关闭；未配置 SMTP 不显示为已投递；盯盘不触发兑换或付款。</w:t>
      </w:r>
    </w:p>
    <w:p>
      <w:pPr>
        <w:spacing w:after="100"/>
        <w:ind w:left="200" w:hanging="200"/>
      </w:pPr>
      <w:r>
        <w:t>• 记忆：可查看与遗忘；界面说明软遗忘边界；模型不会拿旧记忆覆盖最新账目。</w:t>
      </w:r>
    </w:p>
    <w:p>
      <w:pPr>
        <w:spacing w:after="100"/>
        <w:ind w:left="200" w:hanging="200"/>
      </w:pPr>
      <w:r>
        <w:t>• 可视化：黑白点线圆状态有文字解释；减少动画后仍能完成操作；移动端关键金额可见。</w:t>
      </w:r>
    </w:p>
    <w:p>
      <w:pPr>
        <w:spacing w:after="100"/>
        <w:ind w:left="200" w:hanging="200"/>
      </w:pPr>
      <w:r>
        <w:t>• 演示：本地模拟状态、账本和回执均标注模拟；模拟完成不代表银行到账。</w:t>
      </w:r>
    </w:p>
    <w:p>
      <w:pPr>
        <w:spacing w:after="100"/>
        <w:ind w:left="200" w:hanging="200"/>
      </w:pPr>
      <w:r>
        <w:t>• 工程：Docker 启动、API 健康、持久数据和失败恢复可验证；实际运行版本与验收代码对应。</w:t>
      </w:r>
    </w:p>
    <w:p>
      <w:pPr>
        <w:pStyle w:val="2"/>
      </w:pPr>
      <w:r>
        <w:t>12 3 仍待独立验证</w:t>
      </w:r>
    </w:p>
    <w:p>
      <w:r>
        <w:t>模型真实工具调用、视觉小票识别、外部行情失败回退、实际 SMTP 投递、六语言浏览器回归和辅助技术体验需要分别验收。现有 163 项 Python 测试提供程序逻辑证据，不证明上述外部路径均已完成。</w:t>
      </w:r>
    </w:p>
    <w:p>
      <w:pPr>
        <w:pStyle w:val="2"/>
      </w:pPr>
      <w:r>
        <w:t>12 4 版本变更记录</w:t>
      </w:r>
    </w:p>
    <w:p>
      <w:r>
        <w:t>v4.0 以权限控制和服务商沙箱支付为中心。v5.0 改为 NON on-chain 的跨境资金分析与个人财务助手；取消 AI 资金执行需求，保留明确标注的本地模拟，正式纳入新增财务功能，并列出 N01—N11 后续需求。</w:t>
      </w:r>
    </w:p>
    <w:p>
      <w:r>
        <w:t>本版成功标准是用户能够理解费用与风险、准备合理计划和准确资料，并自主完成后续银行操作；系统能解释所用数据、保存相关记录并按设置提醒用户。</w:t>
      </w:r>
    </w:p>
    <w:sectPr w:rsidR="007670D9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BE40C" w14:textId="77777777" w:rsidR="00B86E24" w:rsidRDefault="00B86E24" w:rsidP="00945509">
      <w:pPr>
        <w:spacing w:after="0" w:line="240" w:lineRule="auto"/>
      </w:pPr>
      <w:r>
        <w:separator/>
      </w:r>
    </w:p>
  </w:endnote>
  <w:endnote w:type="continuationSeparator" w:id="0">
    <w:p w14:paraId="44FBEC86" w14:textId="77777777" w:rsidR="00B86E24" w:rsidRDefault="00B86E24" w:rsidP="00945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>
      <w: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2B9E2" w14:textId="77777777" w:rsidR="00B86E24" w:rsidRDefault="00B86E24" w:rsidP="00945509">
      <w:pPr>
        <w:spacing w:after="0" w:line="240" w:lineRule="auto"/>
      </w:pPr>
      <w:r>
        <w:separator/>
      </w:r>
    </w:p>
  </w:footnote>
  <w:footnote w:type="continuationSeparator" w:id="0">
    <w:p w14:paraId="225BAB3A" w14:textId="77777777" w:rsidR="00B86E24" w:rsidRDefault="00B86E24" w:rsidP="009455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0906"/>
    <w:multiLevelType w:val="multilevel"/>
    <w:tmpl w:val="979E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D25224"/>
    <w:multiLevelType w:val="multilevel"/>
    <w:tmpl w:val="CE00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263A5D"/>
    <w:multiLevelType w:val="multilevel"/>
    <w:tmpl w:val="A592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1501EC"/>
    <w:multiLevelType w:val="multilevel"/>
    <w:tmpl w:val="AF5603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A04F75"/>
    <w:multiLevelType w:val="multilevel"/>
    <w:tmpl w:val="06A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AD4745"/>
    <w:multiLevelType w:val="multilevel"/>
    <w:tmpl w:val="EF5A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283C92"/>
    <w:multiLevelType w:val="multilevel"/>
    <w:tmpl w:val="BA72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C053FC4"/>
    <w:multiLevelType w:val="multilevel"/>
    <w:tmpl w:val="E27E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181865"/>
    <w:multiLevelType w:val="multilevel"/>
    <w:tmpl w:val="2932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C71079B"/>
    <w:multiLevelType w:val="multilevel"/>
    <w:tmpl w:val="0BC2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2C7C75"/>
    <w:multiLevelType w:val="multilevel"/>
    <w:tmpl w:val="B36C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E643D40"/>
    <w:multiLevelType w:val="multilevel"/>
    <w:tmpl w:val="25F2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EF20DDE"/>
    <w:multiLevelType w:val="multilevel"/>
    <w:tmpl w:val="8660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F25445C"/>
    <w:multiLevelType w:val="multilevel"/>
    <w:tmpl w:val="9008F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FE87176"/>
    <w:multiLevelType w:val="multilevel"/>
    <w:tmpl w:val="3CC8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1AD3ABB"/>
    <w:multiLevelType w:val="multilevel"/>
    <w:tmpl w:val="9064C55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55389"/>
    <w:multiLevelType w:val="multilevel"/>
    <w:tmpl w:val="DD8A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2870582"/>
    <w:multiLevelType w:val="multilevel"/>
    <w:tmpl w:val="1822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2EF1CF6"/>
    <w:multiLevelType w:val="multilevel"/>
    <w:tmpl w:val="A340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891B0C"/>
    <w:multiLevelType w:val="multilevel"/>
    <w:tmpl w:val="7E1C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4D01531"/>
    <w:multiLevelType w:val="multilevel"/>
    <w:tmpl w:val="670C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66839A8"/>
    <w:multiLevelType w:val="multilevel"/>
    <w:tmpl w:val="23F4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8BF03F1"/>
    <w:multiLevelType w:val="multilevel"/>
    <w:tmpl w:val="EA5E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A916416"/>
    <w:multiLevelType w:val="multilevel"/>
    <w:tmpl w:val="B6F6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AD059D8"/>
    <w:multiLevelType w:val="multilevel"/>
    <w:tmpl w:val="1BD6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B833085"/>
    <w:multiLevelType w:val="multilevel"/>
    <w:tmpl w:val="5A80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C871BC4"/>
    <w:multiLevelType w:val="multilevel"/>
    <w:tmpl w:val="C8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EA4224F"/>
    <w:multiLevelType w:val="multilevel"/>
    <w:tmpl w:val="D73A7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F814963"/>
    <w:multiLevelType w:val="multilevel"/>
    <w:tmpl w:val="5A6C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0C55E05"/>
    <w:multiLevelType w:val="multilevel"/>
    <w:tmpl w:val="5F3C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35C29BD"/>
    <w:multiLevelType w:val="multilevel"/>
    <w:tmpl w:val="F404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93A5E96"/>
    <w:multiLevelType w:val="multilevel"/>
    <w:tmpl w:val="DEA6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1942CB1"/>
    <w:multiLevelType w:val="multilevel"/>
    <w:tmpl w:val="925E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50F4B4E"/>
    <w:multiLevelType w:val="multilevel"/>
    <w:tmpl w:val="71BA8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6A478BB"/>
    <w:multiLevelType w:val="multilevel"/>
    <w:tmpl w:val="C2C6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74C12A9"/>
    <w:multiLevelType w:val="multilevel"/>
    <w:tmpl w:val="22B4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B0A217F"/>
    <w:multiLevelType w:val="multilevel"/>
    <w:tmpl w:val="5BC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EB27B0A"/>
    <w:multiLevelType w:val="multilevel"/>
    <w:tmpl w:val="FC7A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F8A6565"/>
    <w:multiLevelType w:val="multilevel"/>
    <w:tmpl w:val="5246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FD473CF"/>
    <w:multiLevelType w:val="multilevel"/>
    <w:tmpl w:val="1C02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2FA3E48"/>
    <w:multiLevelType w:val="multilevel"/>
    <w:tmpl w:val="2EDA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39A25AE"/>
    <w:multiLevelType w:val="multilevel"/>
    <w:tmpl w:val="70444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46C2C69"/>
    <w:multiLevelType w:val="multilevel"/>
    <w:tmpl w:val="06D0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52C6D9F"/>
    <w:multiLevelType w:val="multilevel"/>
    <w:tmpl w:val="76C6E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5840C32"/>
    <w:multiLevelType w:val="multilevel"/>
    <w:tmpl w:val="239E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6ED4286"/>
    <w:multiLevelType w:val="multilevel"/>
    <w:tmpl w:val="AE82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76B09C4"/>
    <w:multiLevelType w:val="multilevel"/>
    <w:tmpl w:val="A166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84A701E"/>
    <w:multiLevelType w:val="multilevel"/>
    <w:tmpl w:val="1C36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95C22FB"/>
    <w:multiLevelType w:val="multilevel"/>
    <w:tmpl w:val="55E0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A09052E"/>
    <w:multiLevelType w:val="multilevel"/>
    <w:tmpl w:val="B74C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B0D095B"/>
    <w:multiLevelType w:val="multilevel"/>
    <w:tmpl w:val="1B9C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D910A04"/>
    <w:multiLevelType w:val="multilevel"/>
    <w:tmpl w:val="F5C0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19E5F07"/>
    <w:multiLevelType w:val="multilevel"/>
    <w:tmpl w:val="9166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24C6C7D"/>
    <w:multiLevelType w:val="multilevel"/>
    <w:tmpl w:val="6CBC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4D95EB1"/>
    <w:multiLevelType w:val="multilevel"/>
    <w:tmpl w:val="F7FA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CB6A5C"/>
    <w:multiLevelType w:val="multilevel"/>
    <w:tmpl w:val="27DCA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70A6309"/>
    <w:multiLevelType w:val="multilevel"/>
    <w:tmpl w:val="459C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7CF5BBF"/>
    <w:multiLevelType w:val="multilevel"/>
    <w:tmpl w:val="EEF2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9B542CA"/>
    <w:multiLevelType w:val="multilevel"/>
    <w:tmpl w:val="1CE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B632F43"/>
    <w:multiLevelType w:val="multilevel"/>
    <w:tmpl w:val="9AB0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C324139"/>
    <w:multiLevelType w:val="multilevel"/>
    <w:tmpl w:val="D32A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C492967"/>
    <w:multiLevelType w:val="multilevel"/>
    <w:tmpl w:val="320C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D6005DD"/>
    <w:multiLevelType w:val="multilevel"/>
    <w:tmpl w:val="585A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D846213"/>
    <w:multiLevelType w:val="multilevel"/>
    <w:tmpl w:val="9E46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F440498"/>
    <w:multiLevelType w:val="multilevel"/>
    <w:tmpl w:val="DE006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793EAA"/>
    <w:multiLevelType w:val="multilevel"/>
    <w:tmpl w:val="8B76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7D57B0"/>
    <w:multiLevelType w:val="multilevel"/>
    <w:tmpl w:val="880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1BE7E99"/>
    <w:multiLevelType w:val="multilevel"/>
    <w:tmpl w:val="0020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6521FE0"/>
    <w:multiLevelType w:val="multilevel"/>
    <w:tmpl w:val="3B20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88F7EA6"/>
    <w:multiLevelType w:val="multilevel"/>
    <w:tmpl w:val="1884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AD235F0"/>
    <w:multiLevelType w:val="multilevel"/>
    <w:tmpl w:val="0D30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6B2C347F"/>
    <w:multiLevelType w:val="multilevel"/>
    <w:tmpl w:val="7814372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CEB31CF"/>
    <w:multiLevelType w:val="multilevel"/>
    <w:tmpl w:val="FD7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D994ED0"/>
    <w:multiLevelType w:val="multilevel"/>
    <w:tmpl w:val="96D27A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1824DE0"/>
    <w:multiLevelType w:val="multilevel"/>
    <w:tmpl w:val="AB1C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2A27617"/>
    <w:multiLevelType w:val="multilevel"/>
    <w:tmpl w:val="4DCE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44D06F8"/>
    <w:multiLevelType w:val="multilevel"/>
    <w:tmpl w:val="FBF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5CB4713"/>
    <w:multiLevelType w:val="multilevel"/>
    <w:tmpl w:val="D1BE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60E385C"/>
    <w:multiLevelType w:val="multilevel"/>
    <w:tmpl w:val="DB3C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9E049E0"/>
    <w:multiLevelType w:val="multilevel"/>
    <w:tmpl w:val="A740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A403BD2"/>
    <w:multiLevelType w:val="multilevel"/>
    <w:tmpl w:val="6DE2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AAC72D3"/>
    <w:multiLevelType w:val="multilevel"/>
    <w:tmpl w:val="908A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7ACC25DE"/>
    <w:multiLevelType w:val="multilevel"/>
    <w:tmpl w:val="F2B8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B6406BF"/>
    <w:multiLevelType w:val="multilevel"/>
    <w:tmpl w:val="DBF60E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BDC6E7C"/>
    <w:multiLevelType w:val="multilevel"/>
    <w:tmpl w:val="AE7A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C05257E"/>
    <w:multiLevelType w:val="multilevel"/>
    <w:tmpl w:val="159A2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D8F1A19"/>
    <w:multiLevelType w:val="multilevel"/>
    <w:tmpl w:val="DDC6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7DEE7302"/>
    <w:multiLevelType w:val="multilevel"/>
    <w:tmpl w:val="E07C75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E850621"/>
    <w:multiLevelType w:val="multilevel"/>
    <w:tmpl w:val="7E5E516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7763271">
    <w:abstractNumId w:val="69"/>
  </w:num>
  <w:num w:numId="2" w16cid:durableId="693654531">
    <w:abstractNumId w:val="43"/>
  </w:num>
  <w:num w:numId="3" w16cid:durableId="198056854">
    <w:abstractNumId w:val="34"/>
  </w:num>
  <w:num w:numId="4" w16cid:durableId="270670769">
    <w:abstractNumId w:val="4"/>
  </w:num>
  <w:num w:numId="5" w16cid:durableId="1074089167">
    <w:abstractNumId w:val="86"/>
  </w:num>
  <w:num w:numId="6" w16cid:durableId="829098169">
    <w:abstractNumId w:val="56"/>
  </w:num>
  <w:num w:numId="7" w16cid:durableId="602494859">
    <w:abstractNumId w:val="67"/>
  </w:num>
  <w:num w:numId="8" w16cid:durableId="1484078005">
    <w:abstractNumId w:val="31"/>
  </w:num>
  <w:num w:numId="9" w16cid:durableId="179512919">
    <w:abstractNumId w:val="61"/>
  </w:num>
  <w:num w:numId="10" w16cid:durableId="1187795708">
    <w:abstractNumId w:val="6"/>
  </w:num>
  <w:num w:numId="11" w16cid:durableId="1380475930">
    <w:abstractNumId w:val="58"/>
  </w:num>
  <w:num w:numId="12" w16cid:durableId="1753433898">
    <w:abstractNumId w:val="19"/>
  </w:num>
  <w:num w:numId="13" w16cid:durableId="109782320">
    <w:abstractNumId w:val="52"/>
  </w:num>
  <w:num w:numId="14" w16cid:durableId="1550266075">
    <w:abstractNumId w:val="66"/>
  </w:num>
  <w:num w:numId="15" w16cid:durableId="2007050292">
    <w:abstractNumId w:val="49"/>
  </w:num>
  <w:num w:numId="16" w16cid:durableId="378164598">
    <w:abstractNumId w:val="18"/>
  </w:num>
  <w:num w:numId="17" w16cid:durableId="1783307948">
    <w:abstractNumId w:val="70"/>
  </w:num>
  <w:num w:numId="18" w16cid:durableId="1120876247">
    <w:abstractNumId w:val="55"/>
  </w:num>
  <w:num w:numId="19" w16cid:durableId="187452008">
    <w:abstractNumId w:val="2"/>
  </w:num>
  <w:num w:numId="20" w16cid:durableId="738678052">
    <w:abstractNumId w:val="38"/>
  </w:num>
  <w:num w:numId="21" w16cid:durableId="1439135503">
    <w:abstractNumId w:val="25"/>
  </w:num>
  <w:num w:numId="22" w16cid:durableId="1681353424">
    <w:abstractNumId w:val="42"/>
  </w:num>
  <w:num w:numId="23" w16cid:durableId="1012491342">
    <w:abstractNumId w:val="79"/>
  </w:num>
  <w:num w:numId="24" w16cid:durableId="1398555458">
    <w:abstractNumId w:val="45"/>
  </w:num>
  <w:num w:numId="25" w16cid:durableId="554703571">
    <w:abstractNumId w:val="81"/>
  </w:num>
  <w:num w:numId="26" w16cid:durableId="1271860004">
    <w:abstractNumId w:val="48"/>
  </w:num>
  <w:num w:numId="27" w16cid:durableId="398796952">
    <w:abstractNumId w:val="21"/>
  </w:num>
  <w:num w:numId="28" w16cid:durableId="1687488403">
    <w:abstractNumId w:val="82"/>
  </w:num>
  <w:num w:numId="29" w16cid:durableId="668366195">
    <w:abstractNumId w:val="47"/>
  </w:num>
  <w:num w:numId="30" w16cid:durableId="445273048">
    <w:abstractNumId w:val="13"/>
  </w:num>
  <w:num w:numId="31" w16cid:durableId="270865121">
    <w:abstractNumId w:val="41"/>
  </w:num>
  <w:num w:numId="32" w16cid:durableId="884171494">
    <w:abstractNumId w:val="83"/>
  </w:num>
  <w:num w:numId="33" w16cid:durableId="1899894411">
    <w:abstractNumId w:val="73"/>
  </w:num>
  <w:num w:numId="34" w16cid:durableId="763379838">
    <w:abstractNumId w:val="87"/>
  </w:num>
  <w:num w:numId="35" w16cid:durableId="514998176">
    <w:abstractNumId w:val="71"/>
  </w:num>
  <w:num w:numId="36" w16cid:durableId="1986204792">
    <w:abstractNumId w:val="15"/>
  </w:num>
  <w:num w:numId="37" w16cid:durableId="846553691">
    <w:abstractNumId w:val="88"/>
  </w:num>
  <w:num w:numId="38" w16cid:durableId="1401977816">
    <w:abstractNumId w:val="3"/>
  </w:num>
  <w:num w:numId="39" w16cid:durableId="417409006">
    <w:abstractNumId w:val="54"/>
  </w:num>
  <w:num w:numId="40" w16cid:durableId="1093940164">
    <w:abstractNumId w:val="29"/>
  </w:num>
  <w:num w:numId="41" w16cid:durableId="528760497">
    <w:abstractNumId w:val="16"/>
  </w:num>
  <w:num w:numId="42" w16cid:durableId="103112719">
    <w:abstractNumId w:val="65"/>
  </w:num>
  <w:num w:numId="43" w16cid:durableId="1267733214">
    <w:abstractNumId w:val="80"/>
  </w:num>
  <w:num w:numId="44" w16cid:durableId="1479031439">
    <w:abstractNumId w:val="9"/>
  </w:num>
  <w:num w:numId="45" w16cid:durableId="444809515">
    <w:abstractNumId w:val="53"/>
  </w:num>
  <w:num w:numId="46" w16cid:durableId="2130273346">
    <w:abstractNumId w:val="62"/>
  </w:num>
  <w:num w:numId="47" w16cid:durableId="892810717">
    <w:abstractNumId w:val="74"/>
  </w:num>
  <w:num w:numId="48" w16cid:durableId="2025590811">
    <w:abstractNumId w:val="11"/>
  </w:num>
  <w:num w:numId="49" w16cid:durableId="1483231060">
    <w:abstractNumId w:val="85"/>
  </w:num>
  <w:num w:numId="50" w16cid:durableId="1213154894">
    <w:abstractNumId w:val="22"/>
  </w:num>
  <w:num w:numId="51" w16cid:durableId="266541214">
    <w:abstractNumId w:val="63"/>
  </w:num>
  <w:num w:numId="52" w16cid:durableId="1517383785">
    <w:abstractNumId w:val="28"/>
  </w:num>
  <w:num w:numId="53" w16cid:durableId="1875847179">
    <w:abstractNumId w:val="44"/>
  </w:num>
  <w:num w:numId="54" w16cid:durableId="1180270367">
    <w:abstractNumId w:val="72"/>
  </w:num>
  <w:num w:numId="55" w16cid:durableId="1210920175">
    <w:abstractNumId w:val="27"/>
  </w:num>
  <w:num w:numId="56" w16cid:durableId="1617591223">
    <w:abstractNumId w:val="23"/>
  </w:num>
  <w:num w:numId="57" w16cid:durableId="1508205565">
    <w:abstractNumId w:val="75"/>
  </w:num>
  <w:num w:numId="58" w16cid:durableId="1973634057">
    <w:abstractNumId w:val="26"/>
  </w:num>
  <w:num w:numId="59" w16cid:durableId="546844277">
    <w:abstractNumId w:val="40"/>
  </w:num>
  <w:num w:numId="60" w16cid:durableId="1297180218">
    <w:abstractNumId w:val="78"/>
  </w:num>
  <w:num w:numId="61" w16cid:durableId="583073868">
    <w:abstractNumId w:val="12"/>
  </w:num>
  <w:num w:numId="62" w16cid:durableId="1867869516">
    <w:abstractNumId w:val="1"/>
  </w:num>
  <w:num w:numId="63" w16cid:durableId="1504277901">
    <w:abstractNumId w:val="39"/>
  </w:num>
  <w:num w:numId="64" w16cid:durableId="248781456">
    <w:abstractNumId w:val="68"/>
  </w:num>
  <w:num w:numId="65" w16cid:durableId="142897866">
    <w:abstractNumId w:val="35"/>
  </w:num>
  <w:num w:numId="66" w16cid:durableId="609314126">
    <w:abstractNumId w:val="77"/>
  </w:num>
  <w:num w:numId="67" w16cid:durableId="1391339650">
    <w:abstractNumId w:val="24"/>
  </w:num>
  <w:num w:numId="68" w16cid:durableId="2125803229">
    <w:abstractNumId w:val="50"/>
  </w:num>
  <w:num w:numId="69" w16cid:durableId="1429885253">
    <w:abstractNumId w:val="14"/>
  </w:num>
  <w:num w:numId="70" w16cid:durableId="2134909273">
    <w:abstractNumId w:val="7"/>
  </w:num>
  <w:num w:numId="71" w16cid:durableId="2099207751">
    <w:abstractNumId w:val="8"/>
  </w:num>
  <w:num w:numId="72" w16cid:durableId="2051418510">
    <w:abstractNumId w:val="5"/>
  </w:num>
  <w:num w:numId="73" w16cid:durableId="1461727829">
    <w:abstractNumId w:val="64"/>
  </w:num>
  <w:num w:numId="74" w16cid:durableId="1899658341">
    <w:abstractNumId w:val="32"/>
  </w:num>
  <w:num w:numId="75" w16cid:durableId="363989457">
    <w:abstractNumId w:val="17"/>
  </w:num>
  <w:num w:numId="76" w16cid:durableId="402800547">
    <w:abstractNumId w:val="36"/>
  </w:num>
  <w:num w:numId="77" w16cid:durableId="1917276652">
    <w:abstractNumId w:val="20"/>
  </w:num>
  <w:num w:numId="78" w16cid:durableId="1946763998">
    <w:abstractNumId w:val="0"/>
  </w:num>
  <w:num w:numId="79" w16cid:durableId="987587944">
    <w:abstractNumId w:val="84"/>
  </w:num>
  <w:num w:numId="80" w16cid:durableId="878973347">
    <w:abstractNumId w:val="30"/>
  </w:num>
  <w:num w:numId="81" w16cid:durableId="40984764">
    <w:abstractNumId w:val="46"/>
  </w:num>
  <w:num w:numId="82" w16cid:durableId="830683002">
    <w:abstractNumId w:val="60"/>
  </w:num>
  <w:num w:numId="83" w16cid:durableId="1284119708">
    <w:abstractNumId w:val="10"/>
  </w:num>
  <w:num w:numId="84" w16cid:durableId="1870020541">
    <w:abstractNumId w:val="37"/>
  </w:num>
  <w:num w:numId="85" w16cid:durableId="1229807116">
    <w:abstractNumId w:val="76"/>
  </w:num>
  <w:num w:numId="86" w16cid:durableId="332026413">
    <w:abstractNumId w:val="51"/>
  </w:num>
  <w:num w:numId="87" w16cid:durableId="223755655">
    <w:abstractNumId w:val="59"/>
  </w:num>
  <w:num w:numId="88" w16cid:durableId="615019569">
    <w:abstractNumId w:val="33"/>
  </w:num>
  <w:num w:numId="89" w16cid:durableId="656543181">
    <w:abstractNumId w:val="57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18E"/>
    <w:rsid w:val="00065823"/>
    <w:rsid w:val="006A418E"/>
    <w:rsid w:val="007670D9"/>
    <w:rsid w:val="007963A7"/>
    <w:rsid w:val="00945509"/>
    <w:rsid w:val="00B74CC3"/>
    <w:rsid w:val="00B86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807A6CF-05E5-488A-91CD-411158B80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/>
      <w:spacing w:after="120" w:line="276" w:lineRule="auto"/>
    </w:pPr>
    <w:rPr>
      <w:rFonts w:ascii="Calibri" w:hAnsi="Calibri" w:eastAsia="Microsoft YaHei"/>
      <w:color w:val="000000"/>
      <w:sz w:val="22"/>
    </w:rPr>
  </w:style>
  <w:style w:type="paragraph" w:styleId="1">
    <w:name w:val="heading 1"/>
    <w:basedOn w:val="a"/>
    <w:next w:val="a"/>
    <w:link w:val="10"/>
    <w:uiPriority w:val="9"/>
    <w:qFormat/>
    <w:rsid w:val="006A418E"/>
    <w:pPr>
      <w:keepNext/>
      <w:keepLines/>
      <w:widowControl/>
      <w:spacing w:before="180" w:after="120" w:line="276" w:lineRule="auto"/>
      <w:outlineLvl w:val="0"/>
    </w:pPr>
    <w:rPr>
      <w:rFonts w:ascii="Calibri" w:hAnsi="Calibri" w:eastAsia="Microsoft YaHei"/>
      <w:b/>
      <w:color w:val="000000"/>
      <w:sz w:val="34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418E"/>
    <w:pPr>
      <w:keepNext/>
      <w:keepLines/>
      <w:widowControl/>
      <w:spacing w:before="180" w:after="120" w:line="276" w:lineRule="auto"/>
      <w:outlineLvl w:val="1"/>
    </w:pPr>
    <w:rPr>
      <w:rFonts w:ascii="Calibri" w:hAnsi="Calibri" w:eastAsia="Microsoft YaHei"/>
      <w:b/>
      <w:color w:val="000000"/>
      <w:sz w:val="24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4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4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4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4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4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4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4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4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A4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A4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A41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A418E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A41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A418E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41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A41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418E"/>
    <w:pPr>
      <w:widowControl/>
      <w:spacing w:after="120" w:line="276" w:lineRule="auto"/>
      <w:contextualSpacing/>
    </w:pPr>
    <w:rPr>
      <w:rFonts w:ascii="Calibri" w:hAnsi="Calibri" w:eastAsia="Microsoft YaHei"/>
      <w:color w:val="000000"/>
      <w:spacing w:val="-10"/>
      <w:kern w:val="28"/>
      <w:sz w:val="48"/>
      <w:szCs w:val="56"/>
    </w:rPr>
  </w:style>
  <w:style w:type="character" w:customStyle="1" w:styleId="a4">
    <w:name w:val="标题 字符"/>
    <w:basedOn w:val="a0"/>
    <w:link w:val="a3"/>
    <w:uiPriority w:val="10"/>
    <w:rsid w:val="006A4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418E"/>
    <w:pPr>
      <w:widowControl/>
      <w:numPr>
        <w:ilvl w:val="1"/>
      </w:numPr>
      <w:spacing w:after="120" w:line="276" w:lineRule="auto"/>
    </w:pPr>
    <w:rPr>
      <w:rFonts w:ascii="Calibri" w:hAnsi="Calibri" w:eastAsia="Microsoft YaHei"/>
      <w:color w:val="000000"/>
      <w:spacing w:val="15"/>
      <w:sz w:val="24"/>
      <w:szCs w:val="28"/>
    </w:rPr>
  </w:style>
  <w:style w:type="character" w:customStyle="1" w:styleId="a6">
    <w:name w:val="副标题 字符"/>
    <w:basedOn w:val="a0"/>
    <w:link w:val="a5"/>
    <w:uiPriority w:val="11"/>
    <w:rsid w:val="006A4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4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41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41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41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4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41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41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45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945509"/>
  </w:style>
  <w:style w:type="paragraph" w:styleId="af0">
    <w:name w:val="footer"/>
    <w:basedOn w:val="a"/>
    <w:link w:val="af1"/>
    <w:uiPriority w:val="99"/>
    <w:unhideWhenUsed/>
    <w:rsid w:val="00945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9455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9608</Words>
  <Characters>13740</Characters>
  <Application>Microsoft Office Word</Application>
  <DocSecurity>0</DocSecurity>
  <Lines>443</Lines>
  <Paragraphs>486</Paragraphs>
  <ScaleCrop>false</ScaleCrop>
  <Company/>
  <LinksUpToDate>false</LinksUpToDate>
  <CharactersWithSpaces>22862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DOT AI 跨境汇款与个人财务助手</dc:title>
  <dc:subject>NON on-chain 功能需求说明书 v5.0</dc:subject>
  <dc:creator>Yuxuan Tang</dc:creator>
  <cp:keywords>NON on-chain, 跨境汇款, 资金规划, 产品需求</cp:keywords>
  <dc:description/>
  <cp:lastModifiedBy>Yuxuan Tang</cp:lastModifiedBy>
  <cp:revision>2</cp:revision>
  <dcterms:created xsi:type="dcterms:W3CDTF">2026-10-17T02:57:00Z</dcterms:created>
  <dcterms:modified xsi:type="dcterms:W3CDTF">2026-10-17T02:57:00Z</dcterms:modified>
</cp:coreProperties>
</file>