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910C96">
              <w:rPr>
                <w:b/>
              </w:rPr>
              <w:t>Eileen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910C96">
              <w:rPr>
                <w:b/>
              </w:rPr>
              <w:t>4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910C96">
              <w:rPr>
                <w:b/>
              </w:rPr>
              <w:t xml:space="preserve"> 240-038-497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932689">
            <w:pPr>
              <w:spacing w:before="120" w:after="120"/>
            </w:pPr>
            <w:r>
              <w:t xml:space="preserve">#1 </w:t>
            </w:r>
            <w:r w:rsidR="00932689">
              <w:t>___</w:t>
            </w:r>
            <w:r>
              <w:t xml:space="preserve">  </w:t>
            </w:r>
            <w:r w:rsidR="00FF747D">
              <w:t xml:space="preserve"> </w:t>
            </w:r>
            <w:r>
              <w:t xml:space="preserve">#2 </w:t>
            </w:r>
            <w:r w:rsidR="00064A04">
              <w:rPr>
                <w:u w:val="single"/>
              </w:rPr>
              <w:t>___</w:t>
            </w:r>
            <w:r w:rsidR="00932689">
              <w:rPr>
                <w:u w:val="single"/>
              </w:rPr>
              <w:t xml:space="preserve"> </w:t>
            </w:r>
            <w:r w:rsidR="00932689">
              <w:t xml:space="preserve"> </w:t>
            </w:r>
            <w:r>
              <w:t xml:space="preserve"> </w:t>
            </w:r>
            <w:r w:rsidR="00FF747D">
              <w:t xml:space="preserve"> </w:t>
            </w:r>
            <w:r>
              <w:t xml:space="preserve">  #3__</w:t>
            </w:r>
            <w:r w:rsidR="00D32C27" w:rsidRPr="00283326">
              <w:rPr>
                <w:u w:val="single"/>
              </w:rPr>
              <w:sym w:font="Wingdings" w:char="F0FC"/>
            </w:r>
            <w:r w:rsidR="00D32C27">
              <w:rPr>
                <w:u w:val="single"/>
              </w:rPr>
              <w:t xml:space="preserve">   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BC513D">
              <w:rPr>
                <w:b/>
              </w:rPr>
              <w:t>4/12</w:t>
            </w:r>
            <w:r w:rsidR="00C149CF">
              <w:rPr>
                <w:b/>
              </w:rPr>
              <w:t>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37108B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D52B8C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C149CF" w:rsidRDefault="00064A0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Data &amp; Graphs: pictographs &amp; bar graphs, line graphs, coordinate graphs, line plots &amp; stem-and-leaf plots</w:t>
            </w:r>
          </w:p>
          <w:p w:rsidR="00C149CF" w:rsidRDefault="00064A0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Customary Measurement &amp; Time</w:t>
            </w:r>
            <w:r w:rsidR="00C149CF">
              <w:rPr>
                <w:rFonts w:ascii="Helvetica" w:hAnsi="Helvetica" w:cs="Helvetica"/>
                <w:bCs/>
                <w:color w:val="000000"/>
                <w:sz w:val="20"/>
              </w:rPr>
              <w:t>: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l</w:t>
            </w:r>
            <w:r w:rsidR="00A27C13">
              <w:rPr>
                <w:rFonts w:ascii="Helvetica" w:hAnsi="Helvetica" w:cs="Helvetica"/>
                <w:bCs/>
                <w:color w:val="000000"/>
                <w:sz w:val="20"/>
              </w:rPr>
              <w:t>ength &amp; d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istance,</w:t>
            </w:r>
            <w:r w:rsidR="00A27C13">
              <w:rPr>
                <w:rFonts w:ascii="Helvetica" w:hAnsi="Helvetica" w:cs="Helvetica"/>
                <w:bCs/>
                <w:color w:val="000000"/>
                <w:sz w:val="20"/>
              </w:rPr>
              <w:t xml:space="preserve"> renaming measurements, weight, capacity, temperature, time to 1 minute, time: AM &amp; PM, before &amp; after the hour, elapsed time, calendar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</w:t>
            </w:r>
            <w:r w:rsidR="00065DFD">
              <w:rPr>
                <w:rFonts w:ascii="Helvetica" w:hAnsi="Helvetica" w:cs="Helvetica"/>
                <w:bCs/>
                <w:color w:val="000000"/>
                <w:sz w:val="20"/>
              </w:rPr>
              <w:t xml:space="preserve"> </w:t>
            </w:r>
          </w:p>
          <w:p w:rsidR="001D594E" w:rsidRDefault="00A27C13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Multiplication: 2-digit multipliers.  </w:t>
            </w:r>
          </w:p>
          <w:p w:rsidR="001D594E" w:rsidRPr="00EA447B" w:rsidRDefault="00A27C13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Fractions: Addition &amp; Subtraction</w:t>
            </w: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065DFD" w:rsidRDefault="00AF2FE7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Pronouns: Singular &amp; plural pronouns; subject &amp; object pronouns; writing with pronouns</w:t>
            </w:r>
            <w:r w:rsidR="00FE536D">
              <w:rPr>
                <w:rFonts w:ascii="Helvetica" w:hAnsi="Helvetica" w:cs="Helvetica"/>
                <w:color w:val="000000"/>
                <w:sz w:val="20"/>
              </w:rPr>
              <w:t>; using I &amp; Me, We &amp; Us; subject pronoun/verb agreement; possessive pronouns, confusing contractions.</w:t>
            </w:r>
          </w:p>
          <w:p w:rsidR="00065DFD" w:rsidRDefault="00AF2FE7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More Verbs: present, past &amp; future tenses; using verb tenses in writing; helping verbs, irregular verbs.</w:t>
            </w:r>
          </w:p>
          <w:p w:rsidR="00453B65" w:rsidRDefault="00453B65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AF2FE7">
              <w:rPr>
                <w:rFonts w:ascii="Helvetica" w:hAnsi="Helvetica" w:cs="Helvetica"/>
                <w:color w:val="000000"/>
                <w:sz w:val="20"/>
              </w:rPr>
              <w:t xml:space="preserve"> Tall Tales; planning the hero &amp; other characters with Word Webs, the problem &amp; setting, the plot; drafting, revising, proofreading, and publishing.</w:t>
            </w:r>
          </w:p>
          <w:p w:rsidR="002F40E7" w:rsidRPr="00AB1949" w:rsidRDefault="000B4DC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D3090B">
              <w:rPr>
                <w:rFonts w:ascii="Helvetica" w:hAnsi="Helvetica" w:cs="Helvetica"/>
                <w:color w:val="000000"/>
                <w:sz w:val="20"/>
              </w:rPr>
              <w:t xml:space="preserve"> research paper on “The Empire State Building of NYC”.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453B65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lastRenderedPageBreak/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 w:rsidR="0095170C">
              <w:rPr>
                <w:szCs w:val="24"/>
              </w:rPr>
              <w:t xml:space="preserve"> realistic</w:t>
            </w:r>
            <w:r w:rsidR="00AB198D">
              <w:rPr>
                <w:szCs w:val="24"/>
              </w:rPr>
              <w:t xml:space="preserve"> </w:t>
            </w:r>
            <w:r w:rsidR="0095170C">
              <w:rPr>
                <w:szCs w:val="24"/>
              </w:rPr>
              <w:t>fiction, poetry</w:t>
            </w:r>
            <w:r w:rsidR="00AB198D" w:rsidRPr="006531A6">
              <w:rPr>
                <w:szCs w:val="24"/>
              </w:rPr>
              <w:t>,</w:t>
            </w:r>
            <w:r w:rsidR="0095170C">
              <w:rPr>
                <w:szCs w:val="24"/>
              </w:rPr>
              <w:t xml:space="preserve"> folktale, tall tale, adventure story,</w:t>
            </w:r>
            <w:r>
              <w:rPr>
                <w:szCs w:val="24"/>
              </w:rPr>
              <w:t xml:space="preserve"> historical</w:t>
            </w:r>
            <w:r w:rsidR="0095170C">
              <w:rPr>
                <w:szCs w:val="24"/>
              </w:rPr>
              <w:t xml:space="preserve"> fiction, interview</w:t>
            </w:r>
            <w:r w:rsidR="00AB198D">
              <w:rPr>
                <w:szCs w:val="24"/>
              </w:rPr>
              <w:t xml:space="preserve">, fable, </w:t>
            </w:r>
            <w:r w:rsidR="00AB198D" w:rsidRPr="006531A6">
              <w:rPr>
                <w:szCs w:val="24"/>
              </w:rPr>
              <w:t>article, Bible account, biography,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95170C">
              <w:rPr>
                <w:szCs w:val="24"/>
              </w:rPr>
              <w:t>ssary; encyclopedia; thesaurus</w:t>
            </w:r>
            <w:r w:rsidR="00AB198D" w:rsidRPr="006531A6">
              <w:rPr>
                <w:szCs w:val="24"/>
              </w:rPr>
              <w:t>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</w:t>
            </w:r>
            <w:r w:rsidR="0095170C">
              <w:rPr>
                <w:szCs w:val="24"/>
              </w:rPr>
              <w:t>/map reading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</w:t>
            </w:r>
            <w:r w:rsidR="0095170C">
              <w:rPr>
                <w:szCs w:val="24"/>
              </w:rPr>
              <w:t xml:space="preserve"> and conflict</w:t>
            </w:r>
            <w:r w:rsidR="00AB198D" w:rsidRPr="006531A6">
              <w:rPr>
                <w:szCs w:val="24"/>
              </w:rPr>
              <w:t>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261B47">
              <w:rPr>
                <w:szCs w:val="24"/>
              </w:rPr>
              <w:t>tisement</w:t>
            </w:r>
            <w:r w:rsidR="00AB198D" w:rsidRPr="006531A6">
              <w:rPr>
                <w:szCs w:val="24"/>
              </w:rPr>
              <w:t>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D52B8C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C11739" w:rsidRDefault="003E347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Steam Engines and Smokestacks: By hand; by machine; more machines; the Industrial Revolution; the Workers; Big Business.</w:t>
            </w:r>
          </w:p>
          <w:p w:rsidR="002926C3" w:rsidRDefault="00267227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Stoking the Fires: The Railroad – workmen and weather; deliberations – the Chiefs and Government; Conflicts – the Laws and the Land; Towns – Changes through time; War – the Beginning; the Fighting – important people and events.</w:t>
            </w:r>
          </w:p>
          <w:p w:rsidR="00267227" w:rsidRDefault="00267227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Getting the Message: </w:t>
            </w:r>
            <w:proofErr w:type="spellStart"/>
            <w:r>
              <w:rPr>
                <w:rFonts w:ascii="Helvetica" w:hAnsi="Helvetica" w:cs="Helvetica"/>
                <w:bCs/>
                <w:color w:val="000000"/>
                <w:sz w:val="20"/>
              </w:rPr>
              <w:t>Hoofbeats</w:t>
            </w:r>
            <w:proofErr w:type="spellEnd"/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A-coming; Read all about it; more and his Telegraph Machine; Dots and Dashes; Words over a wire; better and faster.</w:t>
            </w:r>
          </w:p>
          <w:p w:rsidR="002926C3" w:rsidRPr="00EA447B" w:rsidRDefault="002926C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Gravity in Action:</w:t>
            </w:r>
          </w:p>
          <w:p w:rsidR="00371E9A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Moon</w:t>
            </w:r>
          </w:p>
          <w:p w:rsidR="00371E9A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Water and Oceans</w:t>
            </w:r>
          </w:p>
          <w:p w:rsidR="00371E9A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Earth for Our Use:</w:t>
            </w:r>
          </w:p>
          <w:p w:rsidR="00371E9A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Weathering and Erosion</w:t>
            </w:r>
          </w:p>
          <w:p w:rsidR="00643820" w:rsidRPr="00BA2652" w:rsidRDefault="00371E9A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Earth’s Resources</w:t>
            </w:r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lastRenderedPageBreak/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Participating in Children’</w:t>
            </w:r>
            <w:r w:rsidR="00783D8A">
              <w:rPr>
                <w:rFonts w:ascii="Helvetica" w:hAnsi="Helvetica" w:cs="Helvetica"/>
                <w:bCs/>
                <w:color w:val="000000"/>
                <w:sz w:val="20"/>
              </w:rPr>
              <w:t xml:space="preserve">s choir </w:t>
            </w:r>
          </w:p>
          <w:p w:rsidR="00D80C10" w:rsidRPr="00EA447B" w:rsidRDefault="00D80C10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Playing the piano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Visual Arts</w:t>
            </w:r>
          </w:p>
        </w:tc>
        <w:tc>
          <w:tcPr>
            <w:tcW w:w="4644" w:type="dxa"/>
          </w:tcPr>
          <w:p w:rsidR="00FC7CB0" w:rsidRDefault="002926C3" w:rsidP="00FF747D">
            <w:pPr>
              <w:spacing w:before="40" w:after="40"/>
            </w:pPr>
            <w:r>
              <w:t>Art projects surrounding American</w:t>
            </w:r>
            <w:r w:rsidR="00AB1949">
              <w:t xml:space="preserve"> history</w:t>
            </w:r>
            <w:r w:rsidR="00AB1949">
              <w:br/>
              <w:t>Drawing techniques</w:t>
            </w:r>
            <w:r w:rsidR="002A7DDB">
              <w:t xml:space="preserve"> and varies of materials like water color, </w:t>
            </w:r>
            <w:r w:rsidR="0044451F">
              <w:t xml:space="preserve">oil </w:t>
            </w:r>
            <w:r w:rsidR="002A7DDB">
              <w:t>pastel</w:t>
            </w:r>
            <w:r w:rsidR="0044451F">
              <w:t>s</w:t>
            </w:r>
            <w:r w:rsidR="002A7DDB">
              <w:t xml:space="preserve"> and</w:t>
            </w:r>
            <w:r w:rsidR="0044451F">
              <w:t xml:space="preserve"> pencil sketch. 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370AA5" w:rsidRPr="00783D8A" w:rsidRDefault="00370AA5" w:rsidP="00FF747D">
            <w:pPr>
              <w:spacing w:before="40" w:after="40"/>
              <w:rPr>
                <w:b/>
              </w:rPr>
            </w:pPr>
            <w:r w:rsidRPr="00783D8A">
              <w:rPr>
                <w:rFonts w:hint="eastAsia"/>
                <w:b/>
              </w:rPr>
              <w:t>F</w:t>
            </w:r>
            <w:r w:rsidRPr="00783D8A">
              <w:rPr>
                <w:b/>
              </w:rP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  <w:r w:rsidR="007B5347">
              <w:t>: Soccer, basketball, track run</w:t>
            </w:r>
            <w:r w:rsidR="00F82223">
              <w:t xml:space="preserve">ning, and Tae Kwon Do (Level 3 </w:t>
            </w:r>
            <w:r w:rsidR="007B5347">
              <w:t>completed and promoted to Level 4 - green belt on 4/5/16)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905" w:rsidRDefault="00105905" w:rsidP="003210E2">
      <w:pPr>
        <w:spacing w:after="0" w:line="240" w:lineRule="auto"/>
      </w:pPr>
      <w:r>
        <w:separator/>
      </w:r>
    </w:p>
  </w:endnote>
  <w:endnote w:type="continuationSeparator" w:id="0">
    <w:p w:rsidR="00105905" w:rsidRDefault="00105905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765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6CE8" w:rsidRDefault="00FB6C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C6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10BA" w:rsidRDefault="009910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905" w:rsidRDefault="00105905" w:rsidP="003210E2">
      <w:pPr>
        <w:spacing w:after="0" w:line="240" w:lineRule="auto"/>
      </w:pPr>
      <w:r>
        <w:separator/>
      </w:r>
    </w:p>
  </w:footnote>
  <w:footnote w:type="continuationSeparator" w:id="0">
    <w:p w:rsidR="00105905" w:rsidRDefault="00105905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5E2792">
    <w:pPr>
      <w:pStyle w:val="Header"/>
    </w:pPr>
    <w:bookmarkStart w:id="0" w:name="_GoBack"/>
    <w:bookmarkEnd w:id="0"/>
    <w:r>
      <w:ptab w:relativeTo="margin" w:alignment="center" w:leader="none"/>
    </w:r>
    <w:r>
      <w:ptab w:relativeTo="margin" w:alignment="right" w:leader="none"/>
    </w:r>
    <w:r>
      <w:t>KUO, Eileen</w:t>
    </w:r>
  </w:p>
  <w:p w:rsidR="005E2792" w:rsidRDefault="005E2792">
    <w:pPr>
      <w:pStyle w:val="Header"/>
    </w:pPr>
    <w:r>
      <w:tab/>
    </w:r>
    <w:r>
      <w:tab/>
      <w:t>(#240-038-497)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33C6E"/>
    <w:rsid w:val="00064A04"/>
    <w:rsid w:val="00065DFD"/>
    <w:rsid w:val="000A246F"/>
    <w:rsid w:val="000B4DCB"/>
    <w:rsid w:val="000C5BC3"/>
    <w:rsid w:val="00105905"/>
    <w:rsid w:val="00151706"/>
    <w:rsid w:val="001B0533"/>
    <w:rsid w:val="001B1F24"/>
    <w:rsid w:val="001D594E"/>
    <w:rsid w:val="00261B47"/>
    <w:rsid w:val="00267227"/>
    <w:rsid w:val="00274A84"/>
    <w:rsid w:val="002805C0"/>
    <w:rsid w:val="00283326"/>
    <w:rsid w:val="002926C3"/>
    <w:rsid w:val="002A3E47"/>
    <w:rsid w:val="002A7DDB"/>
    <w:rsid w:val="002F40E7"/>
    <w:rsid w:val="003210E2"/>
    <w:rsid w:val="00370AA5"/>
    <w:rsid w:val="0037108B"/>
    <w:rsid w:val="00371E9A"/>
    <w:rsid w:val="003D4067"/>
    <w:rsid w:val="003E3473"/>
    <w:rsid w:val="004101E6"/>
    <w:rsid w:val="00422628"/>
    <w:rsid w:val="0044451F"/>
    <w:rsid w:val="00451D97"/>
    <w:rsid w:val="004520F6"/>
    <w:rsid w:val="00453B65"/>
    <w:rsid w:val="004824FD"/>
    <w:rsid w:val="0051604A"/>
    <w:rsid w:val="0058395D"/>
    <w:rsid w:val="005D325B"/>
    <w:rsid w:val="005E2792"/>
    <w:rsid w:val="00631E0D"/>
    <w:rsid w:val="00643820"/>
    <w:rsid w:val="006F5904"/>
    <w:rsid w:val="00711A71"/>
    <w:rsid w:val="00747E62"/>
    <w:rsid w:val="00783D8A"/>
    <w:rsid w:val="007B5347"/>
    <w:rsid w:val="007E1AE0"/>
    <w:rsid w:val="007E2F85"/>
    <w:rsid w:val="007E625B"/>
    <w:rsid w:val="00883F3C"/>
    <w:rsid w:val="008C5F9A"/>
    <w:rsid w:val="008C69B9"/>
    <w:rsid w:val="008F3E29"/>
    <w:rsid w:val="00910C96"/>
    <w:rsid w:val="009134B3"/>
    <w:rsid w:val="00932689"/>
    <w:rsid w:val="0093360A"/>
    <w:rsid w:val="0095170C"/>
    <w:rsid w:val="00953453"/>
    <w:rsid w:val="009910BA"/>
    <w:rsid w:val="00A27C13"/>
    <w:rsid w:val="00A27FD4"/>
    <w:rsid w:val="00A74590"/>
    <w:rsid w:val="00AB1949"/>
    <w:rsid w:val="00AB198D"/>
    <w:rsid w:val="00AF2FE7"/>
    <w:rsid w:val="00B441EE"/>
    <w:rsid w:val="00BB3243"/>
    <w:rsid w:val="00BC513D"/>
    <w:rsid w:val="00BC6DCF"/>
    <w:rsid w:val="00C11739"/>
    <w:rsid w:val="00C149CF"/>
    <w:rsid w:val="00C208BF"/>
    <w:rsid w:val="00C967CB"/>
    <w:rsid w:val="00CB2281"/>
    <w:rsid w:val="00CF7FE3"/>
    <w:rsid w:val="00D3090B"/>
    <w:rsid w:val="00D31D39"/>
    <w:rsid w:val="00D32C27"/>
    <w:rsid w:val="00D52B8C"/>
    <w:rsid w:val="00D56BC8"/>
    <w:rsid w:val="00D80C10"/>
    <w:rsid w:val="00D92010"/>
    <w:rsid w:val="00D9328D"/>
    <w:rsid w:val="00D97440"/>
    <w:rsid w:val="00DA09DA"/>
    <w:rsid w:val="00DB6DF1"/>
    <w:rsid w:val="00DD21AB"/>
    <w:rsid w:val="00E277ED"/>
    <w:rsid w:val="00E755EC"/>
    <w:rsid w:val="00EA447B"/>
    <w:rsid w:val="00EE6A87"/>
    <w:rsid w:val="00F22031"/>
    <w:rsid w:val="00F82223"/>
    <w:rsid w:val="00FA49A4"/>
    <w:rsid w:val="00FB6CE8"/>
    <w:rsid w:val="00FC7CB0"/>
    <w:rsid w:val="00FE536D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AB"/>
    <w:rsid w:val="000F225A"/>
    <w:rsid w:val="001C477C"/>
    <w:rsid w:val="002A2FAB"/>
    <w:rsid w:val="004A1FAB"/>
    <w:rsid w:val="0064679F"/>
    <w:rsid w:val="006F0C08"/>
    <w:rsid w:val="007019AC"/>
    <w:rsid w:val="00D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A96AFA89C47B2A7C3230880E5622A">
    <w:name w:val="EC7A96AFA89C47B2A7C3230880E5622A"/>
    <w:rsid w:val="004A1FAB"/>
  </w:style>
  <w:style w:type="paragraph" w:customStyle="1" w:styleId="14BE624E280E452F83F80615220F28EE">
    <w:name w:val="14BE624E280E452F83F80615220F28EE"/>
    <w:rsid w:val="002A2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FA71-6EB6-452C-B795-C555B146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27</cp:revision>
  <cp:lastPrinted>2015-11-19T05:25:00Z</cp:lastPrinted>
  <dcterms:created xsi:type="dcterms:W3CDTF">2016-04-13T01:20:00Z</dcterms:created>
  <dcterms:modified xsi:type="dcterms:W3CDTF">2016-04-13T14:29:00Z</dcterms:modified>
</cp:coreProperties>
</file>