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B90C9" w14:textId="6A0B6C4A" w:rsidR="002C798E" w:rsidRPr="004509CB" w:rsidRDefault="004509CB" w:rsidP="004509CB">
      <w:pPr>
        <w:jc w:val="center"/>
        <w:rPr>
          <w:b/>
          <w:bCs/>
          <w:sz w:val="24"/>
          <w:szCs w:val="24"/>
        </w:rPr>
      </w:pPr>
      <w:r w:rsidRPr="004509CB">
        <w:rPr>
          <w:b/>
          <w:bCs/>
          <w:sz w:val="24"/>
          <w:szCs w:val="24"/>
        </w:rPr>
        <w:t>Information on how risk levels are defined.</w:t>
      </w:r>
    </w:p>
    <w:p w14:paraId="398C1F49" w14:textId="77777777" w:rsidR="002C798E" w:rsidRDefault="002C798E">
      <w:pPr>
        <w:rPr>
          <w:sz w:val="24"/>
          <w:szCs w:val="24"/>
        </w:rPr>
      </w:pPr>
    </w:p>
    <w:p w14:paraId="0C902C2B" w14:textId="4FEBCB4A" w:rsidR="00053249" w:rsidRDefault="00053249">
      <w:pPr>
        <w:rPr>
          <w:sz w:val="24"/>
          <w:szCs w:val="24"/>
        </w:rPr>
      </w:pPr>
      <w:r>
        <w:rPr>
          <w:sz w:val="24"/>
          <w:szCs w:val="24"/>
        </w:rPr>
        <w:t xml:space="preserve">Users can complete the questionnaire to receive </w:t>
      </w:r>
      <w:r w:rsidR="002F22AF">
        <w:rPr>
          <w:sz w:val="24"/>
          <w:szCs w:val="24"/>
        </w:rPr>
        <w:t>a qualitative assessment</w:t>
      </w:r>
      <w:r w:rsidR="00CF071C">
        <w:rPr>
          <w:sz w:val="24"/>
          <w:szCs w:val="24"/>
        </w:rPr>
        <w:t xml:space="preserve"> of risk</w:t>
      </w:r>
      <w:r w:rsidR="002F22AF">
        <w:rPr>
          <w:sz w:val="24"/>
          <w:szCs w:val="24"/>
        </w:rPr>
        <w:t xml:space="preserve"> (low, medium, or high) for three factors: environmental risk</w:t>
      </w:r>
      <w:r w:rsidR="00EF1B5C">
        <w:rPr>
          <w:sz w:val="24"/>
          <w:szCs w:val="24"/>
        </w:rPr>
        <w:t xml:space="preserve"> for </w:t>
      </w:r>
      <w:r w:rsidR="00EF1B5C" w:rsidRPr="00EF1B5C">
        <w:rPr>
          <w:i/>
          <w:iCs/>
          <w:sz w:val="24"/>
          <w:szCs w:val="24"/>
        </w:rPr>
        <w:t>Ixodes scapularis</w:t>
      </w:r>
      <w:r w:rsidR="002F22AF">
        <w:rPr>
          <w:sz w:val="24"/>
          <w:szCs w:val="24"/>
        </w:rPr>
        <w:t>, outdoor</w:t>
      </w:r>
      <w:r w:rsidR="00C32D6E">
        <w:rPr>
          <w:sz w:val="24"/>
          <w:szCs w:val="24"/>
        </w:rPr>
        <w:t xml:space="preserve"> </w:t>
      </w:r>
      <w:r w:rsidR="00FA59BE">
        <w:rPr>
          <w:sz w:val="24"/>
          <w:szCs w:val="24"/>
        </w:rPr>
        <w:t>activities, and preventive behaviours.</w:t>
      </w:r>
      <w:r w:rsidR="004509CB">
        <w:rPr>
          <w:sz w:val="24"/>
          <w:szCs w:val="24"/>
        </w:rPr>
        <w:t xml:space="preserve"> The definitions for each are defined below.</w:t>
      </w:r>
    </w:p>
    <w:p w14:paraId="5C4E78ED" w14:textId="77777777" w:rsidR="00A971F4" w:rsidRPr="00E34A23" w:rsidRDefault="00A971F4">
      <w:pPr>
        <w:rPr>
          <w:sz w:val="24"/>
          <w:szCs w:val="24"/>
        </w:rPr>
      </w:pPr>
    </w:p>
    <w:p w14:paraId="1E9EC97B" w14:textId="4F7F6B86" w:rsidR="00CA7343" w:rsidRPr="00E34A23" w:rsidRDefault="00924AE7" w:rsidP="0044257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Environmental risk</w:t>
      </w:r>
      <w:r w:rsidR="00A62514">
        <w:rPr>
          <w:sz w:val="24"/>
          <w:szCs w:val="24"/>
        </w:rPr>
        <w:t xml:space="preserve"> for </w:t>
      </w:r>
      <w:r w:rsidR="00A62514" w:rsidRPr="00A62514">
        <w:rPr>
          <w:i/>
          <w:iCs/>
          <w:sz w:val="24"/>
          <w:szCs w:val="24"/>
        </w:rPr>
        <w:t>Ixodes scapularis</w:t>
      </w:r>
      <w:r w:rsidR="00A62514">
        <w:rPr>
          <w:sz w:val="24"/>
          <w:szCs w:val="24"/>
        </w:rPr>
        <w:t>.</w:t>
      </w:r>
    </w:p>
    <w:p w14:paraId="132A312A" w14:textId="77777777" w:rsidR="0044257C" w:rsidRPr="00E34A23" w:rsidRDefault="0044257C" w:rsidP="0044257C">
      <w:pPr>
        <w:rPr>
          <w:sz w:val="24"/>
          <w:szCs w:val="24"/>
        </w:rPr>
      </w:pPr>
    </w:p>
    <w:p w14:paraId="360930E5" w14:textId="13CA991E" w:rsidR="00F07B17" w:rsidRDefault="00F05DA0" w:rsidP="0044257C">
      <w:pPr>
        <w:rPr>
          <w:sz w:val="24"/>
          <w:szCs w:val="24"/>
        </w:rPr>
      </w:pPr>
      <w:r w:rsidRPr="00E34A23">
        <w:rPr>
          <w:sz w:val="24"/>
          <w:szCs w:val="24"/>
        </w:rPr>
        <w:t>Using the</w:t>
      </w:r>
      <w:r w:rsidR="00E34A23">
        <w:rPr>
          <w:sz w:val="24"/>
          <w:szCs w:val="24"/>
        </w:rPr>
        <w:t xml:space="preserve"> </w:t>
      </w:r>
      <w:r w:rsidR="00E34A23" w:rsidRPr="00E34A23">
        <w:rPr>
          <w:sz w:val="24"/>
          <w:szCs w:val="24"/>
        </w:rPr>
        <w:t>6-digit</w:t>
      </w:r>
      <w:r w:rsidRPr="00E34A23">
        <w:rPr>
          <w:sz w:val="24"/>
          <w:szCs w:val="24"/>
        </w:rPr>
        <w:t xml:space="preserve"> postal code, </w:t>
      </w:r>
      <w:r w:rsidR="0070589C" w:rsidRPr="00E34A23">
        <w:rPr>
          <w:sz w:val="24"/>
          <w:szCs w:val="24"/>
        </w:rPr>
        <w:t xml:space="preserve">an initial risk level is determined </w:t>
      </w:r>
      <w:r w:rsidR="00080C75">
        <w:rPr>
          <w:sz w:val="24"/>
          <w:szCs w:val="24"/>
        </w:rPr>
        <w:t>at a</w:t>
      </w:r>
      <w:r w:rsidR="002341CA">
        <w:rPr>
          <w:sz w:val="24"/>
          <w:szCs w:val="24"/>
        </w:rPr>
        <w:t xml:space="preserve"> 1km</w:t>
      </w:r>
      <w:r w:rsidR="002341CA" w:rsidRPr="002341CA">
        <w:rPr>
          <w:sz w:val="24"/>
          <w:szCs w:val="24"/>
          <w:vertAlign w:val="superscript"/>
        </w:rPr>
        <w:t>2</w:t>
      </w:r>
      <w:r w:rsidR="002341CA">
        <w:rPr>
          <w:sz w:val="24"/>
          <w:szCs w:val="24"/>
        </w:rPr>
        <w:t xml:space="preserve"> resolution </w:t>
      </w:r>
      <w:r w:rsidR="0070589C" w:rsidRPr="00E34A23">
        <w:rPr>
          <w:sz w:val="24"/>
          <w:szCs w:val="24"/>
        </w:rPr>
        <w:t xml:space="preserve">using </w:t>
      </w:r>
      <w:r w:rsidR="00EE5545">
        <w:rPr>
          <w:sz w:val="24"/>
          <w:szCs w:val="24"/>
        </w:rPr>
        <w:t>habitat suitability data</w:t>
      </w:r>
      <w:r w:rsidR="005D7466" w:rsidRPr="00E34A23">
        <w:rPr>
          <w:sz w:val="24"/>
          <w:szCs w:val="24"/>
        </w:rPr>
        <w:t xml:space="preserve"> </w:t>
      </w:r>
      <w:r w:rsidR="00B160BC" w:rsidRPr="00E34A23">
        <w:rPr>
          <w:sz w:val="24"/>
          <w:szCs w:val="24"/>
        </w:rPr>
        <w:t xml:space="preserve">for </w:t>
      </w:r>
      <w:r w:rsidR="00B160BC" w:rsidRPr="00E34A23">
        <w:rPr>
          <w:i/>
          <w:iCs/>
          <w:sz w:val="24"/>
          <w:szCs w:val="24"/>
        </w:rPr>
        <w:t>Ixodes scapularis</w:t>
      </w:r>
      <w:r w:rsidR="00EB5EC0">
        <w:rPr>
          <w:i/>
          <w:iCs/>
          <w:sz w:val="24"/>
          <w:szCs w:val="24"/>
        </w:rPr>
        <w:t xml:space="preserve"> </w:t>
      </w:r>
      <w:r w:rsidR="00EB5EC0" w:rsidRPr="00EB5EC0">
        <w:rPr>
          <w:sz w:val="24"/>
          <w:szCs w:val="24"/>
        </w:rPr>
        <w:t>(</w:t>
      </w:r>
      <w:r w:rsidR="00EB5EC0">
        <w:rPr>
          <w:sz w:val="24"/>
          <w:szCs w:val="24"/>
        </w:rPr>
        <w:t>the eastern blacklegged tick)</w:t>
      </w:r>
      <w:r w:rsidR="00141529" w:rsidRPr="00E34A23">
        <w:rPr>
          <w:sz w:val="24"/>
          <w:szCs w:val="24"/>
        </w:rPr>
        <w:t xml:space="preserve">, which is then modified </w:t>
      </w:r>
      <w:r w:rsidR="000B66D2">
        <w:rPr>
          <w:sz w:val="24"/>
          <w:szCs w:val="24"/>
        </w:rPr>
        <w:t>by</w:t>
      </w:r>
      <w:r w:rsidR="00141529" w:rsidRPr="00E34A23">
        <w:rPr>
          <w:sz w:val="24"/>
          <w:szCs w:val="24"/>
        </w:rPr>
        <w:t xml:space="preserve"> the presence</w:t>
      </w:r>
      <w:r w:rsidR="003D0F81">
        <w:rPr>
          <w:sz w:val="24"/>
          <w:szCs w:val="24"/>
        </w:rPr>
        <w:t xml:space="preserve"> or </w:t>
      </w:r>
      <w:r w:rsidR="00141529" w:rsidRPr="00E34A23">
        <w:rPr>
          <w:sz w:val="24"/>
          <w:szCs w:val="24"/>
        </w:rPr>
        <w:t xml:space="preserve">absence of </w:t>
      </w:r>
      <w:r w:rsidR="00801671" w:rsidRPr="00E34A23">
        <w:rPr>
          <w:sz w:val="24"/>
          <w:szCs w:val="24"/>
        </w:rPr>
        <w:t xml:space="preserve">specific property features, as demonstrated in </w:t>
      </w:r>
      <w:r w:rsidR="00416BDC">
        <w:rPr>
          <w:sz w:val="24"/>
          <w:szCs w:val="24"/>
        </w:rPr>
        <w:t>Figure 1</w:t>
      </w:r>
      <w:r w:rsidR="00141529" w:rsidRPr="00E34A23">
        <w:rPr>
          <w:sz w:val="24"/>
          <w:szCs w:val="24"/>
        </w:rPr>
        <w:t>.</w:t>
      </w:r>
      <w:r w:rsidR="00B160BC" w:rsidRPr="00E34A23">
        <w:rPr>
          <w:sz w:val="24"/>
          <w:szCs w:val="24"/>
        </w:rPr>
        <w:t xml:space="preserve"> </w:t>
      </w:r>
      <w:r w:rsidR="009310A3">
        <w:rPr>
          <w:sz w:val="24"/>
          <w:szCs w:val="24"/>
        </w:rPr>
        <w:t xml:space="preserve">Please note that these </w:t>
      </w:r>
      <w:r w:rsidR="009C5BFF">
        <w:rPr>
          <w:sz w:val="24"/>
          <w:szCs w:val="24"/>
        </w:rPr>
        <w:t>risk levels</w:t>
      </w:r>
      <w:r w:rsidR="009310A3">
        <w:rPr>
          <w:sz w:val="24"/>
          <w:szCs w:val="24"/>
        </w:rPr>
        <w:t xml:space="preserve"> indicate risk for encountering </w:t>
      </w:r>
      <w:r w:rsidR="001A78FD" w:rsidRPr="00EB5EC0">
        <w:rPr>
          <w:i/>
          <w:iCs/>
          <w:sz w:val="24"/>
          <w:szCs w:val="24"/>
        </w:rPr>
        <w:t>Ixodes scapularis</w:t>
      </w:r>
      <w:r w:rsidR="00067FDE">
        <w:rPr>
          <w:sz w:val="24"/>
          <w:szCs w:val="24"/>
        </w:rPr>
        <w:t>. They</w:t>
      </w:r>
      <w:r w:rsidR="00EB5EC0">
        <w:rPr>
          <w:sz w:val="24"/>
          <w:szCs w:val="24"/>
        </w:rPr>
        <w:t xml:space="preserve"> </w:t>
      </w:r>
      <w:r w:rsidR="00EB5EC0" w:rsidRPr="00EB5EC0">
        <w:rPr>
          <w:sz w:val="24"/>
          <w:szCs w:val="24"/>
          <w:u w:val="single"/>
        </w:rPr>
        <w:t>do not</w:t>
      </w:r>
      <w:r w:rsidR="00EB5EC0">
        <w:rPr>
          <w:sz w:val="24"/>
          <w:szCs w:val="24"/>
        </w:rPr>
        <w:t xml:space="preserve"> indicate</w:t>
      </w:r>
      <w:r w:rsidR="001A78FD">
        <w:rPr>
          <w:sz w:val="24"/>
          <w:szCs w:val="24"/>
        </w:rPr>
        <w:t xml:space="preserve"> risk for Lyme disease or other diseases which can be transmitted by ticks. </w:t>
      </w:r>
    </w:p>
    <w:p w14:paraId="484D687E" w14:textId="77777777" w:rsidR="00A42D8E" w:rsidRDefault="00A42D8E" w:rsidP="0044257C">
      <w:pPr>
        <w:rPr>
          <w:sz w:val="24"/>
          <w:szCs w:val="24"/>
        </w:rPr>
      </w:pPr>
    </w:p>
    <w:p w14:paraId="28A9CFCB" w14:textId="4CCF4589" w:rsidR="00F07B17" w:rsidRDefault="00F07B17" w:rsidP="00D44F42">
      <w:pPr>
        <w:jc w:val="center"/>
        <w:rPr>
          <w:sz w:val="24"/>
          <w:szCs w:val="24"/>
        </w:rPr>
      </w:pPr>
    </w:p>
    <w:p w14:paraId="6855243F" w14:textId="3A197B07" w:rsidR="00B015E5" w:rsidRDefault="00993A5A" w:rsidP="00644BA2">
      <w:pPr>
        <w:rPr>
          <w:sz w:val="24"/>
          <w:szCs w:val="24"/>
        </w:rPr>
      </w:pPr>
      <w:r>
        <w:rPr>
          <w:sz w:val="24"/>
          <w:szCs w:val="24"/>
        </w:rPr>
        <w:t xml:space="preserve">Risk for </w:t>
      </w:r>
      <w:r w:rsidRPr="00CF071C">
        <w:rPr>
          <w:i/>
          <w:iCs/>
          <w:sz w:val="24"/>
          <w:szCs w:val="24"/>
        </w:rPr>
        <w:t>Ixodes scapularis</w:t>
      </w:r>
      <w:r w:rsidR="00EE5545">
        <w:rPr>
          <w:sz w:val="24"/>
          <w:szCs w:val="24"/>
        </w:rPr>
        <w:t xml:space="preserve"> </w:t>
      </w:r>
      <w:r w:rsidR="001A13A8">
        <w:rPr>
          <w:sz w:val="24"/>
          <w:szCs w:val="24"/>
        </w:rPr>
        <w:t>was computed</w:t>
      </w:r>
      <w:r w:rsidR="00B160BC" w:rsidRPr="00E34A23">
        <w:rPr>
          <w:sz w:val="24"/>
          <w:szCs w:val="24"/>
        </w:rPr>
        <w:t xml:space="preserve"> </w:t>
      </w:r>
      <w:r w:rsidR="00CB20EA">
        <w:rPr>
          <w:sz w:val="24"/>
          <w:szCs w:val="24"/>
        </w:rPr>
        <w:t>by integrating</w:t>
      </w:r>
      <w:r w:rsidR="00E9563A" w:rsidRPr="00E34A23">
        <w:rPr>
          <w:sz w:val="24"/>
          <w:szCs w:val="24"/>
        </w:rPr>
        <w:t xml:space="preserve"> data </w:t>
      </w:r>
      <w:r w:rsidR="00D3492A" w:rsidRPr="00E34A23">
        <w:rPr>
          <w:sz w:val="24"/>
          <w:szCs w:val="24"/>
        </w:rPr>
        <w:t>on</w:t>
      </w:r>
      <w:r w:rsidR="00E9563A" w:rsidRPr="00E34A23">
        <w:rPr>
          <w:sz w:val="24"/>
          <w:szCs w:val="24"/>
        </w:rPr>
        <w:t xml:space="preserve"> temperature (cumulative annual surface degree-days</w:t>
      </w:r>
      <w:r w:rsidR="00EB53E5" w:rsidRPr="00E34A23">
        <w:rPr>
          <w:sz w:val="24"/>
          <w:szCs w:val="24"/>
        </w:rPr>
        <w:t xml:space="preserve"> above 0◦C) and </w:t>
      </w:r>
      <w:r w:rsidR="00C93D68" w:rsidRPr="00E34A23">
        <w:rPr>
          <w:sz w:val="24"/>
          <w:szCs w:val="24"/>
        </w:rPr>
        <w:t>suitable habitat cover</w:t>
      </w:r>
      <w:r w:rsidR="00D3492A" w:rsidRPr="00E34A23">
        <w:rPr>
          <w:sz w:val="24"/>
          <w:szCs w:val="24"/>
        </w:rPr>
        <w:t xml:space="preserve"> (presence or absence)</w:t>
      </w:r>
      <w:r w:rsidR="00EB53E5" w:rsidRPr="00E34A23">
        <w:rPr>
          <w:sz w:val="24"/>
          <w:szCs w:val="24"/>
        </w:rPr>
        <w:t xml:space="preserve"> collected between </w:t>
      </w:r>
      <w:r w:rsidR="006D2FEF" w:rsidRPr="00E34A23">
        <w:rPr>
          <w:sz w:val="24"/>
          <w:szCs w:val="24"/>
        </w:rPr>
        <w:t>2018 and 2023</w:t>
      </w:r>
      <w:r w:rsidR="00474D51">
        <w:rPr>
          <w:sz w:val="24"/>
          <w:szCs w:val="24"/>
        </w:rPr>
        <w:t xml:space="preserve"> to give a quantitative index of </w:t>
      </w:r>
      <w:r>
        <w:rPr>
          <w:sz w:val="24"/>
          <w:szCs w:val="24"/>
        </w:rPr>
        <w:t>risk</w:t>
      </w:r>
      <w:r w:rsidR="00921086" w:rsidRPr="00E34A23">
        <w:rPr>
          <w:sz w:val="24"/>
          <w:szCs w:val="24"/>
        </w:rPr>
        <w:t xml:space="preserve">. </w:t>
      </w:r>
      <w:r w:rsidR="0048312D">
        <w:rPr>
          <w:sz w:val="24"/>
          <w:szCs w:val="24"/>
        </w:rPr>
        <w:t xml:space="preserve">Further information on the methodology used to compute </w:t>
      </w:r>
      <w:r>
        <w:rPr>
          <w:sz w:val="24"/>
          <w:szCs w:val="24"/>
        </w:rPr>
        <w:t xml:space="preserve">risk for </w:t>
      </w:r>
      <w:r w:rsidRPr="00CF071C">
        <w:rPr>
          <w:i/>
          <w:iCs/>
          <w:sz w:val="24"/>
          <w:szCs w:val="24"/>
        </w:rPr>
        <w:t>Ixodes scapularis</w:t>
      </w:r>
      <w:r>
        <w:rPr>
          <w:sz w:val="24"/>
          <w:szCs w:val="24"/>
        </w:rPr>
        <w:t xml:space="preserve"> can be found </w:t>
      </w:r>
      <w:r w:rsidR="00B7371B">
        <w:rPr>
          <w:sz w:val="24"/>
          <w:szCs w:val="24"/>
        </w:rPr>
        <w:t>at Kotchi et al (2021)</w:t>
      </w:r>
      <w:r w:rsidR="00B7371B">
        <w:rPr>
          <w:rStyle w:val="Appelnotedebasdep"/>
          <w:sz w:val="24"/>
          <w:szCs w:val="24"/>
        </w:rPr>
        <w:footnoteReference w:id="1"/>
      </w:r>
      <w:r w:rsidR="00B7371B">
        <w:rPr>
          <w:sz w:val="24"/>
          <w:szCs w:val="24"/>
        </w:rPr>
        <w:t>.</w:t>
      </w:r>
      <w:r w:rsidR="0048312D">
        <w:rPr>
          <w:sz w:val="24"/>
          <w:szCs w:val="24"/>
        </w:rPr>
        <w:t xml:space="preserve"> </w:t>
      </w:r>
      <w:r w:rsidR="00B17215">
        <w:rPr>
          <w:sz w:val="24"/>
          <w:szCs w:val="24"/>
        </w:rPr>
        <w:t>Using the</w:t>
      </w:r>
      <w:r w:rsidR="00474D51">
        <w:rPr>
          <w:sz w:val="24"/>
          <w:szCs w:val="24"/>
        </w:rPr>
        <w:t xml:space="preserve"> Jenks optimisation method and Jenks natural breaks</w:t>
      </w:r>
      <w:r w:rsidR="00B17215">
        <w:rPr>
          <w:sz w:val="24"/>
          <w:szCs w:val="24"/>
        </w:rPr>
        <w:t xml:space="preserve">, the </w:t>
      </w:r>
      <w:r w:rsidR="00B7371B">
        <w:rPr>
          <w:sz w:val="24"/>
          <w:szCs w:val="24"/>
        </w:rPr>
        <w:t>risk</w:t>
      </w:r>
      <w:r w:rsidR="00B17215">
        <w:rPr>
          <w:sz w:val="24"/>
          <w:szCs w:val="24"/>
        </w:rPr>
        <w:t xml:space="preserve"> index was categorised at a 1km</w:t>
      </w:r>
      <w:r w:rsidR="00B17215" w:rsidRPr="00B17215">
        <w:rPr>
          <w:sz w:val="24"/>
          <w:szCs w:val="24"/>
          <w:vertAlign w:val="superscript"/>
        </w:rPr>
        <w:t>2</w:t>
      </w:r>
      <w:r w:rsidR="00B17215">
        <w:rPr>
          <w:sz w:val="24"/>
          <w:szCs w:val="24"/>
        </w:rPr>
        <w:t xml:space="preserve"> resolution into three levels: low, medium, and high</w:t>
      </w:r>
      <w:r w:rsidR="00474D51">
        <w:rPr>
          <w:sz w:val="24"/>
          <w:szCs w:val="24"/>
        </w:rPr>
        <w:t>.</w:t>
      </w:r>
      <w:r w:rsidR="00EE5545">
        <w:rPr>
          <w:sz w:val="24"/>
          <w:szCs w:val="24"/>
        </w:rPr>
        <w:t xml:space="preserve"> The</w:t>
      </w:r>
      <w:r w:rsidR="00FB6254">
        <w:rPr>
          <w:sz w:val="24"/>
          <w:szCs w:val="24"/>
        </w:rPr>
        <w:t>se</w:t>
      </w:r>
      <w:r w:rsidR="00EE5545">
        <w:rPr>
          <w:sz w:val="24"/>
          <w:szCs w:val="24"/>
        </w:rPr>
        <w:t xml:space="preserve"> </w:t>
      </w:r>
      <w:r w:rsidR="00826B92">
        <w:rPr>
          <w:sz w:val="24"/>
          <w:szCs w:val="24"/>
        </w:rPr>
        <w:t>risk levels</w:t>
      </w:r>
      <w:r w:rsidR="00921086" w:rsidRPr="00E34A23">
        <w:rPr>
          <w:sz w:val="24"/>
          <w:szCs w:val="24"/>
        </w:rPr>
        <w:t xml:space="preserve"> </w:t>
      </w:r>
      <w:r w:rsidR="004949F9" w:rsidRPr="00E34A23">
        <w:rPr>
          <w:sz w:val="24"/>
          <w:szCs w:val="24"/>
        </w:rPr>
        <w:t xml:space="preserve">were produced for </w:t>
      </w:r>
      <w:r w:rsidR="00FB6254">
        <w:rPr>
          <w:sz w:val="24"/>
          <w:szCs w:val="24"/>
        </w:rPr>
        <w:t xml:space="preserve">all postal codes within </w:t>
      </w:r>
      <w:r w:rsidR="004949F9" w:rsidRPr="00E34A23">
        <w:rPr>
          <w:sz w:val="24"/>
          <w:szCs w:val="24"/>
        </w:rPr>
        <w:t>Manitoba, central</w:t>
      </w:r>
      <w:r w:rsidR="00FB6254">
        <w:rPr>
          <w:sz w:val="24"/>
          <w:szCs w:val="24"/>
        </w:rPr>
        <w:t xml:space="preserve"> Canada</w:t>
      </w:r>
      <w:r w:rsidR="004949F9" w:rsidRPr="00E34A23">
        <w:rPr>
          <w:sz w:val="24"/>
          <w:szCs w:val="24"/>
        </w:rPr>
        <w:t>, and eastern Canada</w:t>
      </w:r>
      <w:r w:rsidR="009B3A13">
        <w:rPr>
          <w:sz w:val="24"/>
          <w:szCs w:val="24"/>
        </w:rPr>
        <w:t xml:space="preserve"> to assess the </w:t>
      </w:r>
      <w:r w:rsidR="004949F9" w:rsidRPr="00E34A23">
        <w:rPr>
          <w:sz w:val="24"/>
          <w:szCs w:val="24"/>
        </w:rPr>
        <w:t xml:space="preserve">risk </w:t>
      </w:r>
      <w:r w:rsidR="005845BA">
        <w:rPr>
          <w:sz w:val="24"/>
          <w:szCs w:val="24"/>
        </w:rPr>
        <w:t>of</w:t>
      </w:r>
      <w:r w:rsidR="00921086" w:rsidRPr="00E34A23">
        <w:rPr>
          <w:sz w:val="24"/>
          <w:szCs w:val="24"/>
        </w:rPr>
        <w:t xml:space="preserve"> </w:t>
      </w:r>
      <w:r w:rsidR="00921086" w:rsidRPr="00E34A23">
        <w:rPr>
          <w:i/>
          <w:iCs/>
          <w:sz w:val="24"/>
          <w:szCs w:val="24"/>
        </w:rPr>
        <w:t>Ixodes scapularis</w:t>
      </w:r>
      <w:r w:rsidR="00615477" w:rsidRPr="00E34A23">
        <w:rPr>
          <w:sz w:val="24"/>
          <w:szCs w:val="24"/>
        </w:rPr>
        <w:t xml:space="preserve"> (</w:t>
      </w:r>
      <w:r w:rsidR="000D01B8">
        <w:rPr>
          <w:sz w:val="24"/>
          <w:szCs w:val="24"/>
        </w:rPr>
        <w:t xml:space="preserve">the </w:t>
      </w:r>
      <w:r w:rsidR="00615477" w:rsidRPr="00E34A23">
        <w:rPr>
          <w:sz w:val="24"/>
          <w:szCs w:val="24"/>
        </w:rPr>
        <w:t>eastern blacklegged tick)</w:t>
      </w:r>
      <w:r w:rsidR="009B3A13">
        <w:rPr>
          <w:sz w:val="24"/>
          <w:szCs w:val="24"/>
        </w:rPr>
        <w:t xml:space="preserve">. </w:t>
      </w:r>
      <w:r w:rsidR="00270DA1">
        <w:rPr>
          <w:sz w:val="24"/>
          <w:szCs w:val="24"/>
        </w:rPr>
        <w:t>T</w:t>
      </w:r>
      <w:r w:rsidR="00B015E5">
        <w:rPr>
          <w:sz w:val="24"/>
          <w:szCs w:val="24"/>
        </w:rPr>
        <w:t>hey</w:t>
      </w:r>
      <w:r w:rsidR="009B3A13">
        <w:rPr>
          <w:sz w:val="24"/>
          <w:szCs w:val="24"/>
        </w:rPr>
        <w:t xml:space="preserve"> </w:t>
      </w:r>
      <w:r w:rsidR="009B3A13" w:rsidRPr="00270DA1">
        <w:rPr>
          <w:sz w:val="24"/>
          <w:szCs w:val="24"/>
          <w:u w:val="single"/>
        </w:rPr>
        <w:t>are</w:t>
      </w:r>
      <w:r w:rsidR="005F6C50" w:rsidRPr="00270DA1">
        <w:rPr>
          <w:sz w:val="24"/>
          <w:szCs w:val="24"/>
          <w:u w:val="single"/>
        </w:rPr>
        <w:t xml:space="preserve"> </w:t>
      </w:r>
      <w:r w:rsidR="00921086" w:rsidRPr="00270DA1">
        <w:rPr>
          <w:sz w:val="24"/>
          <w:szCs w:val="24"/>
          <w:u w:val="single"/>
        </w:rPr>
        <w:t>not</w:t>
      </w:r>
      <w:r w:rsidR="005F6C50">
        <w:rPr>
          <w:sz w:val="24"/>
          <w:szCs w:val="24"/>
        </w:rPr>
        <w:t xml:space="preserve"> </w:t>
      </w:r>
      <w:r w:rsidR="005845BA">
        <w:rPr>
          <w:sz w:val="24"/>
          <w:szCs w:val="24"/>
        </w:rPr>
        <w:t>applicable</w:t>
      </w:r>
      <w:r w:rsidR="005F6C50">
        <w:rPr>
          <w:sz w:val="24"/>
          <w:szCs w:val="24"/>
        </w:rPr>
        <w:t xml:space="preserve"> for assessing the risk of</w:t>
      </w:r>
      <w:r w:rsidR="00921086" w:rsidRPr="00E34A23">
        <w:rPr>
          <w:sz w:val="24"/>
          <w:szCs w:val="24"/>
        </w:rPr>
        <w:t xml:space="preserve"> </w:t>
      </w:r>
      <w:r w:rsidR="00921086" w:rsidRPr="00E34A23">
        <w:rPr>
          <w:i/>
          <w:iCs/>
          <w:sz w:val="24"/>
          <w:szCs w:val="24"/>
        </w:rPr>
        <w:t>Ixodes pacificus</w:t>
      </w:r>
      <w:r w:rsidR="00615477" w:rsidRPr="00E34A23">
        <w:rPr>
          <w:sz w:val="24"/>
          <w:szCs w:val="24"/>
        </w:rPr>
        <w:t xml:space="preserve"> (</w:t>
      </w:r>
      <w:r w:rsidR="000D01B8">
        <w:rPr>
          <w:sz w:val="24"/>
          <w:szCs w:val="24"/>
        </w:rPr>
        <w:t xml:space="preserve">the </w:t>
      </w:r>
      <w:r w:rsidR="00615477" w:rsidRPr="00E34A23">
        <w:rPr>
          <w:sz w:val="24"/>
          <w:szCs w:val="24"/>
        </w:rPr>
        <w:t>western blacklegged tick)</w:t>
      </w:r>
      <w:r w:rsidR="004949F9" w:rsidRPr="00E34A23">
        <w:rPr>
          <w:sz w:val="24"/>
          <w:szCs w:val="24"/>
        </w:rPr>
        <w:t xml:space="preserve">. </w:t>
      </w:r>
      <w:r w:rsidR="004F1EA9">
        <w:rPr>
          <w:sz w:val="24"/>
          <w:szCs w:val="24"/>
        </w:rPr>
        <w:t>Individuals</w:t>
      </w:r>
      <w:r w:rsidR="004949F9" w:rsidRPr="00E34A23">
        <w:rPr>
          <w:sz w:val="24"/>
          <w:szCs w:val="24"/>
        </w:rPr>
        <w:t xml:space="preserve"> </w:t>
      </w:r>
      <w:r w:rsidR="005845BA">
        <w:rPr>
          <w:sz w:val="24"/>
          <w:szCs w:val="24"/>
        </w:rPr>
        <w:t>residing</w:t>
      </w:r>
      <w:r w:rsidR="005642B7" w:rsidRPr="00E34A23">
        <w:rPr>
          <w:sz w:val="24"/>
          <w:szCs w:val="24"/>
        </w:rPr>
        <w:t xml:space="preserve"> west of Manitoba </w:t>
      </w:r>
      <w:r w:rsidR="005845BA">
        <w:rPr>
          <w:sz w:val="24"/>
          <w:szCs w:val="24"/>
        </w:rPr>
        <w:t>are advised to</w:t>
      </w:r>
      <w:r w:rsidR="00EB50E8" w:rsidRPr="00E34A23">
        <w:rPr>
          <w:sz w:val="24"/>
          <w:szCs w:val="24"/>
        </w:rPr>
        <w:t xml:space="preserve"> consult</w:t>
      </w:r>
      <w:r w:rsidR="00530342">
        <w:rPr>
          <w:sz w:val="24"/>
          <w:szCs w:val="24"/>
        </w:rPr>
        <w:t xml:space="preserve"> provincial resources and</w:t>
      </w:r>
      <w:r w:rsidR="00D46D95" w:rsidRPr="00E34A23">
        <w:rPr>
          <w:sz w:val="24"/>
          <w:szCs w:val="24"/>
        </w:rPr>
        <w:t xml:space="preserve"> </w:t>
      </w:r>
      <w:hyperlink r:id="rId11" w:history="1">
        <w:r w:rsidR="00644BA2" w:rsidRPr="00530342">
          <w:rPr>
            <w:rStyle w:val="Hyperlien"/>
            <w:sz w:val="24"/>
            <w:szCs w:val="24"/>
          </w:rPr>
          <w:t>eTick</w:t>
        </w:r>
      </w:hyperlink>
      <w:r w:rsidR="00056A65">
        <w:rPr>
          <w:sz w:val="24"/>
          <w:szCs w:val="24"/>
        </w:rPr>
        <w:t xml:space="preserve"> to </w:t>
      </w:r>
      <w:r w:rsidR="00530342">
        <w:rPr>
          <w:sz w:val="24"/>
          <w:szCs w:val="24"/>
        </w:rPr>
        <w:t xml:space="preserve">learn more about </w:t>
      </w:r>
      <w:r w:rsidR="00D62728">
        <w:rPr>
          <w:sz w:val="24"/>
          <w:szCs w:val="24"/>
        </w:rPr>
        <w:t xml:space="preserve">potential </w:t>
      </w:r>
      <w:r w:rsidR="00530342">
        <w:rPr>
          <w:sz w:val="24"/>
          <w:szCs w:val="24"/>
        </w:rPr>
        <w:t>risk for blacklegged ticks</w:t>
      </w:r>
      <w:r w:rsidR="00D62728">
        <w:rPr>
          <w:sz w:val="24"/>
          <w:szCs w:val="24"/>
        </w:rPr>
        <w:t xml:space="preserve"> in these regions.</w:t>
      </w:r>
    </w:p>
    <w:p w14:paraId="752E06E8" w14:textId="1A9ABA1E" w:rsidR="002C6552" w:rsidRDefault="002C6552" w:rsidP="00644BA2">
      <w:pPr>
        <w:rPr>
          <w:sz w:val="24"/>
          <w:szCs w:val="24"/>
        </w:rPr>
      </w:pPr>
    </w:p>
    <w:p w14:paraId="31B03077" w14:textId="0C284352" w:rsidR="000719A8" w:rsidRDefault="000719A8" w:rsidP="00644BA2">
      <w:pPr>
        <w:rPr>
          <w:sz w:val="24"/>
          <w:szCs w:val="24"/>
        </w:rPr>
      </w:pPr>
      <w:r>
        <w:rPr>
          <w:sz w:val="24"/>
          <w:szCs w:val="24"/>
        </w:rPr>
        <w:t>F</w:t>
      </w:r>
      <w:r w:rsidR="00416BDC">
        <w:rPr>
          <w:sz w:val="24"/>
          <w:szCs w:val="24"/>
        </w:rPr>
        <w:t>igure 1</w:t>
      </w:r>
      <w:r>
        <w:rPr>
          <w:sz w:val="24"/>
          <w:szCs w:val="24"/>
        </w:rPr>
        <w:t xml:space="preserve">: Decision tree for assessing </w:t>
      </w:r>
      <w:r w:rsidR="00930184">
        <w:rPr>
          <w:sz w:val="24"/>
          <w:szCs w:val="24"/>
        </w:rPr>
        <w:t xml:space="preserve">risk </w:t>
      </w:r>
      <w:r w:rsidR="00416BDC">
        <w:rPr>
          <w:sz w:val="24"/>
          <w:szCs w:val="24"/>
        </w:rPr>
        <w:t>of</w:t>
      </w:r>
      <w:r w:rsidR="00930184">
        <w:rPr>
          <w:sz w:val="24"/>
          <w:szCs w:val="24"/>
        </w:rPr>
        <w:t xml:space="preserve"> blacklegged ticks in the environment. </w:t>
      </w:r>
    </w:p>
    <w:p w14:paraId="38C018D0" w14:textId="33951FB4" w:rsidR="00D62728" w:rsidRDefault="00977B84" w:rsidP="000719A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AEE1494" wp14:editId="6E342ACD">
            <wp:extent cx="5943600" cy="7128510"/>
            <wp:effectExtent l="0" t="0" r="0" b="0"/>
            <wp:docPr id="769613366" name="Picture 5" descr="A computer screen 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613366" name="Picture 5" descr="A computer screen shot of a diagram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42689" w14:textId="77777777" w:rsidR="006D286D" w:rsidRDefault="006D286D" w:rsidP="000719A8">
      <w:pPr>
        <w:jc w:val="center"/>
        <w:rPr>
          <w:sz w:val="24"/>
          <w:szCs w:val="24"/>
        </w:rPr>
      </w:pPr>
    </w:p>
    <w:p w14:paraId="495AA17F" w14:textId="2A3075FB" w:rsidR="00D62728" w:rsidRPr="00B50021" w:rsidRDefault="00053249" w:rsidP="002C655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Outdoor activities</w:t>
      </w:r>
    </w:p>
    <w:p w14:paraId="76463CC3" w14:textId="32757FF9" w:rsidR="004F5AD3" w:rsidRDefault="00665509" w:rsidP="002C6552">
      <w:pPr>
        <w:rPr>
          <w:sz w:val="24"/>
          <w:szCs w:val="24"/>
        </w:rPr>
      </w:pPr>
      <w:r>
        <w:rPr>
          <w:sz w:val="24"/>
          <w:szCs w:val="24"/>
        </w:rPr>
        <w:t xml:space="preserve">Risk associated with </w:t>
      </w:r>
      <w:r w:rsidR="005343E0">
        <w:rPr>
          <w:sz w:val="24"/>
          <w:szCs w:val="24"/>
        </w:rPr>
        <w:t xml:space="preserve">outdoor activities is </w:t>
      </w:r>
      <w:r w:rsidR="0028397D">
        <w:rPr>
          <w:sz w:val="24"/>
          <w:szCs w:val="24"/>
        </w:rPr>
        <w:t xml:space="preserve">formulated based on </w:t>
      </w:r>
      <w:r w:rsidR="00F364DE">
        <w:rPr>
          <w:sz w:val="24"/>
          <w:szCs w:val="24"/>
        </w:rPr>
        <w:t xml:space="preserve">prior tick exposure and the number of hours </w:t>
      </w:r>
      <w:r w:rsidR="00CF071C">
        <w:rPr>
          <w:sz w:val="24"/>
          <w:szCs w:val="24"/>
        </w:rPr>
        <w:t xml:space="preserve">per day </w:t>
      </w:r>
      <w:r w:rsidR="00F364DE">
        <w:rPr>
          <w:sz w:val="24"/>
          <w:szCs w:val="24"/>
        </w:rPr>
        <w:t>spent outdoor</w:t>
      </w:r>
      <w:r w:rsidR="00CF071C">
        <w:rPr>
          <w:sz w:val="24"/>
          <w:szCs w:val="24"/>
        </w:rPr>
        <w:t>s</w:t>
      </w:r>
      <w:r w:rsidR="00F364DE">
        <w:rPr>
          <w:sz w:val="24"/>
          <w:szCs w:val="24"/>
        </w:rPr>
        <w:t xml:space="preserve"> </w:t>
      </w:r>
      <w:r w:rsidR="00CF071C">
        <w:rPr>
          <w:sz w:val="24"/>
          <w:szCs w:val="24"/>
        </w:rPr>
        <w:t>for</w:t>
      </w:r>
      <w:r w:rsidR="00F364DE">
        <w:rPr>
          <w:sz w:val="24"/>
          <w:szCs w:val="24"/>
        </w:rPr>
        <w:t xml:space="preserve"> recreational activities or </w:t>
      </w:r>
      <w:r w:rsidR="00A82C70">
        <w:rPr>
          <w:sz w:val="24"/>
          <w:szCs w:val="24"/>
        </w:rPr>
        <w:t xml:space="preserve">in wooded areas for </w:t>
      </w:r>
      <w:r w:rsidR="00F364DE">
        <w:rPr>
          <w:sz w:val="24"/>
          <w:szCs w:val="24"/>
        </w:rPr>
        <w:t>employment</w:t>
      </w:r>
      <w:r w:rsidR="004F5AD3">
        <w:rPr>
          <w:sz w:val="24"/>
          <w:szCs w:val="24"/>
        </w:rPr>
        <w:t>, as demonstrated in F</w:t>
      </w:r>
      <w:r w:rsidR="00416BDC">
        <w:rPr>
          <w:sz w:val="24"/>
          <w:szCs w:val="24"/>
        </w:rPr>
        <w:t>igure</w:t>
      </w:r>
      <w:r w:rsidR="004F5AD3">
        <w:rPr>
          <w:sz w:val="24"/>
          <w:szCs w:val="24"/>
        </w:rPr>
        <w:t xml:space="preserve"> 2.</w:t>
      </w:r>
    </w:p>
    <w:p w14:paraId="35D6F094" w14:textId="77777777" w:rsidR="004F5AD3" w:rsidRDefault="004F5AD3" w:rsidP="002C6552">
      <w:pPr>
        <w:rPr>
          <w:sz w:val="24"/>
          <w:szCs w:val="24"/>
        </w:rPr>
      </w:pPr>
    </w:p>
    <w:p w14:paraId="21295D67" w14:textId="60D8FF64" w:rsidR="00665509" w:rsidRDefault="006D286D" w:rsidP="006D286D">
      <w:pPr>
        <w:rPr>
          <w:sz w:val="24"/>
          <w:szCs w:val="24"/>
        </w:rPr>
      </w:pPr>
      <w:r>
        <w:rPr>
          <w:sz w:val="24"/>
          <w:szCs w:val="24"/>
        </w:rPr>
        <w:lastRenderedPageBreak/>
        <w:t>F</w:t>
      </w:r>
      <w:r w:rsidR="00416BDC">
        <w:rPr>
          <w:sz w:val="24"/>
          <w:szCs w:val="24"/>
        </w:rPr>
        <w:t>igure 2</w:t>
      </w:r>
      <w:r>
        <w:rPr>
          <w:sz w:val="24"/>
          <w:szCs w:val="24"/>
        </w:rPr>
        <w:t xml:space="preserve">: </w:t>
      </w:r>
      <w:r w:rsidR="00416BDC">
        <w:rPr>
          <w:sz w:val="24"/>
          <w:szCs w:val="24"/>
        </w:rPr>
        <w:t>Decision tree for assessing risk of exposure to blacklegged ticks associated with outdoor activities</w:t>
      </w:r>
      <w:r w:rsidR="00E722F9">
        <w:rPr>
          <w:sz w:val="24"/>
          <w:szCs w:val="24"/>
        </w:rPr>
        <w:t>.</w:t>
      </w:r>
    </w:p>
    <w:p w14:paraId="44C31FB7" w14:textId="77777777" w:rsidR="0052705B" w:rsidRDefault="0052705B" w:rsidP="006D286D">
      <w:pPr>
        <w:rPr>
          <w:sz w:val="24"/>
          <w:szCs w:val="24"/>
        </w:rPr>
      </w:pPr>
    </w:p>
    <w:p w14:paraId="1D4F1652" w14:textId="202AF28E" w:rsidR="0052705B" w:rsidRDefault="00B50021" w:rsidP="00977B8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AA7F94B" wp14:editId="7D8F17CA">
            <wp:extent cx="3265989" cy="5819775"/>
            <wp:effectExtent l="0" t="0" r="0" b="0"/>
            <wp:docPr id="336394400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394400" name="Picture 3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903" cy="583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9A279" w14:textId="77777777" w:rsidR="004F5AD3" w:rsidRDefault="004F5AD3" w:rsidP="004F5AD3">
      <w:pPr>
        <w:jc w:val="center"/>
        <w:rPr>
          <w:sz w:val="24"/>
          <w:szCs w:val="24"/>
        </w:rPr>
      </w:pPr>
    </w:p>
    <w:p w14:paraId="57DA509F" w14:textId="43352B11" w:rsidR="004F5AD3" w:rsidRDefault="004F5AD3" w:rsidP="004F5AD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Preventive behaviours. </w:t>
      </w:r>
    </w:p>
    <w:p w14:paraId="51F12B84" w14:textId="77777777" w:rsidR="004F5AD3" w:rsidRDefault="004F5AD3" w:rsidP="004F5AD3">
      <w:pPr>
        <w:rPr>
          <w:sz w:val="24"/>
          <w:szCs w:val="24"/>
        </w:rPr>
      </w:pPr>
    </w:p>
    <w:p w14:paraId="0C1C9D1E" w14:textId="5841ED71" w:rsidR="004F5AD3" w:rsidRDefault="004F5AD3" w:rsidP="004F5AD3">
      <w:pPr>
        <w:rPr>
          <w:sz w:val="24"/>
          <w:szCs w:val="24"/>
        </w:rPr>
      </w:pPr>
      <w:r>
        <w:rPr>
          <w:sz w:val="24"/>
          <w:szCs w:val="24"/>
        </w:rPr>
        <w:t xml:space="preserve">Risk associated with the level of adoption of preventive behaviours is formulated </w:t>
      </w:r>
      <w:r w:rsidR="006E7068">
        <w:rPr>
          <w:sz w:val="24"/>
          <w:szCs w:val="24"/>
        </w:rPr>
        <w:t>based on user</w:t>
      </w:r>
      <w:r w:rsidR="00386F24">
        <w:rPr>
          <w:sz w:val="24"/>
          <w:szCs w:val="24"/>
        </w:rPr>
        <w:t xml:space="preserve"> responses related to various preventive behaviours and </w:t>
      </w:r>
      <w:commentRangeStart w:id="0"/>
      <w:r w:rsidR="006E7068">
        <w:rPr>
          <w:sz w:val="24"/>
          <w:szCs w:val="24"/>
        </w:rPr>
        <w:t xml:space="preserve">whether the user </w:t>
      </w:r>
      <w:r w:rsidR="00913437">
        <w:rPr>
          <w:sz w:val="24"/>
          <w:szCs w:val="24"/>
        </w:rPr>
        <w:t xml:space="preserve">knows or suspects they have visited or lived in a region where they could </w:t>
      </w:r>
      <w:r w:rsidR="00287AEA">
        <w:rPr>
          <w:sz w:val="24"/>
          <w:szCs w:val="24"/>
        </w:rPr>
        <w:t>contact a disease transmitted by ticks</w:t>
      </w:r>
      <w:commentRangeEnd w:id="0"/>
      <w:r w:rsidR="00FA65CE">
        <w:rPr>
          <w:rStyle w:val="Marquedecommentaire"/>
        </w:rPr>
        <w:commentReference w:id="0"/>
      </w:r>
      <w:r w:rsidR="00370EB0">
        <w:rPr>
          <w:sz w:val="24"/>
          <w:szCs w:val="24"/>
        </w:rPr>
        <w:t xml:space="preserve"> (Figure 3)</w:t>
      </w:r>
      <w:r w:rsidR="00287AEA">
        <w:rPr>
          <w:sz w:val="24"/>
          <w:szCs w:val="24"/>
        </w:rPr>
        <w:t xml:space="preserve">. </w:t>
      </w:r>
      <w:r w:rsidR="000B7D1E">
        <w:rPr>
          <w:sz w:val="24"/>
          <w:szCs w:val="24"/>
        </w:rPr>
        <w:t xml:space="preserve">This risk level does </w:t>
      </w:r>
      <w:r w:rsidR="00B14F9D">
        <w:rPr>
          <w:sz w:val="24"/>
          <w:szCs w:val="24"/>
        </w:rPr>
        <w:t>consider actual environmental risk (based on postal code) as this is provided separately</w:t>
      </w:r>
      <w:r w:rsidR="00EF04A1">
        <w:rPr>
          <w:sz w:val="24"/>
          <w:szCs w:val="24"/>
        </w:rPr>
        <w:t>. T</w:t>
      </w:r>
      <w:r w:rsidR="00B14F9D">
        <w:rPr>
          <w:sz w:val="24"/>
          <w:szCs w:val="24"/>
        </w:rPr>
        <w:t xml:space="preserve">he objective of this risk level is to encourage users to reflect on which </w:t>
      </w:r>
      <w:r w:rsidR="00EF04A1">
        <w:rPr>
          <w:sz w:val="24"/>
          <w:szCs w:val="24"/>
        </w:rPr>
        <w:t xml:space="preserve">preventive </w:t>
      </w:r>
      <w:r w:rsidR="00B14F9D">
        <w:rPr>
          <w:sz w:val="24"/>
          <w:szCs w:val="24"/>
        </w:rPr>
        <w:t xml:space="preserve">behaviours they </w:t>
      </w:r>
      <w:r w:rsidR="00EF04A1">
        <w:rPr>
          <w:sz w:val="24"/>
          <w:szCs w:val="24"/>
        </w:rPr>
        <w:t>are currently implementing and would like to implement in the future based on their environmental risk and risk due to outdoor activities</w:t>
      </w:r>
      <w:r w:rsidR="00B14F9D">
        <w:rPr>
          <w:sz w:val="24"/>
          <w:szCs w:val="24"/>
        </w:rPr>
        <w:t xml:space="preserve">. </w:t>
      </w:r>
    </w:p>
    <w:p w14:paraId="03BFB331" w14:textId="77777777" w:rsidR="00A82C70" w:rsidRDefault="00A82C70" w:rsidP="004F5AD3">
      <w:pPr>
        <w:rPr>
          <w:sz w:val="24"/>
          <w:szCs w:val="24"/>
        </w:rPr>
      </w:pPr>
    </w:p>
    <w:p w14:paraId="788CF23A" w14:textId="7FCCF5FC" w:rsidR="00593147" w:rsidRDefault="00593147" w:rsidP="00370EB0">
      <w:pPr>
        <w:rPr>
          <w:sz w:val="24"/>
          <w:szCs w:val="24"/>
        </w:rPr>
      </w:pPr>
      <w:r>
        <w:rPr>
          <w:sz w:val="24"/>
          <w:szCs w:val="24"/>
        </w:rPr>
        <w:t>F</w:t>
      </w:r>
      <w:r w:rsidR="00370EB0">
        <w:rPr>
          <w:sz w:val="24"/>
          <w:szCs w:val="24"/>
        </w:rPr>
        <w:t>igure</w:t>
      </w:r>
      <w:r>
        <w:rPr>
          <w:sz w:val="24"/>
          <w:szCs w:val="24"/>
        </w:rPr>
        <w:t xml:space="preserve"> 3</w:t>
      </w:r>
      <w:r w:rsidR="00370EB0">
        <w:rPr>
          <w:sz w:val="24"/>
          <w:szCs w:val="24"/>
        </w:rPr>
        <w:t xml:space="preserve">: Decision tree </w:t>
      </w:r>
      <w:r w:rsidR="00CE06C7">
        <w:rPr>
          <w:sz w:val="24"/>
          <w:szCs w:val="24"/>
        </w:rPr>
        <w:t>for</w:t>
      </w:r>
      <w:r w:rsidR="00370EB0">
        <w:rPr>
          <w:sz w:val="24"/>
          <w:szCs w:val="24"/>
        </w:rPr>
        <w:t xml:space="preserve"> assess</w:t>
      </w:r>
      <w:r w:rsidR="00CE06C7">
        <w:rPr>
          <w:sz w:val="24"/>
          <w:szCs w:val="24"/>
        </w:rPr>
        <w:t>ing</w:t>
      </w:r>
      <w:r w:rsidR="00370EB0">
        <w:rPr>
          <w:sz w:val="24"/>
          <w:szCs w:val="24"/>
        </w:rPr>
        <w:t xml:space="preserve"> risk </w:t>
      </w:r>
      <w:r w:rsidR="00CE06C7">
        <w:rPr>
          <w:sz w:val="24"/>
          <w:szCs w:val="24"/>
        </w:rPr>
        <w:t xml:space="preserve">associated with the level of adoption of preventive behaviours. </w:t>
      </w:r>
    </w:p>
    <w:p w14:paraId="09F6E5F5" w14:textId="77777777" w:rsidR="00B50021" w:rsidRDefault="00B50021" w:rsidP="00370EB0">
      <w:pPr>
        <w:rPr>
          <w:sz w:val="24"/>
          <w:szCs w:val="24"/>
        </w:rPr>
      </w:pPr>
    </w:p>
    <w:p w14:paraId="45D399B4" w14:textId="3DE77960" w:rsidR="00B50021" w:rsidRPr="004F5AD3" w:rsidRDefault="005A2F53" w:rsidP="005A2F5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42837B5" wp14:editId="221A2F10">
            <wp:extent cx="6581775" cy="5649357"/>
            <wp:effectExtent l="0" t="0" r="0" b="0"/>
            <wp:docPr id="1017444496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444496" name="Picture 6" descr="A screenshot of a computer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7241" cy="565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021" w:rsidRPr="004F5A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Natasha Bowser" w:date="2024-12-11T14:37:00Z" w:initials="NB">
    <w:p w14:paraId="67AE061B" w14:textId="5D774D8B" w:rsidR="00FA65CE" w:rsidRDefault="00FA65CE" w:rsidP="00FA65CE">
      <w:pPr>
        <w:pStyle w:val="Commentaire"/>
      </w:pPr>
      <w:r>
        <w:rPr>
          <w:rStyle w:val="Marquedecommentaire"/>
        </w:rPr>
        <w:annotationRef/>
      </w:r>
      <w:r>
        <w:t xml:space="preserve">To confirm.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7AE061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E5E5F3E" w16cex:dateUtc="2024-12-11T19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7AE061B" w16cid:durableId="7E5E5F3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D5F128" w14:textId="77777777" w:rsidR="00220345" w:rsidRDefault="00220345" w:rsidP="00B7371B">
      <w:r>
        <w:separator/>
      </w:r>
    </w:p>
  </w:endnote>
  <w:endnote w:type="continuationSeparator" w:id="0">
    <w:p w14:paraId="679D02A1" w14:textId="77777777" w:rsidR="00220345" w:rsidRDefault="00220345" w:rsidP="00B73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2B143D" w14:textId="77777777" w:rsidR="00220345" w:rsidRDefault="00220345" w:rsidP="00B7371B">
      <w:r>
        <w:separator/>
      </w:r>
    </w:p>
  </w:footnote>
  <w:footnote w:type="continuationSeparator" w:id="0">
    <w:p w14:paraId="2FCDAF41" w14:textId="77777777" w:rsidR="00220345" w:rsidRDefault="00220345" w:rsidP="00B7371B">
      <w:r>
        <w:continuationSeparator/>
      </w:r>
    </w:p>
  </w:footnote>
  <w:footnote w:id="1">
    <w:p w14:paraId="7D9FB65F" w14:textId="1D470588" w:rsidR="00B7371B" w:rsidRDefault="00B7371B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="00B53440" w:rsidRPr="00B53440">
        <w:t xml:space="preserve">Kotchi, S.O.; Bouchard, C.; Brazeau, S.; Ogden, N.H. Earth Observation-Informed Risk Maps of the Lyme Disease Vector Ixodes scapularis in Central and Eastern Canada. Remote Sens. 2021, 13, 524. </w:t>
      </w:r>
      <w:hyperlink r:id="rId1" w:history="1">
        <w:r w:rsidR="00B53440" w:rsidRPr="00B53440">
          <w:rPr>
            <w:rStyle w:val="Hyperlien"/>
          </w:rPr>
          <w:t>https://doi.org/10.3390/rs13030524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0978E3"/>
    <w:multiLevelType w:val="hybridMultilevel"/>
    <w:tmpl w:val="E960CCD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4A16A3"/>
    <w:multiLevelType w:val="hybridMultilevel"/>
    <w:tmpl w:val="21FE8D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11098"/>
    <w:multiLevelType w:val="hybridMultilevel"/>
    <w:tmpl w:val="99DE4B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4771928">
    <w:abstractNumId w:val="1"/>
  </w:num>
  <w:num w:numId="2" w16cid:durableId="1151214955">
    <w:abstractNumId w:val="0"/>
  </w:num>
  <w:num w:numId="3" w16cid:durableId="51596603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Natasha Bowser">
    <w15:presenceInfo w15:providerId="None" w15:userId="Natasha Bow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hideSpellingErrors/>
  <w:hideGrammaticalError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17B"/>
    <w:rsid w:val="00025197"/>
    <w:rsid w:val="00053249"/>
    <w:rsid w:val="00056A65"/>
    <w:rsid w:val="00067FDE"/>
    <w:rsid w:val="000719A8"/>
    <w:rsid w:val="00080C75"/>
    <w:rsid w:val="000B66D2"/>
    <w:rsid w:val="000B7D1E"/>
    <w:rsid w:val="000C1D74"/>
    <w:rsid w:val="000D01B8"/>
    <w:rsid w:val="0010437D"/>
    <w:rsid w:val="00141529"/>
    <w:rsid w:val="00156B3F"/>
    <w:rsid w:val="001A13A8"/>
    <w:rsid w:val="001A1A0C"/>
    <w:rsid w:val="001A5810"/>
    <w:rsid w:val="001A78FD"/>
    <w:rsid w:val="001E3E00"/>
    <w:rsid w:val="00206E4C"/>
    <w:rsid w:val="00220345"/>
    <w:rsid w:val="002341CA"/>
    <w:rsid w:val="0023447D"/>
    <w:rsid w:val="00270DA1"/>
    <w:rsid w:val="0028397D"/>
    <w:rsid w:val="00287AEA"/>
    <w:rsid w:val="002C6552"/>
    <w:rsid w:val="002C798E"/>
    <w:rsid w:val="002F22AF"/>
    <w:rsid w:val="00352215"/>
    <w:rsid w:val="00370EB0"/>
    <w:rsid w:val="00386F24"/>
    <w:rsid w:val="003B69F4"/>
    <w:rsid w:val="003D0F81"/>
    <w:rsid w:val="003D5655"/>
    <w:rsid w:val="00416BDC"/>
    <w:rsid w:val="0044257C"/>
    <w:rsid w:val="004509CB"/>
    <w:rsid w:val="004651BE"/>
    <w:rsid w:val="00474D51"/>
    <w:rsid w:val="0048312D"/>
    <w:rsid w:val="00493242"/>
    <w:rsid w:val="004949F9"/>
    <w:rsid w:val="004A63F5"/>
    <w:rsid w:val="004F1EA9"/>
    <w:rsid w:val="004F5AD3"/>
    <w:rsid w:val="0052705B"/>
    <w:rsid w:val="00530342"/>
    <w:rsid w:val="005343E0"/>
    <w:rsid w:val="005642B7"/>
    <w:rsid w:val="005845BA"/>
    <w:rsid w:val="005913E6"/>
    <w:rsid w:val="00593147"/>
    <w:rsid w:val="005A2F53"/>
    <w:rsid w:val="005D7466"/>
    <w:rsid w:val="005F6C50"/>
    <w:rsid w:val="00615477"/>
    <w:rsid w:val="00616EB4"/>
    <w:rsid w:val="00644BA2"/>
    <w:rsid w:val="00665509"/>
    <w:rsid w:val="00666B3A"/>
    <w:rsid w:val="006C611C"/>
    <w:rsid w:val="006D03E1"/>
    <w:rsid w:val="006D286D"/>
    <w:rsid w:val="006D2FEF"/>
    <w:rsid w:val="006E13BA"/>
    <w:rsid w:val="006E7068"/>
    <w:rsid w:val="0070589C"/>
    <w:rsid w:val="00721606"/>
    <w:rsid w:val="00784653"/>
    <w:rsid w:val="0078717B"/>
    <w:rsid w:val="0079194A"/>
    <w:rsid w:val="007D3F72"/>
    <w:rsid w:val="007D5FDA"/>
    <w:rsid w:val="007D7784"/>
    <w:rsid w:val="00801671"/>
    <w:rsid w:val="00826B92"/>
    <w:rsid w:val="00863E46"/>
    <w:rsid w:val="0089185C"/>
    <w:rsid w:val="008B714A"/>
    <w:rsid w:val="008C1612"/>
    <w:rsid w:val="00906131"/>
    <w:rsid w:val="00913437"/>
    <w:rsid w:val="00921086"/>
    <w:rsid w:val="00924AE7"/>
    <w:rsid w:val="00930184"/>
    <w:rsid w:val="009310A3"/>
    <w:rsid w:val="009529D9"/>
    <w:rsid w:val="00977B84"/>
    <w:rsid w:val="00987DCB"/>
    <w:rsid w:val="00993A5A"/>
    <w:rsid w:val="009A1B43"/>
    <w:rsid w:val="009B3A13"/>
    <w:rsid w:val="009C5BFF"/>
    <w:rsid w:val="00A33B73"/>
    <w:rsid w:val="00A42D8E"/>
    <w:rsid w:val="00A62514"/>
    <w:rsid w:val="00A62DBD"/>
    <w:rsid w:val="00A711EE"/>
    <w:rsid w:val="00A82C70"/>
    <w:rsid w:val="00A8700D"/>
    <w:rsid w:val="00A971F4"/>
    <w:rsid w:val="00B015E5"/>
    <w:rsid w:val="00B14F9D"/>
    <w:rsid w:val="00B160BC"/>
    <w:rsid w:val="00B17215"/>
    <w:rsid w:val="00B37561"/>
    <w:rsid w:val="00B40A4A"/>
    <w:rsid w:val="00B50021"/>
    <w:rsid w:val="00B53440"/>
    <w:rsid w:val="00B7371B"/>
    <w:rsid w:val="00B745B6"/>
    <w:rsid w:val="00C32D6E"/>
    <w:rsid w:val="00C61E87"/>
    <w:rsid w:val="00C90E48"/>
    <w:rsid w:val="00C93D68"/>
    <w:rsid w:val="00CA7343"/>
    <w:rsid w:val="00CB20EA"/>
    <w:rsid w:val="00CC21ED"/>
    <w:rsid w:val="00CE06C7"/>
    <w:rsid w:val="00CE359C"/>
    <w:rsid w:val="00CF071C"/>
    <w:rsid w:val="00D3492A"/>
    <w:rsid w:val="00D44F42"/>
    <w:rsid w:val="00D46D95"/>
    <w:rsid w:val="00D62728"/>
    <w:rsid w:val="00D96CBF"/>
    <w:rsid w:val="00DB67AF"/>
    <w:rsid w:val="00DD7E9B"/>
    <w:rsid w:val="00E34A23"/>
    <w:rsid w:val="00E370A3"/>
    <w:rsid w:val="00E722F9"/>
    <w:rsid w:val="00E9563A"/>
    <w:rsid w:val="00E957F0"/>
    <w:rsid w:val="00EA6EEE"/>
    <w:rsid w:val="00EB28E9"/>
    <w:rsid w:val="00EB50E8"/>
    <w:rsid w:val="00EB53E5"/>
    <w:rsid w:val="00EB5EC0"/>
    <w:rsid w:val="00EB728A"/>
    <w:rsid w:val="00EE5545"/>
    <w:rsid w:val="00EF04A1"/>
    <w:rsid w:val="00EF1B5C"/>
    <w:rsid w:val="00F05DA0"/>
    <w:rsid w:val="00F07B17"/>
    <w:rsid w:val="00F35A17"/>
    <w:rsid w:val="00F364DE"/>
    <w:rsid w:val="00FA59BE"/>
    <w:rsid w:val="00FA65CE"/>
    <w:rsid w:val="00FB6254"/>
    <w:rsid w:val="00FF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F00F4"/>
  <w15:chartTrackingRefBased/>
  <w15:docId w15:val="{B9173C65-F902-4492-BD0C-342EA479D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E9"/>
  </w:style>
  <w:style w:type="paragraph" w:styleId="Titre1">
    <w:name w:val="heading 1"/>
    <w:basedOn w:val="Normal"/>
    <w:next w:val="Normal"/>
    <w:link w:val="Titre1Car"/>
    <w:uiPriority w:val="9"/>
    <w:qFormat/>
    <w:rsid w:val="007871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871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8717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8717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8717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8717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8717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8717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8717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871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871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8717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8717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8717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8717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8717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8717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8717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871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871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8717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8717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871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8717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8717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8717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871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8717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8717B"/>
    <w:rPr>
      <w:b/>
      <w:bCs/>
      <w:smallCaps/>
      <w:color w:val="0F4761" w:themeColor="accent1" w:themeShade="BF"/>
      <w:spacing w:val="5"/>
    </w:rPr>
  </w:style>
  <w:style w:type="character" w:styleId="Marquedecommentaire">
    <w:name w:val="annotation reference"/>
    <w:basedOn w:val="Policepardfaut"/>
    <w:uiPriority w:val="99"/>
    <w:semiHidden/>
    <w:unhideWhenUsed/>
    <w:rsid w:val="008B714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B714A"/>
  </w:style>
  <w:style w:type="character" w:customStyle="1" w:styleId="CommentaireCar">
    <w:name w:val="Commentaire Car"/>
    <w:basedOn w:val="Policepardfaut"/>
    <w:link w:val="Commentaire"/>
    <w:uiPriority w:val="99"/>
    <w:rsid w:val="008B714A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B71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B714A"/>
    <w:rPr>
      <w:b/>
      <w:bCs/>
    </w:rPr>
  </w:style>
  <w:style w:type="character" w:styleId="Hyperlien">
    <w:name w:val="Hyperlink"/>
    <w:basedOn w:val="Policepardfaut"/>
    <w:uiPriority w:val="99"/>
    <w:unhideWhenUsed/>
    <w:rsid w:val="00530342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30342"/>
    <w:rPr>
      <w:color w:val="605E5C"/>
      <w:shd w:val="clear" w:color="auto" w:fill="E1DFDD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7371B"/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7371B"/>
  </w:style>
  <w:style w:type="character" w:styleId="Appelnotedebasdep">
    <w:name w:val="footnote reference"/>
    <w:basedOn w:val="Policepardfaut"/>
    <w:uiPriority w:val="99"/>
    <w:semiHidden/>
    <w:unhideWhenUsed/>
    <w:rsid w:val="00B7371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tick.ca/etickapp/en/ticks/public/map" TargetMode="External"/><Relationship Id="rId5" Type="http://schemas.openxmlformats.org/officeDocument/2006/relationships/numbering" Target="numbering.xml"/><Relationship Id="rId15" Type="http://schemas.microsoft.com/office/2011/relationships/commentsExtended" Target="commentsExtended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mments" Target="comment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oi.org/10.3390/rs130305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b14029a-9145-4b62-84e8-deb0f4e3ec4e">
      <Terms xmlns="http://schemas.microsoft.com/office/infopath/2007/PartnerControls"/>
    </lcf76f155ced4ddcb4097134ff3c332f>
    <TaxCatchAll xmlns="98a9abfa-346c-49ea-9536-39393f32619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B655093692404DBEF7D6A67DFD2A1B" ma:contentTypeVersion="11" ma:contentTypeDescription="Crée un document." ma:contentTypeScope="" ma:versionID="c6898b08ecd8cb8a0a61ca7486fb1346">
  <xsd:schema xmlns:xsd="http://www.w3.org/2001/XMLSchema" xmlns:xs="http://www.w3.org/2001/XMLSchema" xmlns:p="http://schemas.microsoft.com/office/2006/metadata/properties" xmlns:ns2="4b14029a-9145-4b62-84e8-deb0f4e3ec4e" xmlns:ns3="98a9abfa-346c-49ea-9536-39393f326193" targetNamespace="http://schemas.microsoft.com/office/2006/metadata/properties" ma:root="true" ma:fieldsID="686123249afed44682055ba7111a488c" ns2:_="" ns3:_="">
    <xsd:import namespace="4b14029a-9145-4b62-84e8-deb0f4e3ec4e"/>
    <xsd:import namespace="98a9abfa-346c-49ea-9536-39393f3261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14029a-9145-4b62-84e8-deb0f4e3ec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9954b022-e60c-4520-b4e3-cc3d5e4f164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a9abfa-346c-49ea-9536-39393f32619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e19b91d-50fa-4dd3-b166-353c2b56f263}" ma:internalName="TaxCatchAll" ma:showField="CatchAllData" ma:web="98a9abfa-346c-49ea-9536-39393f3261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1201B-8D77-413B-8F5B-3012683220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43F4DF-DF4B-4ECE-9CF8-3046FDF850A2}">
  <ds:schemaRefs>
    <ds:schemaRef ds:uri="http://schemas.microsoft.com/office/2006/metadata/properties"/>
    <ds:schemaRef ds:uri="http://schemas.microsoft.com/office/infopath/2007/PartnerControls"/>
    <ds:schemaRef ds:uri="4b14029a-9145-4b62-84e8-deb0f4e3ec4e"/>
    <ds:schemaRef ds:uri="98a9abfa-346c-49ea-9536-39393f326193"/>
  </ds:schemaRefs>
</ds:datastoreItem>
</file>

<file path=customXml/itemProps3.xml><?xml version="1.0" encoding="utf-8"?>
<ds:datastoreItem xmlns:ds="http://schemas.openxmlformats.org/officeDocument/2006/customXml" ds:itemID="{EAA4721E-F967-4217-BF39-B587A14991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14029a-9145-4b62-84e8-deb0f4e3ec4e"/>
    <ds:schemaRef ds:uri="98a9abfa-346c-49ea-9536-39393f3261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711648B-0B1F-478A-87BE-46AC9DEF4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471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Bowser</dc:creator>
  <cp:keywords/>
  <dc:description/>
  <cp:lastModifiedBy>Yves Terrat</cp:lastModifiedBy>
  <cp:revision>2</cp:revision>
  <dcterms:created xsi:type="dcterms:W3CDTF">2025-03-25T14:56:00Z</dcterms:created>
  <dcterms:modified xsi:type="dcterms:W3CDTF">2025-03-25T14:56:00Z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0x01010026B655093692404DBEF7D6A67DFD2A1B</vt:lpwstr>
  </property>
</Properties>
</file>