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433F43">
      <w:pPr>
        <w:pStyle w:val="31"/>
      </w:pPr>
      <w:r>
        <w:t>Fuel Inventory Management Project</w:t>
      </w:r>
    </w:p>
    <w:p w14:paraId="42AEF185">
      <w:r>
        <w:t>Use Python to analyze fuel purchasing and inventory records, evaluate current replenishment</w:t>
      </w:r>
      <w:r>
        <w:rPr>
          <w:rFonts w:hint="eastAsia" w:eastAsia="宋体"/>
          <w:lang w:eastAsia="zh-CN"/>
        </w:rPr>
        <w:t>（</w:t>
      </w:r>
      <w:r>
        <w:rPr>
          <w:rFonts w:hint="eastAsia" w:eastAsia="宋体"/>
          <w:lang w:val="en-US" w:eastAsia="zh-CN"/>
        </w:rPr>
        <w:t>补充</w:t>
      </w:r>
      <w:r>
        <w:rPr>
          <w:rFonts w:hint="eastAsia" w:eastAsia="宋体"/>
          <w:lang w:eastAsia="zh-CN"/>
        </w:rPr>
        <w:t>）</w:t>
      </w:r>
      <w:r>
        <w:t xml:space="preserve"> practices, and recommend ordering policies that reduce purchasing costs while maintaining sufficient fuel to meet demand.</w:t>
      </w:r>
    </w:p>
    <w:p w14:paraId="7320A33C">
      <w:r>
        <w:t>The provided datasets cover more than one year of activity at a network of gas stations. They are based on real-world records. Dataset structure, station and tank locations, and invoice details have been altered to protect the data provider’s proprietary information.</w:t>
      </w:r>
    </w:p>
    <w:p w14:paraId="17ABAA64">
      <w:pPr>
        <w:pStyle w:val="3"/>
      </w:pPr>
      <w:r>
        <w:t>Data Dictionary</w:t>
      </w:r>
    </w:p>
    <w:p w14:paraId="24CB6C22">
      <w:pPr>
        <w:pStyle w:val="4"/>
      </w:pPr>
      <w:r>
        <w:t>Locations.csv</w:t>
      </w:r>
    </w:p>
    <w:p w14:paraId="7B09F6CB">
      <w:r>
        <w:t>This file identifies the gas stations in the network.</w:t>
      </w:r>
    </w:p>
    <w:tbl>
      <w:tblPr>
        <w:tblStyle w:val="35"/>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040"/>
        <w:gridCol w:w="5040"/>
      </w:tblGrid>
      <w:tr w14:paraId="6803F08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040" w:type="dxa"/>
            <w:tcBorders>
              <w:top w:val="single" w:color="4F81BD" w:themeColor="accent1" w:sz="8" w:space="0"/>
              <w:left w:val="nil"/>
              <w:bottom w:val="single" w:color="4F81BD" w:themeColor="accent1" w:sz="8" w:space="0"/>
              <w:right w:val="nil"/>
              <w:insideH w:val="single" w:sz="8" w:space="0"/>
              <w:insideV w:val="nil"/>
            </w:tcBorders>
          </w:tcPr>
          <w:p w14:paraId="45FCEB97">
            <w:pPr>
              <w:spacing w:before="0" w:after="60"/>
              <w:rPr>
                <w:b/>
                <w:bCs/>
                <w:color w:val="376092" w:themeColor="accent1" w:themeShade="BF"/>
              </w:rPr>
            </w:pPr>
            <w:r>
              <w:rPr>
                <w:b/>
                <w:bCs/>
                <w:color w:val="376092" w:themeColor="accent1" w:themeShade="BF"/>
                <w:sz w:val="20"/>
              </w:rPr>
              <w:t>Column</w:t>
            </w:r>
          </w:p>
        </w:tc>
        <w:tc>
          <w:tcPr>
            <w:tcW w:w="5040" w:type="dxa"/>
            <w:tcBorders>
              <w:top w:val="single" w:color="4F81BD" w:themeColor="accent1" w:sz="8" w:space="0"/>
              <w:bottom w:val="single" w:color="4F81BD" w:themeColor="accent1" w:sz="8" w:space="0"/>
              <w:right w:val="nil"/>
              <w:insideH w:val="single" w:sz="8" w:space="0"/>
              <w:insideV w:val="nil"/>
            </w:tcBorders>
          </w:tcPr>
          <w:p w14:paraId="41A54FA8">
            <w:pPr>
              <w:spacing w:before="0" w:after="60"/>
              <w:rPr>
                <w:b/>
                <w:bCs/>
                <w:color w:val="376092" w:themeColor="accent1" w:themeShade="BF"/>
              </w:rPr>
            </w:pPr>
            <w:r>
              <w:rPr>
                <w:b/>
                <w:bCs/>
                <w:color w:val="376092" w:themeColor="accent1" w:themeShade="BF"/>
                <w:sz w:val="20"/>
              </w:rPr>
              <w:t>Description</w:t>
            </w:r>
          </w:p>
        </w:tc>
      </w:tr>
      <w:tr w14:paraId="78D4B567">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040" w:type="dxa"/>
            <w:tcBorders>
              <w:left w:val="nil"/>
              <w:right w:val="nil"/>
              <w:insideV w:val="nil"/>
            </w:tcBorders>
            <w:shd w:val="clear" w:color="auto" w:fill="D3DFEE" w:themeFill="accent1" w:themeFillTint="3F"/>
          </w:tcPr>
          <w:p w14:paraId="7557A909">
            <w:pPr>
              <w:spacing w:after="60"/>
              <w:rPr>
                <w:b/>
                <w:bCs/>
                <w:color w:val="376092" w:themeColor="accent1" w:themeShade="BF"/>
              </w:rPr>
            </w:pPr>
            <w:r>
              <w:rPr>
                <w:b/>
                <w:bCs/>
                <w:color w:val="376092" w:themeColor="accent1" w:themeShade="BF"/>
                <w:sz w:val="20"/>
              </w:rPr>
              <w:t>Gas Station Location</w:t>
            </w:r>
          </w:p>
        </w:tc>
        <w:tc>
          <w:tcPr>
            <w:tcW w:w="5040" w:type="dxa"/>
            <w:tcBorders>
              <w:right w:val="nil"/>
              <w:insideV w:val="nil"/>
            </w:tcBorders>
            <w:shd w:val="clear" w:color="auto" w:fill="D3DFEE" w:themeFill="accent1" w:themeFillTint="3F"/>
          </w:tcPr>
          <w:p w14:paraId="0CC17AE7">
            <w:pPr>
              <w:spacing w:after="60"/>
              <w:rPr>
                <w:color w:val="376092" w:themeColor="accent1" w:themeShade="BF"/>
              </w:rPr>
            </w:pPr>
            <w:r>
              <w:rPr>
                <w:color w:val="376092" w:themeColor="accent1" w:themeShade="BF"/>
                <w:sz w:val="20"/>
              </w:rPr>
              <w:t>Unique station identifier</w:t>
            </w:r>
          </w:p>
        </w:tc>
      </w:tr>
      <w:tr w14:paraId="41ABACE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040" w:type="dxa"/>
          </w:tcPr>
          <w:p w14:paraId="1B84774A">
            <w:pPr>
              <w:spacing w:after="60"/>
              <w:rPr>
                <w:b/>
                <w:bCs/>
                <w:color w:val="376092" w:themeColor="accent1" w:themeShade="BF"/>
              </w:rPr>
            </w:pPr>
            <w:r>
              <w:rPr>
                <w:b/>
                <w:bCs/>
                <w:color w:val="376092" w:themeColor="accent1" w:themeShade="BF"/>
                <w:sz w:val="20"/>
              </w:rPr>
              <w:t>Gas Station Name</w:t>
            </w:r>
          </w:p>
        </w:tc>
        <w:tc>
          <w:tcPr>
            <w:tcW w:w="5040" w:type="dxa"/>
          </w:tcPr>
          <w:p w14:paraId="1918B7CD">
            <w:pPr>
              <w:spacing w:after="60"/>
              <w:rPr>
                <w:color w:val="376092" w:themeColor="accent1" w:themeShade="BF"/>
              </w:rPr>
            </w:pPr>
            <w:r>
              <w:rPr>
                <w:color w:val="376092" w:themeColor="accent1" w:themeShade="BF"/>
                <w:sz w:val="20"/>
              </w:rPr>
              <w:t>Station name</w:t>
            </w:r>
          </w:p>
        </w:tc>
      </w:tr>
      <w:tr w14:paraId="24E5599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040" w:type="dxa"/>
            <w:tcBorders>
              <w:left w:val="nil"/>
              <w:right w:val="nil"/>
              <w:insideV w:val="nil"/>
            </w:tcBorders>
            <w:shd w:val="clear" w:color="auto" w:fill="D3DFEE" w:themeFill="accent1" w:themeFillTint="3F"/>
          </w:tcPr>
          <w:p w14:paraId="6553EF4D">
            <w:pPr>
              <w:spacing w:after="60"/>
              <w:rPr>
                <w:b/>
                <w:bCs/>
                <w:color w:val="376092" w:themeColor="accent1" w:themeShade="BF"/>
              </w:rPr>
            </w:pPr>
            <w:r>
              <w:rPr>
                <w:b/>
                <w:bCs/>
                <w:color w:val="376092" w:themeColor="accent1" w:themeShade="BF"/>
                <w:sz w:val="20"/>
              </w:rPr>
              <w:t>Gas Station Address</w:t>
            </w:r>
          </w:p>
        </w:tc>
        <w:tc>
          <w:tcPr>
            <w:tcW w:w="5040" w:type="dxa"/>
            <w:tcBorders>
              <w:right w:val="nil"/>
              <w:insideV w:val="nil"/>
            </w:tcBorders>
            <w:shd w:val="clear" w:color="auto" w:fill="D3DFEE" w:themeFill="accent1" w:themeFillTint="3F"/>
          </w:tcPr>
          <w:p w14:paraId="40E47751">
            <w:pPr>
              <w:spacing w:after="60"/>
              <w:rPr>
                <w:color w:val="376092" w:themeColor="accent1" w:themeShade="BF"/>
              </w:rPr>
            </w:pPr>
            <w:r>
              <w:rPr>
                <w:color w:val="376092" w:themeColor="accent1" w:themeShade="BF"/>
                <w:sz w:val="20"/>
              </w:rPr>
              <w:t>Station address</w:t>
            </w:r>
          </w:p>
        </w:tc>
      </w:tr>
      <w:tr w14:paraId="5C977D4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040" w:type="dxa"/>
          </w:tcPr>
          <w:p w14:paraId="532DF3A6">
            <w:pPr>
              <w:spacing w:after="60"/>
              <w:rPr>
                <w:b/>
                <w:bCs/>
                <w:color w:val="376092" w:themeColor="accent1" w:themeShade="BF"/>
              </w:rPr>
            </w:pPr>
            <w:r>
              <w:rPr>
                <w:b/>
                <w:bCs/>
                <w:color w:val="376092" w:themeColor="accent1" w:themeShade="BF"/>
                <w:sz w:val="20"/>
              </w:rPr>
              <w:t>Gas Station Latitude</w:t>
            </w:r>
          </w:p>
        </w:tc>
        <w:tc>
          <w:tcPr>
            <w:tcW w:w="5040" w:type="dxa"/>
          </w:tcPr>
          <w:p w14:paraId="4F0CF776">
            <w:pPr>
              <w:spacing w:after="60"/>
              <w:rPr>
                <w:color w:val="376092" w:themeColor="accent1" w:themeShade="BF"/>
              </w:rPr>
            </w:pPr>
            <w:r>
              <w:rPr>
                <w:color w:val="376092" w:themeColor="accent1" w:themeShade="BF"/>
                <w:sz w:val="20"/>
              </w:rPr>
              <w:t>Station latitude</w:t>
            </w:r>
          </w:p>
        </w:tc>
      </w:tr>
      <w:tr w14:paraId="66C55A7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040" w:type="dxa"/>
            <w:tcBorders>
              <w:left w:val="nil"/>
              <w:right w:val="nil"/>
              <w:insideV w:val="nil"/>
            </w:tcBorders>
            <w:shd w:val="clear" w:color="auto" w:fill="D3DFEE" w:themeFill="accent1" w:themeFillTint="3F"/>
          </w:tcPr>
          <w:p w14:paraId="5B1D16EE">
            <w:pPr>
              <w:spacing w:after="60"/>
              <w:rPr>
                <w:b/>
                <w:bCs/>
                <w:color w:val="376092" w:themeColor="accent1" w:themeShade="BF"/>
              </w:rPr>
            </w:pPr>
            <w:r>
              <w:rPr>
                <w:b/>
                <w:bCs/>
                <w:color w:val="376092" w:themeColor="accent1" w:themeShade="BF"/>
                <w:sz w:val="20"/>
              </w:rPr>
              <w:t>Gas Station Longitude</w:t>
            </w:r>
          </w:p>
        </w:tc>
        <w:tc>
          <w:tcPr>
            <w:tcW w:w="5040" w:type="dxa"/>
            <w:tcBorders>
              <w:right w:val="nil"/>
              <w:insideV w:val="nil"/>
            </w:tcBorders>
            <w:shd w:val="clear" w:color="auto" w:fill="D3DFEE" w:themeFill="accent1" w:themeFillTint="3F"/>
          </w:tcPr>
          <w:p w14:paraId="5765023C">
            <w:pPr>
              <w:spacing w:after="60"/>
              <w:rPr>
                <w:color w:val="376092" w:themeColor="accent1" w:themeShade="BF"/>
              </w:rPr>
            </w:pPr>
            <w:r>
              <w:rPr>
                <w:color w:val="376092" w:themeColor="accent1" w:themeShade="BF"/>
                <w:sz w:val="20"/>
              </w:rPr>
              <w:t>Station longitude</w:t>
            </w:r>
          </w:p>
        </w:tc>
      </w:tr>
    </w:tbl>
    <w:p w14:paraId="4D1A547A">
      <w:pPr>
        <w:pStyle w:val="4"/>
      </w:pPr>
      <w:r>
        <w:t>Tanks.csv</w:t>
      </w:r>
    </w:p>
    <w:p w14:paraId="13708E9F">
      <w:r>
        <w:t>Each station may have multiple tanks. This file describes the tanks and their capacities.</w:t>
      </w:r>
    </w:p>
    <w:tbl>
      <w:tblPr>
        <w:tblStyle w:val="35"/>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040"/>
        <w:gridCol w:w="5040"/>
      </w:tblGrid>
      <w:tr w14:paraId="250CBB9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040" w:type="dxa"/>
            <w:tcBorders>
              <w:top w:val="single" w:color="4F81BD" w:themeColor="accent1" w:sz="8" w:space="0"/>
              <w:left w:val="nil"/>
              <w:bottom w:val="single" w:color="4F81BD" w:themeColor="accent1" w:sz="8" w:space="0"/>
              <w:right w:val="nil"/>
              <w:insideH w:val="single" w:sz="8" w:space="0"/>
              <w:insideV w:val="nil"/>
            </w:tcBorders>
          </w:tcPr>
          <w:p w14:paraId="0BDAA956">
            <w:pPr>
              <w:spacing w:before="0" w:after="60"/>
              <w:rPr>
                <w:b/>
                <w:bCs/>
                <w:color w:val="376092" w:themeColor="accent1" w:themeShade="BF"/>
              </w:rPr>
            </w:pPr>
            <w:r>
              <w:rPr>
                <w:b/>
                <w:bCs/>
                <w:color w:val="376092" w:themeColor="accent1" w:themeShade="BF"/>
                <w:sz w:val="20"/>
              </w:rPr>
              <w:t>Column</w:t>
            </w:r>
          </w:p>
        </w:tc>
        <w:tc>
          <w:tcPr>
            <w:tcW w:w="5040" w:type="dxa"/>
            <w:tcBorders>
              <w:top w:val="single" w:color="4F81BD" w:themeColor="accent1" w:sz="8" w:space="0"/>
              <w:bottom w:val="single" w:color="4F81BD" w:themeColor="accent1" w:sz="8" w:space="0"/>
              <w:right w:val="nil"/>
              <w:insideH w:val="single" w:sz="8" w:space="0"/>
              <w:insideV w:val="nil"/>
            </w:tcBorders>
          </w:tcPr>
          <w:p w14:paraId="17E6C14D">
            <w:pPr>
              <w:spacing w:before="0" w:after="60"/>
              <w:rPr>
                <w:b/>
                <w:bCs/>
                <w:color w:val="376092" w:themeColor="accent1" w:themeShade="BF"/>
              </w:rPr>
            </w:pPr>
            <w:r>
              <w:rPr>
                <w:b/>
                <w:bCs/>
                <w:color w:val="376092" w:themeColor="accent1" w:themeShade="BF"/>
                <w:sz w:val="20"/>
              </w:rPr>
              <w:t>Description</w:t>
            </w:r>
          </w:p>
        </w:tc>
      </w:tr>
      <w:tr w14:paraId="233C86B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040" w:type="dxa"/>
            <w:tcBorders>
              <w:left w:val="nil"/>
              <w:right w:val="nil"/>
              <w:insideV w:val="nil"/>
            </w:tcBorders>
            <w:shd w:val="clear" w:color="auto" w:fill="D3DFEE" w:themeFill="accent1" w:themeFillTint="3F"/>
          </w:tcPr>
          <w:p w14:paraId="11D7D5A7">
            <w:pPr>
              <w:spacing w:after="60"/>
              <w:rPr>
                <w:b/>
                <w:bCs/>
                <w:color w:val="376092" w:themeColor="accent1" w:themeShade="BF"/>
              </w:rPr>
            </w:pPr>
            <w:r>
              <w:rPr>
                <w:b/>
                <w:bCs/>
                <w:color w:val="376092" w:themeColor="accent1" w:themeShade="BF"/>
                <w:sz w:val="20"/>
              </w:rPr>
              <w:t>Tank ID</w:t>
            </w:r>
          </w:p>
        </w:tc>
        <w:tc>
          <w:tcPr>
            <w:tcW w:w="5040" w:type="dxa"/>
            <w:tcBorders>
              <w:right w:val="nil"/>
              <w:insideV w:val="nil"/>
            </w:tcBorders>
            <w:shd w:val="clear" w:color="auto" w:fill="D3DFEE" w:themeFill="accent1" w:themeFillTint="3F"/>
          </w:tcPr>
          <w:p w14:paraId="315C42E1">
            <w:pPr>
              <w:spacing w:after="60"/>
              <w:rPr>
                <w:color w:val="376092" w:themeColor="accent1" w:themeShade="BF"/>
              </w:rPr>
            </w:pPr>
            <w:r>
              <w:rPr>
                <w:color w:val="376092" w:themeColor="accent1" w:themeShade="BF"/>
                <w:sz w:val="20"/>
              </w:rPr>
              <w:t>Unique tank identifier across the network</w:t>
            </w:r>
          </w:p>
        </w:tc>
      </w:tr>
      <w:tr w14:paraId="799DB146">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040" w:type="dxa"/>
          </w:tcPr>
          <w:p w14:paraId="283CC3FC">
            <w:pPr>
              <w:spacing w:after="60"/>
              <w:rPr>
                <w:b/>
                <w:bCs/>
                <w:color w:val="376092" w:themeColor="accent1" w:themeShade="BF"/>
              </w:rPr>
            </w:pPr>
            <w:r>
              <w:rPr>
                <w:b/>
                <w:bCs/>
                <w:color w:val="376092" w:themeColor="accent1" w:themeShade="BF"/>
                <w:sz w:val="20"/>
              </w:rPr>
              <w:t>Tank Location</w:t>
            </w:r>
          </w:p>
        </w:tc>
        <w:tc>
          <w:tcPr>
            <w:tcW w:w="5040" w:type="dxa"/>
          </w:tcPr>
          <w:p w14:paraId="3A4DF97B">
            <w:pPr>
              <w:spacing w:after="60"/>
              <w:rPr>
                <w:color w:val="376092" w:themeColor="accent1" w:themeShade="BF"/>
              </w:rPr>
            </w:pPr>
            <w:r>
              <w:rPr>
                <w:color w:val="376092" w:themeColor="accent1" w:themeShade="BF"/>
                <w:sz w:val="20"/>
              </w:rPr>
              <w:t>Identifier of the station containing the tank</w:t>
            </w:r>
          </w:p>
        </w:tc>
      </w:tr>
      <w:tr w14:paraId="78BE944B">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040" w:type="dxa"/>
            <w:tcBorders>
              <w:left w:val="nil"/>
              <w:right w:val="nil"/>
              <w:insideV w:val="nil"/>
            </w:tcBorders>
            <w:shd w:val="clear" w:color="auto" w:fill="D3DFEE" w:themeFill="accent1" w:themeFillTint="3F"/>
          </w:tcPr>
          <w:p w14:paraId="088CE038">
            <w:pPr>
              <w:spacing w:after="60"/>
              <w:rPr>
                <w:b/>
                <w:bCs/>
                <w:color w:val="376092" w:themeColor="accent1" w:themeShade="BF"/>
              </w:rPr>
            </w:pPr>
            <w:r>
              <w:rPr>
                <w:b/>
                <w:bCs/>
                <w:color w:val="376092" w:themeColor="accent1" w:themeShade="BF"/>
                <w:sz w:val="20"/>
              </w:rPr>
              <w:t>Tank Number</w:t>
            </w:r>
          </w:p>
        </w:tc>
        <w:tc>
          <w:tcPr>
            <w:tcW w:w="5040" w:type="dxa"/>
            <w:tcBorders>
              <w:right w:val="nil"/>
              <w:insideV w:val="nil"/>
            </w:tcBorders>
            <w:shd w:val="clear" w:color="auto" w:fill="D3DFEE" w:themeFill="accent1" w:themeFillTint="3F"/>
          </w:tcPr>
          <w:p w14:paraId="792C539A">
            <w:pPr>
              <w:spacing w:after="60"/>
              <w:rPr>
                <w:color w:val="376092" w:themeColor="accent1" w:themeShade="BF"/>
              </w:rPr>
            </w:pPr>
            <w:r>
              <w:rPr>
                <w:color w:val="376092" w:themeColor="accent1" w:themeShade="BF"/>
                <w:sz w:val="20"/>
              </w:rPr>
              <w:t>Tank identifier within a station</w:t>
            </w:r>
          </w:p>
        </w:tc>
      </w:tr>
      <w:tr w14:paraId="578621C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040" w:type="dxa"/>
          </w:tcPr>
          <w:p w14:paraId="0B239B41">
            <w:pPr>
              <w:spacing w:after="60"/>
              <w:rPr>
                <w:b/>
                <w:bCs/>
                <w:color w:val="376092" w:themeColor="accent1" w:themeShade="BF"/>
              </w:rPr>
            </w:pPr>
            <w:r>
              <w:rPr>
                <w:b/>
                <w:bCs/>
                <w:color w:val="376092" w:themeColor="accent1" w:themeShade="BF"/>
                <w:sz w:val="20"/>
              </w:rPr>
              <w:t>Tank Type</w:t>
            </w:r>
          </w:p>
        </w:tc>
        <w:tc>
          <w:tcPr>
            <w:tcW w:w="5040" w:type="dxa"/>
          </w:tcPr>
          <w:p w14:paraId="21D95ABF">
            <w:pPr>
              <w:spacing w:after="60"/>
              <w:rPr>
                <w:color w:val="376092" w:themeColor="accent1" w:themeShade="BF"/>
              </w:rPr>
            </w:pPr>
            <w:r>
              <w:rPr>
                <w:color w:val="376092" w:themeColor="accent1" w:themeShade="BF"/>
                <w:sz w:val="20"/>
              </w:rPr>
              <w:t>U = regular gasoline; P = premium gasoline; D = diesel</w:t>
            </w:r>
          </w:p>
        </w:tc>
      </w:tr>
      <w:tr w14:paraId="04F7581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040" w:type="dxa"/>
            <w:tcBorders>
              <w:left w:val="nil"/>
              <w:right w:val="nil"/>
              <w:insideV w:val="nil"/>
            </w:tcBorders>
            <w:shd w:val="clear" w:color="auto" w:fill="D3DFEE" w:themeFill="accent1" w:themeFillTint="3F"/>
          </w:tcPr>
          <w:p w14:paraId="189DB807">
            <w:pPr>
              <w:spacing w:after="60"/>
              <w:rPr>
                <w:b/>
                <w:bCs/>
                <w:color w:val="376092" w:themeColor="accent1" w:themeShade="BF"/>
              </w:rPr>
            </w:pPr>
            <w:r>
              <w:rPr>
                <w:b/>
                <w:bCs/>
                <w:color w:val="376092" w:themeColor="accent1" w:themeShade="BF"/>
                <w:sz w:val="20"/>
              </w:rPr>
              <w:t>Tank Capacity</w:t>
            </w:r>
          </w:p>
        </w:tc>
        <w:tc>
          <w:tcPr>
            <w:tcW w:w="5040" w:type="dxa"/>
            <w:tcBorders>
              <w:right w:val="nil"/>
              <w:insideV w:val="nil"/>
            </w:tcBorders>
            <w:shd w:val="clear" w:color="auto" w:fill="D3DFEE" w:themeFill="accent1" w:themeFillTint="3F"/>
          </w:tcPr>
          <w:p w14:paraId="2EEF6FEE">
            <w:pPr>
              <w:spacing w:after="60"/>
              <w:rPr>
                <w:color w:val="376092" w:themeColor="accent1" w:themeShade="BF"/>
              </w:rPr>
            </w:pPr>
            <w:r>
              <w:rPr>
                <w:color w:val="376092" w:themeColor="accent1" w:themeShade="BF"/>
                <w:sz w:val="20"/>
              </w:rPr>
              <w:t>Tank capacity in liters</w:t>
            </w:r>
          </w:p>
        </w:tc>
      </w:tr>
    </w:tbl>
    <w:p w14:paraId="1BE4D2B2">
      <w:r>
        <w:t xml:space="preserve">You may </w:t>
      </w:r>
      <w:r>
        <w:rPr>
          <w:color w:val="0000FF"/>
        </w:rPr>
        <w:t>group regular and premium gasoline as gasoline for summary visualizations</w:t>
      </w:r>
      <w:r>
        <w:t>. Keep fuel types separate when calculating purchase discounts, available storage, and ordering policies.</w:t>
      </w:r>
    </w:p>
    <w:p w14:paraId="08C0C9AB">
      <w:r>
        <w:br w:type="page"/>
      </w:r>
    </w:p>
    <w:p w14:paraId="67347D0F">
      <w:pPr>
        <w:pStyle w:val="4"/>
      </w:pPr>
      <w:r>
        <w:t>Invoices.csv</w:t>
      </w:r>
    </w:p>
    <w:p w14:paraId="2F268672">
      <w:r>
        <w:t>Each delivery of a fuel type to a station generates an invoice covering that fuel type across the station’s relevant tanks.</w:t>
      </w:r>
    </w:p>
    <w:tbl>
      <w:tblPr>
        <w:tblStyle w:val="35"/>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040"/>
        <w:gridCol w:w="5040"/>
      </w:tblGrid>
      <w:tr w14:paraId="27473CF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040" w:type="dxa"/>
            <w:tcBorders>
              <w:top w:val="single" w:color="4F81BD" w:themeColor="accent1" w:sz="8" w:space="0"/>
              <w:left w:val="nil"/>
              <w:bottom w:val="single" w:color="4F81BD" w:themeColor="accent1" w:sz="8" w:space="0"/>
              <w:right w:val="nil"/>
              <w:insideH w:val="single" w:sz="8" w:space="0"/>
              <w:insideV w:val="nil"/>
            </w:tcBorders>
          </w:tcPr>
          <w:p w14:paraId="7793D8DF">
            <w:pPr>
              <w:spacing w:before="0" w:after="60"/>
              <w:rPr>
                <w:b/>
                <w:bCs/>
                <w:color w:val="376092" w:themeColor="accent1" w:themeShade="BF"/>
              </w:rPr>
            </w:pPr>
            <w:r>
              <w:rPr>
                <w:b/>
                <w:bCs/>
                <w:color w:val="376092" w:themeColor="accent1" w:themeShade="BF"/>
                <w:sz w:val="20"/>
              </w:rPr>
              <w:t>Column</w:t>
            </w:r>
          </w:p>
        </w:tc>
        <w:tc>
          <w:tcPr>
            <w:tcW w:w="5040" w:type="dxa"/>
            <w:tcBorders>
              <w:top w:val="single" w:color="4F81BD" w:themeColor="accent1" w:sz="8" w:space="0"/>
              <w:bottom w:val="single" w:color="4F81BD" w:themeColor="accent1" w:sz="8" w:space="0"/>
              <w:right w:val="nil"/>
              <w:insideH w:val="single" w:sz="8" w:space="0"/>
              <w:insideV w:val="nil"/>
            </w:tcBorders>
          </w:tcPr>
          <w:p w14:paraId="3BC542F8">
            <w:pPr>
              <w:spacing w:before="0" w:after="60"/>
              <w:rPr>
                <w:b/>
                <w:bCs/>
                <w:color w:val="376092" w:themeColor="accent1" w:themeShade="BF"/>
              </w:rPr>
            </w:pPr>
            <w:r>
              <w:rPr>
                <w:b/>
                <w:bCs/>
                <w:color w:val="376092" w:themeColor="accent1" w:themeShade="BF"/>
                <w:sz w:val="20"/>
              </w:rPr>
              <w:t>Description</w:t>
            </w:r>
          </w:p>
        </w:tc>
      </w:tr>
      <w:tr w14:paraId="321AB16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040" w:type="dxa"/>
            <w:tcBorders>
              <w:left w:val="nil"/>
              <w:right w:val="nil"/>
              <w:insideV w:val="nil"/>
            </w:tcBorders>
            <w:shd w:val="clear" w:color="auto" w:fill="D3DFEE" w:themeFill="accent1" w:themeFillTint="3F"/>
          </w:tcPr>
          <w:p w14:paraId="744B41E6">
            <w:pPr>
              <w:spacing w:after="60"/>
              <w:rPr>
                <w:b/>
                <w:bCs/>
                <w:color w:val="376092" w:themeColor="accent1" w:themeShade="BF"/>
              </w:rPr>
            </w:pPr>
            <w:r>
              <w:rPr>
                <w:b/>
                <w:bCs/>
                <w:color w:val="376092" w:themeColor="accent1" w:themeShade="BF"/>
                <w:sz w:val="20"/>
              </w:rPr>
              <w:t>Invoice Date</w:t>
            </w:r>
          </w:p>
        </w:tc>
        <w:tc>
          <w:tcPr>
            <w:tcW w:w="5040" w:type="dxa"/>
            <w:tcBorders>
              <w:right w:val="nil"/>
              <w:insideV w:val="nil"/>
            </w:tcBorders>
            <w:shd w:val="clear" w:color="auto" w:fill="D3DFEE" w:themeFill="accent1" w:themeFillTint="3F"/>
          </w:tcPr>
          <w:p w14:paraId="680E7A16">
            <w:pPr>
              <w:spacing w:after="60"/>
              <w:rPr>
                <w:color w:val="376092" w:themeColor="accent1" w:themeShade="BF"/>
              </w:rPr>
            </w:pPr>
            <w:r>
              <w:rPr>
                <w:color w:val="376092" w:themeColor="accent1" w:themeShade="BF"/>
                <w:sz w:val="20"/>
              </w:rPr>
              <w:t>Purchase date</w:t>
            </w:r>
          </w:p>
        </w:tc>
      </w:tr>
      <w:tr w14:paraId="616A54A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040" w:type="dxa"/>
          </w:tcPr>
          <w:p w14:paraId="0F068207">
            <w:pPr>
              <w:spacing w:after="60"/>
              <w:rPr>
                <w:b/>
                <w:bCs/>
                <w:color w:val="376092" w:themeColor="accent1" w:themeShade="BF"/>
              </w:rPr>
            </w:pPr>
            <w:r>
              <w:rPr>
                <w:b/>
                <w:bCs/>
                <w:color w:val="376092" w:themeColor="accent1" w:themeShade="BF"/>
                <w:sz w:val="20"/>
              </w:rPr>
              <w:t>Invoice ID</w:t>
            </w:r>
          </w:p>
        </w:tc>
        <w:tc>
          <w:tcPr>
            <w:tcW w:w="5040" w:type="dxa"/>
          </w:tcPr>
          <w:p w14:paraId="30B5B29F">
            <w:pPr>
              <w:spacing w:after="60"/>
              <w:rPr>
                <w:color w:val="376092" w:themeColor="accent1" w:themeShade="BF"/>
              </w:rPr>
            </w:pPr>
            <w:r>
              <w:rPr>
                <w:color w:val="0000FF"/>
                <w:sz w:val="20"/>
              </w:rPr>
              <w:t>Unique</w:t>
            </w:r>
            <w:r>
              <w:rPr>
                <w:color w:val="376092" w:themeColor="accent1" w:themeShade="BF"/>
                <w:sz w:val="20"/>
              </w:rPr>
              <w:t xml:space="preserve"> invoice identifier</w:t>
            </w:r>
          </w:p>
        </w:tc>
      </w:tr>
      <w:tr w14:paraId="32FA9E5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040" w:type="dxa"/>
            <w:tcBorders>
              <w:left w:val="nil"/>
              <w:right w:val="nil"/>
              <w:insideV w:val="nil"/>
            </w:tcBorders>
            <w:shd w:val="clear" w:color="auto" w:fill="D3DFEE" w:themeFill="accent1" w:themeFillTint="3F"/>
          </w:tcPr>
          <w:p w14:paraId="69BD89FC">
            <w:pPr>
              <w:spacing w:after="60"/>
              <w:rPr>
                <w:b/>
                <w:bCs/>
                <w:color w:val="376092" w:themeColor="accent1" w:themeShade="BF"/>
              </w:rPr>
            </w:pPr>
            <w:r>
              <w:rPr>
                <w:b/>
                <w:bCs/>
                <w:color w:val="376092" w:themeColor="accent1" w:themeShade="BF"/>
                <w:sz w:val="20"/>
              </w:rPr>
              <w:t>Invoice Gas Station Location</w:t>
            </w:r>
          </w:p>
        </w:tc>
        <w:tc>
          <w:tcPr>
            <w:tcW w:w="5040" w:type="dxa"/>
            <w:tcBorders>
              <w:right w:val="nil"/>
              <w:insideV w:val="nil"/>
            </w:tcBorders>
            <w:shd w:val="clear" w:color="auto" w:fill="D3DFEE" w:themeFill="accent1" w:themeFillTint="3F"/>
          </w:tcPr>
          <w:p w14:paraId="58082E2A">
            <w:pPr>
              <w:spacing w:after="60"/>
              <w:rPr>
                <w:color w:val="376092" w:themeColor="accent1" w:themeShade="BF"/>
              </w:rPr>
            </w:pPr>
            <w:r>
              <w:rPr>
                <w:color w:val="376092" w:themeColor="accent1" w:themeShade="BF"/>
                <w:sz w:val="20"/>
              </w:rPr>
              <w:t>Station identifier</w:t>
            </w:r>
          </w:p>
        </w:tc>
      </w:tr>
      <w:tr w14:paraId="5B4D07BE">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040" w:type="dxa"/>
          </w:tcPr>
          <w:p w14:paraId="75A7BE64">
            <w:pPr>
              <w:spacing w:after="60"/>
              <w:rPr>
                <w:b/>
                <w:bCs/>
                <w:color w:val="376092" w:themeColor="accent1" w:themeShade="BF"/>
              </w:rPr>
            </w:pPr>
            <w:r>
              <w:rPr>
                <w:b/>
                <w:bCs/>
                <w:color w:val="376092" w:themeColor="accent1" w:themeShade="BF"/>
                <w:sz w:val="20"/>
              </w:rPr>
              <w:t>Gross Purchase Cost</w:t>
            </w:r>
          </w:p>
        </w:tc>
        <w:tc>
          <w:tcPr>
            <w:tcW w:w="5040" w:type="dxa"/>
          </w:tcPr>
          <w:p w14:paraId="1F86BEC4">
            <w:pPr>
              <w:spacing w:after="60"/>
              <w:rPr>
                <w:color w:val="376092" w:themeColor="accent1" w:themeShade="BF"/>
              </w:rPr>
            </w:pPr>
            <w:r>
              <w:rPr>
                <w:color w:val="376092" w:themeColor="accent1" w:themeShade="BF"/>
                <w:sz w:val="20"/>
              </w:rPr>
              <w:t>Total purchase cost in Canadian dollars (CAD)</w:t>
            </w:r>
          </w:p>
        </w:tc>
      </w:tr>
      <w:tr w14:paraId="52C55418">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040" w:type="dxa"/>
            <w:tcBorders>
              <w:left w:val="nil"/>
              <w:right w:val="nil"/>
              <w:insideV w:val="nil"/>
            </w:tcBorders>
            <w:shd w:val="clear" w:color="auto" w:fill="D3DFEE" w:themeFill="accent1" w:themeFillTint="3F"/>
          </w:tcPr>
          <w:p w14:paraId="78CFF34A">
            <w:pPr>
              <w:spacing w:after="60"/>
              <w:rPr>
                <w:b/>
                <w:bCs/>
                <w:color w:val="376092" w:themeColor="accent1" w:themeShade="BF"/>
              </w:rPr>
            </w:pPr>
            <w:r>
              <w:rPr>
                <w:b/>
                <w:bCs/>
                <w:color w:val="376092" w:themeColor="accent1" w:themeShade="BF"/>
                <w:sz w:val="20"/>
              </w:rPr>
              <w:t>Amount Purchased</w:t>
            </w:r>
          </w:p>
        </w:tc>
        <w:tc>
          <w:tcPr>
            <w:tcW w:w="5040" w:type="dxa"/>
            <w:tcBorders>
              <w:right w:val="nil"/>
              <w:insideV w:val="nil"/>
            </w:tcBorders>
            <w:shd w:val="clear" w:color="auto" w:fill="D3DFEE" w:themeFill="accent1" w:themeFillTint="3F"/>
          </w:tcPr>
          <w:p w14:paraId="67CDE5F7">
            <w:pPr>
              <w:spacing w:after="60"/>
              <w:rPr>
                <w:color w:val="376092" w:themeColor="accent1" w:themeShade="BF"/>
              </w:rPr>
            </w:pPr>
            <w:r>
              <w:rPr>
                <w:color w:val="376092" w:themeColor="accent1" w:themeShade="BF"/>
                <w:sz w:val="20"/>
              </w:rPr>
              <w:t>Quantity purchased in liters</w:t>
            </w:r>
          </w:p>
        </w:tc>
      </w:tr>
      <w:tr w14:paraId="36F6BD26">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040" w:type="dxa"/>
          </w:tcPr>
          <w:p w14:paraId="348F5BA0">
            <w:pPr>
              <w:spacing w:after="60"/>
              <w:rPr>
                <w:b/>
                <w:bCs/>
                <w:color w:val="376092" w:themeColor="accent1" w:themeShade="BF"/>
              </w:rPr>
            </w:pPr>
            <w:r>
              <w:rPr>
                <w:b/>
                <w:bCs/>
                <w:color w:val="376092" w:themeColor="accent1" w:themeShade="BF"/>
                <w:sz w:val="20"/>
              </w:rPr>
              <w:t>Fuel Type</w:t>
            </w:r>
          </w:p>
        </w:tc>
        <w:tc>
          <w:tcPr>
            <w:tcW w:w="5040" w:type="dxa"/>
          </w:tcPr>
          <w:p w14:paraId="5EBDBDBF">
            <w:pPr>
              <w:spacing w:after="60"/>
              <w:rPr>
                <w:color w:val="376092" w:themeColor="accent1" w:themeShade="BF"/>
              </w:rPr>
            </w:pPr>
            <w:r>
              <w:rPr>
                <w:color w:val="376092" w:themeColor="accent1" w:themeShade="BF"/>
                <w:sz w:val="20"/>
              </w:rPr>
              <w:t>Fuel type purchased</w:t>
            </w:r>
          </w:p>
        </w:tc>
      </w:tr>
    </w:tbl>
    <w:p w14:paraId="17CDEC5B">
      <w:pPr>
        <w:pStyle w:val="4"/>
      </w:pPr>
      <w:r>
        <w:t>Fuel_Level_Part_1.csv and Fuel_Level_Part_2.csv</w:t>
      </w:r>
    </w:p>
    <w:p w14:paraId="1A18DFE7">
      <w:pPr>
        <w:rPr>
          <w:color w:val="0000FF"/>
        </w:rPr>
      </w:pPr>
      <w:r>
        <w:t>These files record fuel inventory in each tank at frequent, mostly regular intervals.</w:t>
      </w:r>
      <w:r>
        <w:rPr>
          <w:color w:val="0000FF"/>
        </w:rPr>
        <w:t xml:space="preserve"> Combine them into one dataset before analyzing inventory trends.</w:t>
      </w:r>
    </w:p>
    <w:tbl>
      <w:tblPr>
        <w:tblStyle w:val="35"/>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040"/>
        <w:gridCol w:w="5040"/>
      </w:tblGrid>
      <w:tr w14:paraId="5CE6BC1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040" w:type="dxa"/>
            <w:tcBorders>
              <w:top w:val="single" w:color="4F81BD" w:themeColor="accent1" w:sz="8" w:space="0"/>
              <w:left w:val="nil"/>
              <w:bottom w:val="single" w:color="4F81BD" w:themeColor="accent1" w:sz="8" w:space="0"/>
              <w:right w:val="nil"/>
              <w:insideH w:val="single" w:sz="8" w:space="0"/>
              <w:insideV w:val="nil"/>
            </w:tcBorders>
          </w:tcPr>
          <w:p w14:paraId="22768243">
            <w:pPr>
              <w:spacing w:before="0" w:after="60"/>
              <w:rPr>
                <w:b/>
                <w:bCs/>
                <w:color w:val="376092" w:themeColor="accent1" w:themeShade="BF"/>
              </w:rPr>
            </w:pPr>
            <w:r>
              <w:rPr>
                <w:b/>
                <w:bCs/>
                <w:color w:val="376092" w:themeColor="accent1" w:themeShade="BF"/>
                <w:sz w:val="20"/>
              </w:rPr>
              <w:t>Column</w:t>
            </w:r>
          </w:p>
        </w:tc>
        <w:tc>
          <w:tcPr>
            <w:tcW w:w="5040" w:type="dxa"/>
            <w:tcBorders>
              <w:top w:val="single" w:color="4F81BD" w:themeColor="accent1" w:sz="8" w:space="0"/>
              <w:bottom w:val="single" w:color="4F81BD" w:themeColor="accent1" w:sz="8" w:space="0"/>
              <w:right w:val="nil"/>
              <w:insideH w:val="single" w:sz="8" w:space="0"/>
              <w:insideV w:val="nil"/>
            </w:tcBorders>
          </w:tcPr>
          <w:p w14:paraId="272A97AB">
            <w:pPr>
              <w:spacing w:before="0" w:after="60"/>
              <w:rPr>
                <w:b/>
                <w:bCs/>
                <w:color w:val="376092" w:themeColor="accent1" w:themeShade="BF"/>
              </w:rPr>
            </w:pPr>
            <w:r>
              <w:rPr>
                <w:b/>
                <w:bCs/>
                <w:color w:val="376092" w:themeColor="accent1" w:themeShade="BF"/>
                <w:sz w:val="20"/>
              </w:rPr>
              <w:t>Description</w:t>
            </w:r>
          </w:p>
        </w:tc>
      </w:tr>
      <w:tr w14:paraId="26DE187E">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040" w:type="dxa"/>
            <w:tcBorders>
              <w:left w:val="nil"/>
              <w:right w:val="nil"/>
              <w:insideV w:val="nil"/>
            </w:tcBorders>
            <w:shd w:val="clear" w:color="auto" w:fill="D3DFEE" w:themeFill="accent1" w:themeFillTint="3F"/>
          </w:tcPr>
          <w:p w14:paraId="233BC6B6">
            <w:pPr>
              <w:spacing w:after="60"/>
              <w:rPr>
                <w:b/>
                <w:bCs/>
                <w:color w:val="376092" w:themeColor="accent1" w:themeShade="BF"/>
              </w:rPr>
            </w:pPr>
            <w:r>
              <w:rPr>
                <w:b/>
                <w:bCs/>
                <w:color w:val="376092" w:themeColor="accent1" w:themeShade="BF"/>
                <w:sz w:val="20"/>
              </w:rPr>
              <w:t>Tank ID</w:t>
            </w:r>
          </w:p>
        </w:tc>
        <w:tc>
          <w:tcPr>
            <w:tcW w:w="5040" w:type="dxa"/>
            <w:tcBorders>
              <w:right w:val="nil"/>
              <w:insideV w:val="nil"/>
            </w:tcBorders>
            <w:shd w:val="clear" w:color="auto" w:fill="D3DFEE" w:themeFill="accent1" w:themeFillTint="3F"/>
          </w:tcPr>
          <w:p w14:paraId="3A3DBEB1">
            <w:pPr>
              <w:spacing w:after="60"/>
              <w:rPr>
                <w:color w:val="376092" w:themeColor="accent1" w:themeShade="BF"/>
              </w:rPr>
            </w:pPr>
            <w:r>
              <w:rPr>
                <w:color w:val="376092" w:themeColor="accent1" w:themeShade="BF"/>
                <w:sz w:val="20"/>
              </w:rPr>
              <w:t>Tank identifier</w:t>
            </w:r>
          </w:p>
        </w:tc>
      </w:tr>
      <w:tr w14:paraId="54B5D55E">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040" w:type="dxa"/>
          </w:tcPr>
          <w:p w14:paraId="7A6257A3">
            <w:pPr>
              <w:spacing w:after="60"/>
              <w:rPr>
                <w:b/>
                <w:bCs/>
                <w:color w:val="376092" w:themeColor="accent1" w:themeShade="BF"/>
              </w:rPr>
            </w:pPr>
            <w:r>
              <w:rPr>
                <w:b/>
                <w:bCs/>
                <w:color w:val="376092" w:themeColor="accent1" w:themeShade="BF"/>
                <w:sz w:val="20"/>
              </w:rPr>
              <w:t>Fuel Level</w:t>
            </w:r>
          </w:p>
        </w:tc>
        <w:tc>
          <w:tcPr>
            <w:tcW w:w="5040" w:type="dxa"/>
          </w:tcPr>
          <w:p w14:paraId="39171C57">
            <w:pPr>
              <w:spacing w:after="60"/>
              <w:rPr>
                <w:color w:val="376092" w:themeColor="accent1" w:themeShade="BF"/>
              </w:rPr>
            </w:pPr>
            <w:r>
              <w:rPr>
                <w:color w:val="376092" w:themeColor="accent1" w:themeShade="BF"/>
                <w:sz w:val="20"/>
              </w:rPr>
              <w:t>Remaining inventory in liters</w:t>
            </w:r>
          </w:p>
        </w:tc>
      </w:tr>
      <w:tr w14:paraId="7DCB77C6">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040" w:type="dxa"/>
            <w:tcBorders>
              <w:left w:val="nil"/>
              <w:right w:val="nil"/>
              <w:insideV w:val="nil"/>
            </w:tcBorders>
            <w:shd w:val="clear" w:color="auto" w:fill="D3DFEE" w:themeFill="accent1" w:themeFillTint="3F"/>
          </w:tcPr>
          <w:p w14:paraId="4BBF19FE">
            <w:pPr>
              <w:spacing w:after="60"/>
              <w:rPr>
                <w:b/>
                <w:bCs/>
                <w:color w:val="376092" w:themeColor="accent1" w:themeShade="BF"/>
              </w:rPr>
            </w:pPr>
            <w:r>
              <w:rPr>
                <w:b/>
                <w:bCs/>
                <w:color w:val="376092" w:themeColor="accent1" w:themeShade="BF"/>
                <w:sz w:val="20"/>
              </w:rPr>
              <w:t>Time Stamp</w:t>
            </w:r>
          </w:p>
        </w:tc>
        <w:tc>
          <w:tcPr>
            <w:tcW w:w="5040" w:type="dxa"/>
            <w:tcBorders>
              <w:right w:val="nil"/>
              <w:insideV w:val="nil"/>
            </w:tcBorders>
            <w:shd w:val="clear" w:color="auto" w:fill="D3DFEE" w:themeFill="accent1" w:themeFillTint="3F"/>
          </w:tcPr>
          <w:p w14:paraId="1D1DB531">
            <w:pPr>
              <w:spacing w:after="60"/>
              <w:rPr>
                <w:color w:val="376092" w:themeColor="accent1" w:themeShade="BF"/>
              </w:rPr>
            </w:pPr>
            <w:r>
              <w:rPr>
                <w:color w:val="376092" w:themeColor="accent1" w:themeShade="BF"/>
                <w:sz w:val="20"/>
              </w:rPr>
              <w:t>Date and time of the inventory reading</w:t>
            </w:r>
          </w:p>
        </w:tc>
      </w:tr>
    </w:tbl>
    <w:p w14:paraId="414AAC11">
      <w:pPr>
        <w:pStyle w:val="3"/>
      </w:pPr>
      <w:r>
        <w:t>Business Context</w:t>
      </w:r>
    </w:p>
    <w:p w14:paraId="6DEA3FBB">
      <w:r>
        <w:t>Gas stations purchase fuel in bulk and store each fuel type in one or more underground tanks. Tank capacity limits how much fuel a station can order, while customer demand determines how quickly inventory is depleted.</w:t>
      </w:r>
    </w:p>
    <w:p w14:paraId="7315C5B9">
      <w:r>
        <w:t>Smaller, more frequent deliveries reduce the amount of cash tied up in inventory. Larger, less frequent deliveries may qualify for higher quantity discounts but require more available storage and a larger upfront payment. Your recommendations should account for both the discount schedule and the need to avoid stockouts.</w:t>
      </w:r>
    </w:p>
    <w:p w14:paraId="1E0A3987">
      <w:r>
        <w:t>Discounts apply separately to each station and fuel type. Do not combine purchases across stations or fuel types to qualify for a higher discount. Delivery costs may be ignored.</w:t>
      </w:r>
    </w:p>
    <w:p w14:paraId="1CBBCC9A">
      <w:r>
        <w:t>Assume orders are delivered immediately when placed and that the stated tank capacity is usable storage. Ignore delivery delays and temporary downtime during tank replacement. These simplifying assumptions apply to the ordering and replacement scenarios.</w:t>
      </w:r>
    </w:p>
    <w:p w14:paraId="56923CA8">
      <w:pPr>
        <w:pStyle w:val="4"/>
      </w:pPr>
      <w:r>
        <w:t>Quantity Discounts</w:t>
      </w:r>
    </w:p>
    <w:tbl>
      <w:tblPr>
        <w:tblStyle w:val="35"/>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040"/>
        <w:gridCol w:w="5040"/>
      </w:tblGrid>
      <w:tr w14:paraId="2126931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PrEx>
        <w:tc>
          <w:tcPr>
            <w:tcW w:w="5040" w:type="dxa"/>
            <w:tcBorders>
              <w:top w:val="single" w:color="4F81BD" w:themeColor="accent1" w:sz="8" w:space="0"/>
              <w:left w:val="nil"/>
              <w:bottom w:val="single" w:color="4F81BD" w:themeColor="accent1" w:sz="8" w:space="0"/>
              <w:right w:val="nil"/>
              <w:insideH w:val="single" w:sz="8" w:space="0"/>
              <w:insideV w:val="nil"/>
            </w:tcBorders>
          </w:tcPr>
          <w:p w14:paraId="3B3B964E">
            <w:pPr>
              <w:spacing w:before="0" w:after="60"/>
              <w:rPr>
                <w:b/>
                <w:bCs/>
                <w:color w:val="376092" w:themeColor="accent1" w:themeShade="BF"/>
              </w:rPr>
            </w:pPr>
            <w:r>
              <w:rPr>
                <w:b/>
                <w:bCs/>
                <w:color w:val="376092" w:themeColor="accent1" w:themeShade="BF"/>
                <w:sz w:val="20"/>
              </w:rPr>
              <w:t>Quantity per delivery in liters</w:t>
            </w:r>
          </w:p>
        </w:tc>
        <w:tc>
          <w:tcPr>
            <w:tcW w:w="5040" w:type="dxa"/>
            <w:tcBorders>
              <w:top w:val="single" w:color="4F81BD" w:themeColor="accent1" w:sz="8" w:space="0"/>
              <w:bottom w:val="single" w:color="4F81BD" w:themeColor="accent1" w:sz="8" w:space="0"/>
              <w:right w:val="nil"/>
              <w:insideH w:val="single" w:sz="8" w:space="0"/>
              <w:insideV w:val="nil"/>
            </w:tcBorders>
          </w:tcPr>
          <w:p w14:paraId="16F161D7">
            <w:pPr>
              <w:spacing w:before="0" w:after="60"/>
              <w:rPr>
                <w:b/>
                <w:bCs/>
                <w:color w:val="376092" w:themeColor="accent1" w:themeShade="BF"/>
              </w:rPr>
            </w:pPr>
            <w:r>
              <w:rPr>
                <w:b/>
                <w:bCs/>
                <w:color w:val="376092" w:themeColor="accent1" w:themeShade="BF"/>
                <w:sz w:val="20"/>
              </w:rPr>
              <w:t>Discount per liter in CAD</w:t>
            </w:r>
          </w:p>
        </w:tc>
      </w:tr>
      <w:tr w14:paraId="23AB6A1D">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040" w:type="dxa"/>
            <w:tcBorders>
              <w:left w:val="nil"/>
              <w:right w:val="nil"/>
              <w:insideV w:val="nil"/>
            </w:tcBorders>
            <w:shd w:val="clear" w:color="auto" w:fill="D3DFEE" w:themeFill="accent1" w:themeFillTint="3F"/>
          </w:tcPr>
          <w:p w14:paraId="356DBB96">
            <w:pPr>
              <w:spacing w:after="60"/>
              <w:rPr>
                <w:b/>
                <w:bCs/>
                <w:color w:val="376092" w:themeColor="accent1" w:themeShade="BF"/>
              </w:rPr>
            </w:pPr>
            <w:r>
              <w:rPr>
                <w:b/>
                <w:bCs/>
                <w:color w:val="376092" w:themeColor="accent1" w:themeShade="BF"/>
                <w:sz w:val="20"/>
              </w:rPr>
              <w:t>Less than 15,000</w:t>
            </w:r>
          </w:p>
        </w:tc>
        <w:tc>
          <w:tcPr>
            <w:tcW w:w="5040" w:type="dxa"/>
            <w:tcBorders>
              <w:right w:val="nil"/>
              <w:insideV w:val="nil"/>
            </w:tcBorders>
            <w:shd w:val="clear" w:color="auto" w:fill="D3DFEE" w:themeFill="accent1" w:themeFillTint="3F"/>
          </w:tcPr>
          <w:p w14:paraId="08B84FC8">
            <w:pPr>
              <w:spacing w:after="60"/>
              <w:rPr>
                <w:color w:val="376092" w:themeColor="accent1" w:themeShade="BF"/>
              </w:rPr>
            </w:pPr>
            <w:r>
              <w:rPr>
                <w:color w:val="376092" w:themeColor="accent1" w:themeShade="BF"/>
                <w:sz w:val="20"/>
              </w:rPr>
              <w:t>$0.00</w:t>
            </w:r>
          </w:p>
        </w:tc>
      </w:tr>
      <w:tr w14:paraId="4868EDCE">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040" w:type="dxa"/>
          </w:tcPr>
          <w:p w14:paraId="58EAD09E">
            <w:pPr>
              <w:spacing w:after="60"/>
              <w:rPr>
                <w:b/>
                <w:bCs/>
                <w:color w:val="376092" w:themeColor="accent1" w:themeShade="BF"/>
              </w:rPr>
            </w:pPr>
            <w:r>
              <w:rPr>
                <w:b/>
                <w:bCs/>
                <w:color w:val="376092" w:themeColor="accent1" w:themeShade="BF"/>
                <w:sz w:val="20"/>
              </w:rPr>
              <w:t>15,000 to less than 25,000</w:t>
            </w:r>
          </w:p>
        </w:tc>
        <w:tc>
          <w:tcPr>
            <w:tcW w:w="5040" w:type="dxa"/>
          </w:tcPr>
          <w:p w14:paraId="07A5E16E">
            <w:pPr>
              <w:spacing w:after="60"/>
              <w:rPr>
                <w:color w:val="376092" w:themeColor="accent1" w:themeShade="BF"/>
              </w:rPr>
            </w:pPr>
            <w:r>
              <w:rPr>
                <w:color w:val="376092" w:themeColor="accent1" w:themeShade="BF"/>
                <w:sz w:val="20"/>
              </w:rPr>
              <w:t>$0.02</w:t>
            </w:r>
          </w:p>
        </w:tc>
      </w:tr>
      <w:tr w14:paraId="1B5EDE2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040" w:type="dxa"/>
            <w:tcBorders>
              <w:left w:val="nil"/>
              <w:right w:val="nil"/>
              <w:insideV w:val="nil"/>
            </w:tcBorders>
            <w:shd w:val="clear" w:color="auto" w:fill="D3DFEE" w:themeFill="accent1" w:themeFillTint="3F"/>
          </w:tcPr>
          <w:p w14:paraId="085FFFF0">
            <w:pPr>
              <w:spacing w:after="60"/>
              <w:rPr>
                <w:b/>
                <w:bCs/>
                <w:color w:val="376092" w:themeColor="accent1" w:themeShade="BF"/>
              </w:rPr>
            </w:pPr>
            <w:r>
              <w:rPr>
                <w:b/>
                <w:bCs/>
                <w:color w:val="376092" w:themeColor="accent1" w:themeShade="BF"/>
                <w:sz w:val="20"/>
              </w:rPr>
              <w:t>25,000 to less than 40,000</w:t>
            </w:r>
          </w:p>
        </w:tc>
        <w:tc>
          <w:tcPr>
            <w:tcW w:w="5040" w:type="dxa"/>
            <w:tcBorders>
              <w:right w:val="nil"/>
              <w:insideV w:val="nil"/>
            </w:tcBorders>
            <w:shd w:val="clear" w:color="auto" w:fill="D3DFEE" w:themeFill="accent1" w:themeFillTint="3F"/>
          </w:tcPr>
          <w:p w14:paraId="423A9FB0">
            <w:pPr>
              <w:spacing w:after="60"/>
              <w:rPr>
                <w:color w:val="376092" w:themeColor="accent1" w:themeShade="BF"/>
              </w:rPr>
            </w:pPr>
            <w:r>
              <w:rPr>
                <w:color w:val="376092" w:themeColor="accent1" w:themeShade="BF"/>
                <w:sz w:val="20"/>
              </w:rPr>
              <w:t>$0.03</w:t>
            </w:r>
          </w:p>
        </w:tc>
      </w:tr>
      <w:tr w14:paraId="68D612D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040" w:type="dxa"/>
          </w:tcPr>
          <w:p w14:paraId="7E954819">
            <w:pPr>
              <w:spacing w:after="60"/>
              <w:rPr>
                <w:b/>
                <w:bCs/>
                <w:color w:val="376092" w:themeColor="accent1" w:themeShade="BF"/>
              </w:rPr>
            </w:pPr>
            <w:r>
              <w:rPr>
                <w:b/>
                <w:bCs/>
                <w:color w:val="376092" w:themeColor="accent1" w:themeShade="BF"/>
                <w:sz w:val="20"/>
              </w:rPr>
              <w:t>40,000 or more</w:t>
            </w:r>
          </w:p>
        </w:tc>
        <w:tc>
          <w:tcPr>
            <w:tcW w:w="5040" w:type="dxa"/>
          </w:tcPr>
          <w:p w14:paraId="35808D18">
            <w:pPr>
              <w:spacing w:after="60"/>
              <w:rPr>
                <w:color w:val="376092" w:themeColor="accent1" w:themeShade="BF"/>
              </w:rPr>
            </w:pPr>
            <w:r>
              <w:rPr>
                <w:color w:val="376092" w:themeColor="accent1" w:themeShade="BF"/>
                <w:sz w:val="20"/>
              </w:rPr>
              <w:t>$0.04</w:t>
            </w:r>
          </w:p>
        </w:tc>
      </w:tr>
    </w:tbl>
    <w:p w14:paraId="6144EC4F">
      <w:pPr>
        <w:rPr>
          <w:color w:val="0000FF"/>
        </w:rPr>
      </w:pPr>
      <w:r>
        <w:rPr>
          <w:color w:val="0000FF"/>
        </w:rPr>
        <w:t>For this project, use the boundaries shown above and apply the qualifying discount to every liter in that delivery. Assume Gross Purchase Cost already includes the applicable quantity discount. To estimate the price before the discount, add the applicable discount per liter to Gross Purchase Cost divided by Amount Purchased. Do not subtract the current discount a second time.</w:t>
      </w:r>
    </w:p>
    <w:p w14:paraId="7AD82D6C">
      <w:r>
        <w:br w:type="page"/>
      </w:r>
    </w:p>
    <w:p w14:paraId="5014D785">
      <w:pPr>
        <w:pStyle w:val="3"/>
      </w:pPr>
      <w:r>
        <w:t>Business Questions</w:t>
      </w:r>
    </w:p>
    <w:p w14:paraId="54F1A7DF">
      <w:r>
        <w:t>All four business questions are required. Explain your assumptions, show how you calculated your results, and support your recommendations with evidence from the data. Compare a few feasible ordering scenarios; formal optimization and advanced statistical modeling are not required.</w:t>
      </w:r>
    </w:p>
    <w:p w14:paraId="0CA90A25">
      <w:pPr>
        <w:pStyle w:val="4"/>
      </w:pPr>
      <w:r>
        <w:t>1 Evaluate Current Inventory Management</w:t>
      </w:r>
    </w:p>
    <w:p w14:paraId="44322651">
      <w:pPr>
        <w:pStyle w:val="16"/>
      </w:pPr>
      <w:r>
        <w:t>Combine the fuel level files, parse dates and timestamps, and check for missing values, duplicate records, inconsistent identifiers, and implausible quantities. Explain how you handle these issues.</w:t>
      </w:r>
    </w:p>
    <w:p w14:paraId="42B94E46">
      <w:pPr>
        <w:pStyle w:val="16"/>
      </w:pPr>
      <w:r>
        <w:t>Link fuel levels to tanks using Tank ID and tanks to stations using Tank Location and Gas Station Location. Link invoices at the station and fuel type level. Avoid multiplying invoice quantities or costs when a station has several tanks of the same fuel type.</w:t>
      </w:r>
    </w:p>
    <w:p w14:paraId="688A7A02">
      <w:pPr>
        <w:pStyle w:val="16"/>
      </w:pPr>
      <w:r>
        <w:t>Plot fuel levels over time for each tank. Identify replenishment events, low inventory periods, and stations that appear to manage inventory effectively or face stockout risk.</w:t>
      </w:r>
    </w:p>
    <w:p w14:paraId="0D2AB8C2">
      <w:pPr>
        <w:pStyle w:val="16"/>
      </w:pPr>
      <w:r>
        <w:t>Estimate daily consumption by station and fuel type from inventory changes, accounting for deliveries, irregular reporting intervals, and gaps in the records. Explain the method and its limitations.</w:t>
      </w:r>
    </w:p>
    <w:p w14:paraId="1B8D2696">
      <w:pPr>
        <w:pStyle w:val="16"/>
      </w:pPr>
      <w:r>
        <w:t>Analyze invoice quantities, order frequency, purchase cost per liter, and discounts achieved for stations 1 through 8. Calculate the discount savings using purchase quantity multiplied by the applicable discount per liter, and summarize results by station and fuel type.</w:t>
      </w:r>
    </w:p>
    <w:p w14:paraId="1CE7B559">
      <w:pPr>
        <w:pStyle w:val="4"/>
      </w:pPr>
      <w:r>
        <w:t>2 Recommend Improved Ordering Strategies</w:t>
      </w:r>
    </w:p>
    <w:p w14:paraId="5DA1DB13">
      <w:pPr>
        <w:pStyle w:val="16"/>
      </w:pPr>
      <w:r>
        <w:t>Calculate total tank capacity and average daily consumption separately for each station and fuel type. Maintain a minimum fuel reserve equal to seven days of average consumption for that station and fuel type: minimum reserve = 7 × average daily consumption in liters. Your ordering policy must preserve this reserve to reduce the risk of running out of fuel.</w:t>
      </w:r>
    </w:p>
    <w:p w14:paraId="09553591">
      <w:pPr>
        <w:pStyle w:val="16"/>
      </w:pPr>
      <w:r>
        <w:t>Place an order no later than when inventory reaches the seven-day minimum reserve, and order earlier if needed to keep inventory from falling below it. Under the immediate delivery assumption, estimate available storage at the reserve level as total capacity minus the minimum reserve. Flag cases where the reserve equals or exceeds capacity and explain why the policy is infeasible or leaves no room for replenishment.</w:t>
      </w:r>
    </w:p>
    <w:p w14:paraId="7EBF0515">
      <w:pPr>
        <w:pStyle w:val="16"/>
      </w:pPr>
      <w:r>
        <w:t>Compare feasible order quantities and the discounts they qualify for. Each order must fit within available storage when delivered, and its timing and quantity must allow the seven-day reserve to be maintained between deliveries. Total capacity alone does not determine the attainable discount.</w:t>
      </w:r>
    </w:p>
    <w:p w14:paraId="2DE0DB11">
      <w:pPr>
        <w:pStyle w:val="16"/>
      </w:pPr>
      <w:r>
        <w:t>Estimate potential discount savings over the observed period and compare them with current discount savings using the same total fuel volume. Distinguish a theoretical upper bound from savings achievable under your proposed policy.</w:t>
      </w:r>
    </w:p>
    <w:p w14:paraId="0979FB78">
      <w:pPr>
        <w:pStyle w:val="16"/>
      </w:pPr>
      <w:r>
        <w:t>Recommend a replenishment trigger and order quantity for each station and fuel type. Discuss demand variability and any delivery timing assumptions that affect the risk of running out of fuel.</w:t>
      </w:r>
    </w:p>
    <w:p w14:paraId="7AF63A47">
      <w:pPr>
        <w:pStyle w:val="4"/>
      </w:pPr>
      <w:r>
        <w:t>3 Evaluate Whether Purchase Prices Differ by Day of the Week</w:t>
      </w:r>
    </w:p>
    <w:p w14:paraId="0EE919A8">
      <w:pPr>
        <w:pStyle w:val="16"/>
      </w:pPr>
      <w:r>
        <w:t>Calculate invoice cost per liter as Gross Purchase Cost divided by Amount Purchased. Compare its distribution across days of the week, reporting the number of observations for each day.</w:t>
      </w:r>
    </w:p>
    <w:p w14:paraId="581CB6E6">
      <w:pPr>
        <w:pStyle w:val="16"/>
      </w:pPr>
      <w:r>
        <w:t>Check whether weekday differences reflect fuel type, station, order size, quantity discounts, or broader price changes over time. Make comparisons within similar groups where possible.</w:t>
      </w:r>
    </w:p>
    <w:p w14:paraId="27E58CE9">
      <w:pPr>
        <w:pStyle w:val="16"/>
      </w:pPr>
      <w:r>
        <w:t>Evaluate whether the data support a preferred ordering day. Finding no consistent weekday difference is a valid conclusion when supported by your analysis. Estimate additional savings only where shifting an order is feasible given inventory needs, and a</w:t>
      </w:r>
      <w:bookmarkStart w:id="0" w:name="_GoBack"/>
      <w:bookmarkEnd w:id="0"/>
      <w:r>
        <w:t>void adding savings already attributed to quantity discounts. Explain any uncertainty or limitations.</w:t>
      </w:r>
    </w:p>
    <w:p w14:paraId="55A6A307">
      <w:pPr>
        <w:pStyle w:val="4"/>
        <w:pageBreakBefore/>
      </w:pPr>
      <w:r>
        <w:t>4 Evaluate the Feasibility of Replacing Tanks</w:t>
      </w:r>
    </w:p>
    <w:p w14:paraId="08FBB9A3">
      <w:r>
        <w:t>Assess whether replacing an existing tank with a larger tank would allow selected stations to place larger orders, qualify for higher discounts, or reduce stockout risk.</w:t>
      </w:r>
    </w:p>
    <w:p w14:paraId="6EFFBF23">
      <w:pPr>
        <w:pStyle w:val="16"/>
      </w:pPr>
      <w:r>
        <w:t>Assume a total replacement cost of CAD $250,000 per tank, including removal of the existing tank, excavation, installation of the new tank, piping, monitoring equipment, and pavement restoration. This is a project modeling assumption; exclude major soil contamination cleanup. At each station, evaluate replacing one existing tank with a 60,000-liter tank. Use only options larger than the existing tank, and report when neither option increases capacity. Specify the tank being replaced and its fuel type and capacity. Assume the replacement tank stores the same fuel type.</w:t>
      </w:r>
    </w:p>
    <w:p w14:paraId="42A20B2F">
      <w:pPr>
        <w:pStyle w:val="16"/>
      </w:pPr>
      <w:r>
        <w:t>Calculate the net increase in storage as the replacement tank capacity minus the existing tank capacity. Recalculate feasible order quantities and attainable discounts while maintaining the same seven-day minimum reserve for each station and fuel type. Estimate incremental annual savings relative to the improved policy using existing tanks.</w:t>
      </w:r>
    </w:p>
    <w:p w14:paraId="7AF4B939">
      <w:pPr>
        <w:pStyle w:val="16"/>
      </w:pPr>
      <w:r>
        <w:t>Use a five-year evaluation period. Hold prices, discount rates, demand, and operating costs constant at your stated baseline values. Estimate annual savings from the observed data and explain any annualization assumptions.</w:t>
      </w:r>
    </w:p>
    <w:p w14:paraId="38CF7A16">
      <w:pPr>
        <w:pStyle w:val="16"/>
      </w:pPr>
      <w:r>
        <w:t>Calculate five-year net benefit as five times estimated annual incremental savings, less CAD $250,000 for each tank replaced and any additional operating costs over the five years. Report simple payback where annual net savings are positive.</w:t>
      </w:r>
    </w:p>
    <w:p w14:paraId="264906B5">
      <w:pPr>
        <w:pStyle w:val="16"/>
      </w:pPr>
      <w:r>
        <w:t>Identify the locations with the strongest financial case for replacing tanks. Test alternative replacement costs of CAD $150,000 and CAD $350,000 per tank and alternative demand assumptions. Discuss physical or operational constraints that the datasets cannot resolve.</w:t>
      </w:r>
    </w:p>
    <w:p w14:paraId="54393197">
      <w:r>
        <w:t>You may explore other relevant inventory management questions. Additional analysis should support a clear business decision and remain consistent with the assumptions used in the required questions.</w:t>
      </w:r>
    </w:p>
    <w:p w14:paraId="3F15D2FD">
      <w:pPr>
        <w:pStyle w:val="3"/>
      </w:pPr>
      <w:r>
        <w:t>Group Report Requirements</w:t>
      </w:r>
    </w:p>
    <w:p w14:paraId="60211D99">
      <w:r>
        <w:t>Submit a Python notebook containing your code, visualizations, and Markdown explanations. Organize it so that a reader can follow the business problem, data preparation, methods, findings, and recommendations.</w:t>
      </w:r>
    </w:p>
    <w:p w14:paraId="495E4E37">
      <w:pPr>
        <w:pStyle w:val="16"/>
      </w:pPr>
      <w:r>
        <w:t>Begin with a brief executive summary of the main findings and recommended actions.</w:t>
      </w:r>
    </w:p>
    <w:p w14:paraId="7BE417A2">
      <w:pPr>
        <w:pStyle w:val="16"/>
      </w:pPr>
      <w:r>
        <w:t>Document data cleaning decisions, calculations, and assumptions. Label graphs clearly and include units such as liters and CAD.</w:t>
      </w:r>
    </w:p>
    <w:p w14:paraId="1FDD9C68">
      <w:pPr>
        <w:pStyle w:val="16"/>
      </w:pPr>
      <w:r>
        <w:t>Include one summary table by station and fuel type showing current ordering performance, the proposed replenishment trigger and order quantity, current and proposed discount savings over the same period, and estimated incremental savings. Summarize the weekday and tank replacement findings in the executive summary.</w:t>
      </w:r>
    </w:p>
    <w:p w14:paraId="271BB1C5">
      <w:pPr>
        <w:pStyle w:val="16"/>
      </w:pPr>
      <w:r>
        <w:t>Explain the limitations of the data and analysis. Cite external sources used for assumptions, methods, or code.</w:t>
      </w:r>
    </w:p>
    <w:p w14:paraId="06DCF0A3">
      <w:pPr>
        <w:pStyle w:val="16"/>
      </w:pPr>
      <w:r>
        <w:t>Ensure the notebook runs from beginning to end using the supplied datasets. Use relative file paths and include any instructions needed to reproduce the results.</w:t>
      </w:r>
    </w:p>
    <w:p w14:paraId="08220F51">
      <w:pPr>
        <w:pStyle w:val="4"/>
      </w:pPr>
      <w:r>
        <w:t>Assessment Criteria</w:t>
      </w:r>
    </w:p>
    <w:p w14:paraId="25372E31">
      <w:r>
        <w:t>Most of the assessment will focus on correct Python analysis, clear explanations, and reproducibility. We will also assess data exploration, visualizations, completeness of all four required questions, and the reasoning behind your business recommendations. Different recommendations can receive full credit when they follow from a correct analysis and clearly stated assumptions. Cite external resources and submit original work.</w:t>
      </w:r>
    </w:p>
    <w:p w14:paraId="585B30F8">
      <w:r>
        <w:t>We will validate your analysis by running the submitted code and comparing its outputs with the results and recommendations reported in your notebook.</w:t>
      </w:r>
    </w:p>
    <w:sectPr>
      <w:footerReference r:id="rId5" w:type="default"/>
      <w:pgSz w:w="12240" w:h="15840"/>
      <w:pgMar w:top="1008"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ambria">
    <w:panose1 w:val="02040503050406030204"/>
    <w:charset w:val="00"/>
    <w:family w:val="roman"/>
    <w:pitch w:val="default"/>
    <w:sig w:usb0="E00006FF" w:usb1="420024FF" w:usb2="02000000" w:usb3="00000000" w:csb0="2000019F" w:csb1="00000000"/>
  </w:font>
  <w:font w:name="MS Mincho">
    <w:panose1 w:val="02020609040205080304"/>
    <w:charset w:val="80"/>
    <w:family w:val="auto"/>
    <w:pitch w:val="default"/>
    <w:sig w:usb0="E00002FF" w:usb1="6AC7FDFB" w:usb2="08000012" w:usb3="00000000" w:csb0="4002009F" w:csb1="DFD7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16070F">
    <w:pPr>
      <w:pStyle w:val="24"/>
      <w:jc w:val="right"/>
    </w:pPr>
    <w:r>
      <w:rPr>
        <w:sz w:val="18"/>
      </w:rPr>
      <w:t xml:space="preserve">Fuel Inventory Management Project  |  </w:t>
    </w:r>
    <w:r>
      <w:fldChar w:fldCharType="begin"/>
    </w:r>
    <w:r>
      <w:instrText xml:space="preserve">PAGE</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5" w:lineRule="auto"/>
      </w:pPr>
      <w:r>
        <w:separator/>
      </w:r>
    </w:p>
  </w:footnote>
  <w:footnote w:type="continuationSeparator" w:id="1">
    <w:p>
      <w:pPr>
        <w:spacing w:before="0" w:after="0" w:line="245"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E50F1"/>
    <w:rsid w:val="00676FBC"/>
    <w:rsid w:val="00AA1D8D"/>
    <w:rsid w:val="00B47730"/>
    <w:rsid w:val="00CB0664"/>
    <w:rsid w:val="00F669FF"/>
    <w:rsid w:val="00FC693F"/>
    <w:rsid w:val="00FF565E"/>
    <w:rsid w:val="264F3AC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ar-SA"/>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45" w:lineRule="auto"/>
    </w:pPr>
    <w:rPr>
      <w:rFonts w:ascii="Calibri" w:hAnsi="Calibri" w:eastAsiaTheme="minorEastAsia"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30"/>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4"/>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spacing w:after="300" w:line="240" w:lineRule="auto"/>
      <w:contextualSpacing/>
    </w:pPr>
    <w:rPr>
      <w:rFonts w:asciiTheme="majorHAnsi" w:hAnsiTheme="majorHAnsi" w:eastAsiaTheme="majorEastAsia" w:cstheme="majorBidi"/>
      <w:color w:val="000000"/>
      <w:spacing w:val="5"/>
      <w:kern w:val="28"/>
      <w:sz w:val="44"/>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6DB608-D783-4DD2-AAA3-9C2FB9E36AB8}">
  <ds:schemaRefs/>
</ds:datastoreItem>
</file>

<file path=docProps/app.xml><?xml version="1.0" encoding="utf-8"?>
<Properties xmlns="http://schemas.openxmlformats.org/officeDocument/2006/extended-properties" xmlns:vt="http://schemas.openxmlformats.org/officeDocument/2006/docPropsVTypes">
  <Template>Normal.dotm</Template>
  <Pages>4</Pages>
  <Words>586</Words>
  <Characters>3389</Characters>
  <Lines>79</Lines>
  <Paragraphs>22</Paragraphs>
  <TotalTime>41</TotalTime>
  <ScaleCrop>false</ScaleCrop>
  <LinksUpToDate>false</LinksUpToDate>
  <CharactersWithSpaces>3897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胡萝卜小老弟</cp:lastModifiedBy>
  <dcterms:modified xsi:type="dcterms:W3CDTF">2026-10-06T18:58:39Z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eyJoZGlkIjoiZTZjYTk3NjQxNzY2YzdmNTUxNTBjOTRjMGM2NTc0YjgiLCJ1c2VySWQiOiI3Mzg1NjI0NzAifQ==</vt:lpwstr>
  </property>
  <property fmtid="{D5CDD505-2E9C-101B-9397-08002B2CF9AE}" pid="3" name="KSOProductBuildVer">
    <vt:lpwstr>2052-12.1.0.28505</vt:lpwstr>
  </property>
  <property fmtid="{D5CDD505-2E9C-101B-9397-08002B2CF9AE}" pid="4" name="ICV">
    <vt:lpwstr>2B3A15BCCD224AC8BEBC32FE3AE8B41C_12</vt:lpwstr>
  </property>
</Properties>
</file>