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/>
          <w:b/>
          <w:color w:val="0B2545"/>
          <w:sz w:val="46"/>
        </w:rPr>
        <w:t>AI Dataset Studio - Project Charter</w:t>
      </w:r>
    </w:p>
    <w:p>
      <w:pPr>
        <w:spacing w:after="240"/>
      </w:pPr>
      <w:r>
        <w:rPr>
          <w:rFonts w:ascii="Calibri" w:hAnsi="Calibri"/>
          <w:color w:val="595959"/>
          <w:sz w:val="26"/>
        </w:rPr>
        <w:t>Charte de projet - Jour 1</w:t>
      </w:r>
    </w:p>
    <w:p>
      <w:pPr>
        <w:spacing w:after="40"/>
      </w:pPr>
      <w:r>
        <w:rPr>
          <w:rFonts w:ascii="Calibri" w:hAnsi="Calibri"/>
          <w:b/>
          <w:color w:val="0B2545"/>
          <w:sz w:val="21"/>
        </w:rPr>
        <w:t xml:space="preserve">Version: </w:t>
      </w:r>
      <w:r>
        <w:rPr>
          <w:rFonts w:ascii="Calibri" w:hAnsi="Calibri"/>
          <w:color w:val="595959"/>
          <w:sz w:val="21"/>
        </w:rPr>
        <w:t>1.0</w:t>
      </w:r>
    </w:p>
    <w:p>
      <w:pPr>
        <w:spacing w:after="40"/>
      </w:pPr>
      <w:r>
        <w:rPr>
          <w:rFonts w:ascii="Calibri" w:hAnsi="Calibri"/>
          <w:b/>
          <w:color w:val="0B2545"/>
          <w:sz w:val="21"/>
        </w:rPr>
        <w:t xml:space="preserve">Date: </w:t>
      </w:r>
      <w:r>
        <w:rPr>
          <w:rFonts w:ascii="Calibri" w:hAnsi="Calibri"/>
          <w:color w:val="595959"/>
          <w:sz w:val="21"/>
        </w:rPr>
        <w:t>06/08/2026</w:t>
      </w:r>
    </w:p>
    <w:p>
      <w:pPr>
        <w:spacing w:after="40"/>
      </w:pPr>
      <w:r>
        <w:rPr>
          <w:rFonts w:ascii="Calibri" w:hAnsi="Calibri"/>
          <w:b/>
          <w:color w:val="0B2545"/>
          <w:sz w:val="21"/>
        </w:rPr>
        <w:t xml:space="preserve">Statut: </w:t>
      </w:r>
      <w:r>
        <w:rPr>
          <w:rFonts w:ascii="Calibri" w:hAnsi="Calibri"/>
          <w:color w:val="595959"/>
          <w:sz w:val="21"/>
        </w:rPr>
        <w:t>Draft de cadrage</w:t>
      </w:r>
    </w:p>
    <w:p>
      <w:pPr>
        <w:spacing w:after="40"/>
      </w:pPr>
      <w:r>
        <w:rPr>
          <w:rFonts w:ascii="Calibri" w:hAnsi="Calibri"/>
          <w:b/>
          <w:color w:val="0B2545"/>
          <w:sz w:val="21"/>
        </w:rPr>
        <w:t xml:space="preserve">Source: </w:t>
      </w:r>
      <w:r>
        <w:rPr>
          <w:rFonts w:ascii="Calibri" w:hAnsi="Calibri"/>
          <w:color w:val="595959"/>
          <w:sz w:val="21"/>
        </w:rPr>
        <w:t>AI_Dataset_Studio_Cadrage.pdf</w:t>
      </w:r>
    </w:p>
    <w:p>
      <w:pPr>
        <w:spacing w:after="240"/>
        <w:pBdr>
          <w:bottom w:val="single" w:sz="8" w:space="6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Vision: </w:t>
            </w:r>
            <w:r>
              <w:rPr>
                <w:rFonts w:ascii="Calibri" w:hAnsi="Calibri"/>
                <w:color w:val="0B2545"/>
                <w:sz w:val="21"/>
              </w:rPr>
              <w:t>Créer une plateforme web intuitive, de type Canva des datasets IA, permettant d'importer, nettoyer, annoter, contrôler, équilibrer et exporter des datasets prêts à l'entraînement.</w:t>
            </w:r>
          </w:p>
        </w:tc>
      </w:tr>
    </w:tbl>
    <w:p>
      <w:pPr>
        <w:spacing w:after="40"/>
      </w:pPr>
    </w:p>
    <w:p>
      <w:pPr>
        <w:pStyle w:val="Heading1"/>
      </w:pPr>
      <w:r>
        <w:t>1. Contexte et problème</w:t>
      </w:r>
    </w:p>
    <w:p>
      <w:pPr>
        <w:spacing w:after="120"/>
      </w:pPr>
      <w:r>
        <w:t>La qualité des données conditionne directement la performance des modèles d'intelligence artificielle. Pourtant, la préparation des datasets reste longue, technique et dispersée entre plusieurs outils ou scripts.</w:t>
      </w:r>
    </w:p>
    <w:p>
      <w:pPr>
        <w:spacing w:after="120"/>
      </w:pPr>
      <w:r>
        <w:t>AI Dataset Studio répond à ce besoin en proposant une expérience guidée et visuelle, accessible aux profils techniques et non techniques, sans abandonner la rigueur attendue dans un contexte de recherche ou de production IA.</w:t>
      </w:r>
    </w:p>
    <w:p>
      <w:pPr>
        <w:pStyle w:val="Heading1"/>
      </w:pPr>
      <w:r>
        <w:t>2. Objectifs</w:t>
      </w:r>
    </w:p>
    <w:p>
      <w:pPr>
        <w:spacing w:after="120"/>
      </w:pPr>
      <w:r>
        <w:t>L'objectif général est de démocratiser la préparation de données pour l'IA avec une solution web simple, traçable et compatible avec les standards de l'écosystème.</w:t>
      </w:r>
    </w:p>
    <w:p>
      <w:pPr>
        <w:pStyle w:val="ListBullet"/>
        <w:ind w:left="720" w:hanging="360"/>
      </w:pPr>
      <w:r>
        <w:t>Automatiser et semi-automatiser le nettoyage des données.</w:t>
      </w:r>
    </w:p>
    <w:p>
      <w:pPr>
        <w:pStyle w:val="ListBullet"/>
        <w:ind w:left="720" w:hanging="360"/>
      </w:pPr>
      <w:r>
        <w:t>Proposer une annotation collaborative pour données tabulaires, textuelles et images.</w:t>
      </w:r>
    </w:p>
    <w:p>
      <w:pPr>
        <w:pStyle w:val="ListBullet"/>
        <w:ind w:left="720" w:hanging="360"/>
      </w:pPr>
      <w:r>
        <w:t>Détecter les anomalies, labels incohérents, doublons et valeurs aberrantes.</w:t>
      </w:r>
    </w:p>
    <w:p>
      <w:pPr>
        <w:pStyle w:val="ListBullet"/>
        <w:ind w:left="720" w:hanging="360"/>
      </w:pPr>
      <w:r>
        <w:t>Analyser et corriger le déséquilibre des classes.</w:t>
      </w:r>
    </w:p>
    <w:p>
      <w:pPr>
        <w:pStyle w:val="ListBullet"/>
        <w:ind w:left="720" w:hanging="360"/>
      </w:pPr>
      <w:r>
        <w:t>Exporter les datasets vers CSV, JSON, COCO, YOLO, Parquet et Hugging Face Datasets.</w:t>
      </w:r>
    </w:p>
    <w:p>
      <w:pPr>
        <w:pStyle w:val="Heading1"/>
      </w:pPr>
      <w:r>
        <w:t>3. Périmètre du MVP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Inclus dans le MVP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Hors périmètre initial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32323"/>
                <w:sz w:val="18"/>
              </w:rPr>
              <w:t>Import CSV/JSON et aperçu des données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32323"/>
                <w:sz w:val="18"/>
              </w:rPr>
              <w:t>Connecteurs cloud complexes en temps réel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32323"/>
                <w:sz w:val="18"/>
              </w:rPr>
              <w:t>Profiling qualité et nettoyage de base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32323"/>
                <w:sz w:val="18"/>
              </w:rPr>
              <w:t>AutoML ou entraînement de modèles complet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32323"/>
                <w:sz w:val="18"/>
              </w:rPr>
              <w:t>Annotation simple et validation manuelle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32323"/>
                <w:sz w:val="18"/>
              </w:rPr>
              <w:t>Marketplace de datasets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32323"/>
                <w:sz w:val="18"/>
              </w:rPr>
              <w:t>Export standard et journal des transformations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32323"/>
                <w:sz w:val="18"/>
              </w:rPr>
              <w:t>Gestion avancée multi-tenant entreprise</w:t>
            </w:r>
          </w:p>
        </w:tc>
      </w:tr>
    </w:tbl>
    <w:p>
      <w:pPr>
        <w:pStyle w:val="Heading1"/>
      </w:pPr>
      <w:r>
        <w:t>4. Parties prenantes et utilisateurs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800"/>
        <w:gridCol w:w="3380"/>
        <w:gridCol w:w="418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Segment</w:t>
            </w:r>
          </w:p>
        </w:tc>
        <w:tc>
          <w:tcPr>
            <w:tcW w:type="dxa" w:w="3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Besoin principal</w:t>
            </w:r>
          </w:p>
        </w:tc>
        <w:tc>
          <w:tcPr>
            <w:tcW w:type="dxa" w:w="4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Valeur attendue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32323"/>
                <w:sz w:val="18"/>
              </w:rPr>
              <w:t>Chercheurs</w:t>
            </w:r>
          </w:p>
        </w:tc>
        <w:tc>
          <w:tcPr>
            <w:tcW w:type="dxa" w:w="3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32323"/>
                <w:sz w:val="18"/>
              </w:rPr>
              <w:t>Traçabilité, rigueur, formats académiques</w:t>
            </w:r>
          </w:p>
        </w:tc>
        <w:tc>
          <w:tcPr>
            <w:tcW w:type="dxa" w:w="4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32323"/>
                <w:sz w:val="18"/>
              </w:rPr>
              <w:t>Réduire le temps de préparation et améliorer la reproductibilité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32323"/>
                <w:sz w:val="18"/>
              </w:rPr>
              <w:t>Startups IA</w:t>
            </w:r>
          </w:p>
        </w:tc>
        <w:tc>
          <w:tcPr>
            <w:tcW w:type="dxa" w:w="3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32323"/>
                <w:sz w:val="18"/>
              </w:rPr>
              <w:t>Rapidité, coûts maîtrisés, intégration pipeline</w:t>
            </w:r>
          </w:p>
        </w:tc>
        <w:tc>
          <w:tcPr>
            <w:tcW w:type="dxa" w:w="4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32323"/>
                <w:sz w:val="18"/>
              </w:rPr>
              <w:t>Préparer plus vite des datasets exploitables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32323"/>
                <w:sz w:val="18"/>
              </w:rPr>
              <w:t>Universités</w:t>
            </w:r>
          </w:p>
        </w:tc>
        <w:tc>
          <w:tcPr>
            <w:tcW w:type="dxa" w:w="3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32323"/>
                <w:sz w:val="18"/>
              </w:rPr>
              <w:t>Outil pédagogique simple</w:t>
            </w:r>
          </w:p>
        </w:tc>
        <w:tc>
          <w:tcPr>
            <w:tcW w:type="dxa" w:w="4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32323"/>
                <w:sz w:val="18"/>
              </w:rPr>
              <w:t>Former les étudiants sur des données réelles sans prérequis avancé</w:t>
            </w:r>
          </w:p>
        </w:tc>
      </w:tr>
    </w:tbl>
    <w:p>
      <w:pPr>
        <w:pStyle w:val="Heading1"/>
      </w:pPr>
      <w:r>
        <w:t>5. Livrables principaux</w:t>
      </w:r>
    </w:p>
    <w:p>
      <w:pPr>
        <w:pStyle w:val="ListBullet"/>
        <w:ind w:left="720" w:hanging="360"/>
      </w:pPr>
      <w:r>
        <w:t>Étude de cadrage et vision produit.</w:t>
      </w:r>
    </w:p>
    <w:p>
      <w:pPr>
        <w:pStyle w:val="ListBullet"/>
        <w:ind w:left="720" w:hanging="360"/>
      </w:pPr>
      <w:r>
        <w:t>Spécifications fonctionnelles et techniques.</w:t>
      </w:r>
    </w:p>
    <w:p>
      <w:pPr>
        <w:pStyle w:val="ListBullet"/>
        <w:ind w:left="720" w:hanging="360"/>
      </w:pPr>
      <w:r>
        <w:t>Maquettes UX/UI et diagrammes d'architecture.</w:t>
      </w:r>
    </w:p>
    <w:p>
      <w:pPr>
        <w:pStyle w:val="ListBullet"/>
        <w:ind w:left="720" w:hanging="360"/>
      </w:pPr>
      <w:r>
        <w:t>Prototype fonctionnel web avec import, nettoyage, annotation et export.</w:t>
      </w:r>
    </w:p>
    <w:p>
      <w:pPr>
        <w:pStyle w:val="ListBullet"/>
        <w:ind w:left="720" w:hanging="360"/>
      </w:pPr>
      <w:r>
        <w:t>Documentation technique, guide utilisateur et plan de déploiement pilote.</w:t>
      </w:r>
    </w:p>
    <w:p>
      <w:pPr>
        <w:pStyle w:val="Heading1"/>
      </w:pPr>
      <w:r>
        <w:t>6. Jalons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750"/>
        <w:gridCol w:w="4260"/>
        <w:gridCol w:w="3350"/>
      </w:tblGrid>
      <w:t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Jalon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Résultat attendu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Critère de validation</w:t>
            </w:r>
          </w:p>
        </w:tc>
      </w:tr>
      <w:t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32323"/>
                <w:sz w:val="18"/>
              </w:rPr>
              <w:t>M1 - Conception validée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32323"/>
                <w:sz w:val="18"/>
              </w:rPr>
              <w:t>Vision, besoins, architecture et planning stabilisés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32323"/>
                <w:sz w:val="18"/>
              </w:rPr>
              <w:t>Documents relus et acceptés</w:t>
            </w:r>
          </w:p>
        </w:tc>
      </w:tr>
      <w:t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32323"/>
                <w:sz w:val="18"/>
              </w:rPr>
              <w:t>M2 - Import et nettoyage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32323"/>
                <w:sz w:val="18"/>
              </w:rPr>
              <w:t>Premier pipeline opérationnel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32323"/>
                <w:sz w:val="18"/>
              </w:rPr>
              <w:t>Un CSV test est importé, nettoyé et historisé</w:t>
            </w:r>
          </w:p>
        </w:tc>
      </w:tr>
      <w:t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32323"/>
                <w:sz w:val="18"/>
              </w:rPr>
              <w:t>M3 - Annotation et qualité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32323"/>
                <w:sz w:val="18"/>
              </w:rPr>
              <w:t>Annotation et contrôles qualité disponibles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32323"/>
                <w:sz w:val="18"/>
              </w:rPr>
              <w:t>Un jeu annoté peut être validé</w:t>
            </w:r>
          </w:p>
        </w:tc>
      </w:tr>
      <w:t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32323"/>
                <w:sz w:val="18"/>
              </w:rPr>
              <w:t>M4 - Export et documentation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32323"/>
                <w:sz w:val="18"/>
              </w:rPr>
              <w:t>Exports standards et guides prêts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32323"/>
                <w:sz w:val="18"/>
              </w:rPr>
              <w:t>Un dataset préparé est exporté et documenté</w:t>
            </w:r>
          </w:p>
        </w:tc>
      </w:tr>
      <w:t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32323"/>
                <w:sz w:val="18"/>
              </w:rPr>
              <w:t>M5 - MVP livré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32323"/>
                <w:sz w:val="18"/>
              </w:rPr>
              <w:t>Prototype démontrable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32323"/>
                <w:sz w:val="18"/>
              </w:rPr>
              <w:t>Parcours utilisateur complet validé</w:t>
            </w:r>
          </w:p>
        </w:tc>
      </w:tr>
    </w:tbl>
    <w:p>
      <w:pPr>
        <w:pStyle w:val="Heading1"/>
      </w:pPr>
      <w:r>
        <w:t>7. Risques et mesures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600"/>
        <w:gridCol w:w="2250"/>
        <w:gridCol w:w="4510"/>
      </w:tblGrid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Risque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Impact</w:t>
            </w:r>
          </w:p>
        </w:tc>
        <w:tc>
          <w:tcPr>
            <w:tcW w:type="dxa" w:w="4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Mesure de maîtrise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32323"/>
                <w:sz w:val="18"/>
              </w:rPr>
              <w:t>Périmètre trop large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32323"/>
                <w:sz w:val="18"/>
              </w:rPr>
              <w:t>Retard du MVP</w:t>
            </w:r>
          </w:p>
        </w:tc>
        <w:tc>
          <w:tcPr>
            <w:tcW w:type="dxa" w:w="4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32323"/>
                <w:sz w:val="18"/>
              </w:rPr>
              <w:t>Prioriser import, nettoyage, annotation simple et export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32323"/>
                <w:sz w:val="18"/>
              </w:rPr>
              <w:t>Formats de données hétérogènes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32323"/>
                <w:sz w:val="18"/>
              </w:rPr>
              <w:t>Complexité technique</w:t>
            </w:r>
          </w:p>
        </w:tc>
        <w:tc>
          <w:tcPr>
            <w:tcW w:type="dxa" w:w="4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32323"/>
                <w:sz w:val="18"/>
              </w:rPr>
              <w:t>Limiter les formats initiaux puis étendre par connecteurs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32323"/>
                <w:sz w:val="18"/>
              </w:rPr>
              <w:t>Interface trop technique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32323"/>
                <w:sz w:val="18"/>
              </w:rPr>
              <w:t>Adoption faible</w:t>
            </w:r>
          </w:p>
        </w:tc>
        <w:tc>
          <w:tcPr>
            <w:tcW w:type="dxa" w:w="4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32323"/>
                <w:sz w:val="18"/>
              </w:rPr>
              <w:t>Tester les parcours avec des utilisateurs pilotes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32323"/>
                <w:sz w:val="18"/>
              </w:rPr>
              <w:t>Qualité des données difficile à mesurer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32323"/>
                <w:sz w:val="18"/>
              </w:rPr>
              <w:t>Résultats peu fiables</w:t>
            </w:r>
          </w:p>
        </w:tc>
        <w:tc>
          <w:tcPr>
            <w:tcW w:type="dxa" w:w="4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32323"/>
                <w:sz w:val="18"/>
              </w:rPr>
              <w:t>Définir des métriques qualité dès la conception</w:t>
            </w:r>
          </w:p>
        </w:tc>
      </w:tr>
    </w:tbl>
    <w:p>
      <w:pPr>
        <w:pStyle w:val="Heading1"/>
      </w:pPr>
      <w:r>
        <w:t>8. Critères de succès</w:t>
      </w:r>
    </w:p>
    <w:p>
      <w:pPr>
        <w:pStyle w:val="ListBullet"/>
        <w:ind w:left="720" w:hanging="360"/>
      </w:pPr>
      <w:r>
        <w:t>Un utilisateur peut importer un dataset et comprendre son état qualité en moins de cinq minutes.</w:t>
      </w:r>
    </w:p>
    <w:p>
      <w:pPr>
        <w:pStyle w:val="ListBullet"/>
        <w:ind w:left="720" w:hanging="360"/>
      </w:pPr>
      <w:r>
        <w:t>Les transformations appliquées sont consultables et reproductibles.</w:t>
      </w:r>
    </w:p>
    <w:p>
      <w:pPr>
        <w:pStyle w:val="ListBullet"/>
        <w:ind w:left="720" w:hanging="360"/>
      </w:pPr>
      <w:r>
        <w:t>Le MVP exporte au moins CSV et JSON avec un schéma documenté.</w:t>
      </w:r>
    </w:p>
    <w:p>
      <w:pPr>
        <w:pStyle w:val="ListBullet"/>
        <w:ind w:left="720" w:hanging="360"/>
      </w:pPr>
      <w:r>
        <w:t>La documentation permet l'installation et la démonstration autonome du prototype.</w:t>
      </w:r>
    </w:p>
    <w:p>
      <w:pPr>
        <w:pStyle w:val="Heading1"/>
      </w:pPr>
      <w:r>
        <w:t>9. Prochaines actions</w:t>
      </w:r>
    </w:p>
    <w:p>
      <w:pPr>
        <w:pStyle w:val="ListNumber"/>
        <w:ind w:left="720" w:hanging="360"/>
      </w:pPr>
      <w:r>
        <w:t>Valider cette charte avec le responsable projet.</w:t>
      </w:r>
    </w:p>
    <w:p>
      <w:pPr>
        <w:pStyle w:val="ListNumber"/>
        <w:ind w:left="720" w:hanging="360"/>
      </w:pPr>
      <w:r>
        <w:t>Rédiger et relire le cahier des charges fonctionnel.</w:t>
      </w:r>
    </w:p>
    <w:p>
      <w:pPr>
        <w:pStyle w:val="ListNumber"/>
        <w:ind w:left="720" w:hanging="360"/>
      </w:pPr>
      <w:r>
        <w:t>Sélectionner le dataset de démonstration pour la semaine 2.</w:t>
      </w:r>
    </w:p>
    <w:p>
      <w:pPr>
        <w:pStyle w:val="ListNumber"/>
        <w:ind w:left="720" w:hanging="360"/>
      </w:pPr>
      <w:r>
        <w:t>Préparer les premiers diagrammes d'architecture et de flux.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>AI Dataset Studio - Document de travail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8"/>
      </w:rPr>
      <w:t>Project Charter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