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spacing w:after="440"/>
      </w:pPr>
    </w:p>
    <w:p>
      <w:pPr>
        <w:spacing w:after="440"/>
      </w:pPr>
    </w:p>
    <w:p>
      <w:pPr>
        <w:spacing w:after="440"/>
      </w:pPr>
    </w:p>
    <w:p>
      <w:pPr>
        <w:spacing w:before="0" w:after="36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B28A35"/>
          <w:sz w:val="21"/>
        </w:rPr>
        <w:t>区块链技术应用实践 · 课程大作业</w:t>
      </w:r>
    </w:p>
    <w:p>
      <w:pPr>
        <w:spacing w:before="0" w:after="200" w:line="240" w:lineRule="auto"/>
        <w:jc w:val="center"/>
      </w:pPr>
      <w:r>
        <w:rPr>
          <w:rFonts w:ascii="SimSun" w:hAnsi="SimSun" w:eastAsia="SimSun"/>
          <w:b/>
          <w:i w:val="0"/>
          <w:color w:val="0F513F"/>
          <w:sz w:val="64"/>
        </w:rPr>
        <w:t>ChainGrade</w:t>
      </w:r>
    </w:p>
    <w:p>
      <w:pPr>
        <w:spacing w:before="0" w:after="120" w:line="264" w:lineRule="auto"/>
        <w:jc w:val="center"/>
      </w:pPr>
      <w:r>
        <w:rPr>
          <w:rFonts w:ascii="SimSun" w:hAnsi="SimSun" w:eastAsia="SimSun"/>
          <w:b/>
          <w:i w:val="0"/>
          <w:color w:val="14231D"/>
          <w:sz w:val="36"/>
        </w:rPr>
        <w:t>隐私保护型可信成绩凭证管理平台</w:t>
      </w:r>
    </w:p>
    <w:p>
      <w:pPr>
        <w:spacing w:before="0" w:after="84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36E"/>
          <w:sz w:val="22"/>
        </w:rPr>
        <w:t>让成绩可以验证，让更正可以追溯，让隐私不必公开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信息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组长</w:t>
            </w:r>
          </w:p>
        </w:tc>
        <w:tc>
          <w:tcPr>
            <w:tcW w:type="dxa" w:w="7560"/>
          </w:tcPr>
          <w:p>
            <w:r>
              <w:rPr>
                <w:rFonts w:eastAsia="Microsoft YaHei"/>
              </w:rPr>
              <w:t>魏子安（3240101782）</w:t>
            </w:r>
          </w:p>
        </w:tc>
      </w:tr>
      <w:tr>
        <w:tc>
          <w:tcPr>
            <w:tcW w:type="dxa" w:w="18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组员</w:t>
            </w:r>
          </w:p>
        </w:tc>
        <w:tc>
          <w:tcPr>
            <w:tcW w:type="dxa" w:w="7560"/>
            <w:shd w:fill="F3F6F2"/>
          </w:tcPr>
          <w:p>
            <w:r>
              <w:rPr>
                <w:rFonts w:eastAsia="Microsoft YaHei"/>
              </w:rPr>
              <w:t>强璞（3240102045）、阳震（3240105586）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专业</w:t>
            </w:r>
          </w:p>
        </w:tc>
        <w:tc>
          <w:tcPr>
            <w:tcW w:type="dxa" w:w="7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计算机科学与技术</w:t>
            </w:r>
          </w:p>
        </w:tc>
      </w:tr>
      <w:tr>
        <w:tc>
          <w:tcPr>
            <w:tcW w:type="dxa" w:w="18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技术栈</w:t>
            </w:r>
          </w:p>
        </w:tc>
        <w:tc>
          <w:tcPr>
            <w:tcW w:type="dxa" w:w="75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Hyperledger Fabric 2.5.16 / TypeScript / Vue 3 / Fastify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仓库</w:t>
            </w:r>
          </w:p>
        </w:tc>
        <w:tc>
          <w:tcPr>
            <w:tcW w:type="dxa" w:w="7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github.com/ytq0198/Echoes-of-the-Chain</w:t>
            </w:r>
          </w:p>
        </w:tc>
      </w:tr>
      <w:tr>
        <w:tc>
          <w:tcPr>
            <w:tcW w:type="dxa" w:w="18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日期</w:t>
            </w:r>
          </w:p>
        </w:tc>
        <w:tc>
          <w:tcPr>
            <w:tcW w:type="dxa" w:w="75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2026 年 9 月 7 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项目概述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EC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0F513F"/>
                <w:sz w:val="22"/>
              </w:rPr>
              <w:t xml:space="preserve">一句话结论  </w:t>
            </w: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22"/>
              </w:rPr>
              <w:t>ChainGrade 已在真实双组织 Fabric 网络上完成成绩签发、独立复核、学生本人查询、修订/申诉、公开验真和有限披露闭环。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本项目源于课程参考题“围绕学生成绩信息存证与查询实现一个成绩管理应用”。团队没有把目标缩减为把姓名和分数写入区块链，而是从真实教务流程出发，重点处理三个问题：成绩明文不能永久公开；错误成绩必须允许更正但不能覆盖历史；区块链只能保证记录难以篡改，不能替代可信签发和独立复核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最终系统采用浏览器/服务器结构。教师可以单条录入或按教学班导入 CSV，院系复核员使用独立身份批准、驳回和撤销，学生只能查看自己的私有成绩并发起申诉，外部验证者通过公开页面、二维码或标准 VC 文件核对签名、当前状态与详情承诺。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最终指标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实测结果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自动测试</w:t>
            </w:r>
          </w:p>
        </w:tc>
        <w:tc>
          <w:tcPr>
            <w:tcW w:type="dxa" w:w="2100"/>
          </w:tcPr>
          <w:p>
            <w:r>
              <w:rPr>
                <w:rFonts w:ascii="Microsoft YaHei" w:hAnsi="Microsoft YaHei" w:eastAsia="Microsoft YaHei"/>
              </w:rPr>
              <w:t>120 / 120 + 7 / 7</w:t>
            </w:r>
          </w:p>
        </w:tc>
        <w:tc>
          <w:tcPr>
            <w:tcW w:type="dxa" w:w="5160"/>
          </w:tcPr>
          <w:p>
            <w:r>
              <w:rPr>
                <w:rFonts w:ascii="Microsoft YaHei" w:hAnsi="Microsoft YaHei" w:eastAsia="Microsoft YaHei"/>
              </w:rPr>
              <w:t>项目测试 shared 33、chaincode 20、API 67；基准工具 7</w:t>
            </w:r>
          </w:p>
        </w:tc>
      </w:tr>
      <w:tr>
        <w:tc>
          <w:tcPr>
            <w:tcW w:type="dxa" w:w="21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真实网络</w:t>
            </w:r>
          </w:p>
        </w:tc>
        <w:tc>
          <w:tcPr>
            <w:tcW w:type="dxa" w:w="2100"/>
            <w:shd w:fill="F3F6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2 Peer / 高度 12</w:t>
            </w:r>
          </w:p>
        </w:tc>
        <w:tc>
          <w:tcPr>
            <w:tcW w:type="dxa" w:w="51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当前块与上一块哈希完全一致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链码覆盖率</w:t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语句 85.91%</w:t>
            </w:r>
          </w:p>
        </w:tc>
        <w:tc>
          <w:tcPr>
            <w:tcW w:type="dxa" w:w="51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函数 95.52%，行 85.98%</w:t>
            </w:r>
          </w:p>
        </w:tc>
      </w:tr>
      <w:tr>
        <w:tc>
          <w:tcPr>
            <w:tcW w:type="dxa" w:w="21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原子批量</w:t>
            </w:r>
          </w:p>
        </w:tc>
        <w:tc>
          <w:tcPr>
            <w:tcW w:type="dxa" w:w="2100"/>
            <w:shd w:fill="F3F6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2 条 / 1 个交易 ID</w:t>
            </w:r>
          </w:p>
        </w:tc>
        <w:tc>
          <w:tcPr>
            <w:tcW w:type="dxa" w:w="51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冲突批次无部分写入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演示恢复</w:t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12.50 秒</w:t>
            </w:r>
          </w:p>
        </w:tc>
        <w:tc>
          <w:tcPr>
            <w:tcW w:type="dxa" w:w="51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API/Web 停止后生产构建并启动</w:t>
            </w:r>
          </w:p>
        </w:tc>
      </w:tr>
      <w:tr>
        <w:tc>
          <w:tcPr>
            <w:tcW w:type="dxa" w:w="21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UI</w:t>
            </w:r>
          </w:p>
        </w:tc>
        <w:tc>
          <w:tcPr>
            <w:tcW w:type="dxa" w:w="2100"/>
            <w:shd w:fill="F3F6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4 类角色 / 4 种视口</w:t>
            </w:r>
          </w:p>
        </w:tc>
        <w:tc>
          <w:tcPr>
            <w:tcW w:type="dxa" w:w="51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无横向溢出，console 0 warning/error</w:t>
            </w:r>
          </w:p>
        </w:tc>
      </w:tr>
      <w:tr>
        <w:tc>
          <w:tcPr>
            <w:tcW w:type="dxa" w:w="2100"/>
          </w:tcPr>
          <w:p>
            <w:r>
              <w:rPr>
                <w:rFonts w:ascii="Microsoft YaHei" w:hAnsi="Microsoft YaHei" w:eastAsia="Microsoft YaHei"/>
              </w:rPr>
              <w:t>性能矩阵</w:t>
            </w:r>
          </w:p>
        </w:tc>
        <w:tc>
          <w:tcPr>
            <w:tcW w:type="dxa" w:w="2100"/>
          </w:tcPr>
          <w:p>
            <w:r>
              <w:rPr>
                <w:rFonts w:ascii="Microsoft YaHei" w:hAnsi="Microsoft YaHei" w:eastAsia="Microsoft YaHei"/>
              </w:rPr>
              <w:t>84 个正式单元</w:t>
            </w:r>
          </w:p>
        </w:tc>
        <w:tc>
          <w:tcPr>
            <w:tcW w:type="dxa" w:w="5160"/>
          </w:tcPr>
          <w:p>
            <w:r>
              <w:rPr>
                <w:rFonts w:ascii="Microsoft YaHei" w:hAnsi="Microsoft YaHei" w:eastAsia="Microsoft YaHei"/>
              </w:rPr>
              <w:t>7 类负载 × 4 档并发 × 3 次，合法请求失败率 0</w:t>
            </w:r>
          </w:p>
        </w:tc>
      </w:tr>
      <w:tr>
        <w:tc>
          <w:tcPr>
            <w:tcW w:type="dxa" w:w="2100"/>
          </w:tcPr>
          <w:p>
            <w:r>
              <w:rPr>
                <w:rFonts w:ascii="Microsoft YaHei" w:hAnsi="Microsoft YaHei" w:eastAsia="Microsoft YaHei"/>
              </w:rPr>
              <w:t>VC 互操作</w:t>
            </w:r>
          </w:p>
        </w:tc>
        <w:tc>
          <w:tcPr>
            <w:tcW w:type="dxa" w:w="2100"/>
          </w:tcPr>
          <w:p>
            <w:r>
              <w:rPr>
                <w:rFonts w:ascii="Microsoft YaHei" w:hAnsi="Microsoft YaHei" w:eastAsia="Microsoft YaHei"/>
              </w:rPr>
              <w:t>4 视口 / 5 类负向验收</w:t>
            </w:r>
          </w:p>
        </w:tc>
        <w:tc>
          <w:tcPr>
            <w:tcW w:type="dxa" w:w="5160"/>
          </w:tcPr>
          <w:p>
            <w:r>
              <w:rPr>
                <w:rFonts w:ascii="Microsoft YaHei" w:hAnsi="Microsoft YaHei" w:eastAsia="Microsoft YaHei"/>
              </w:rPr>
              <w:t>Ed25519 签名、链上状态、详情锚定分段验证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home-fabric-desktop-1536x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36E"/>
          <w:sz w:val="18"/>
        </w:rPr>
        <w:t>图 1  真实 Fabric 总工作台</w:t>
      </w:r>
    </w:p>
    <w:p>
      <w:pPr>
        <w:pStyle w:val="Heading1"/>
        <w:keepNext/>
      </w:pPr>
      <w:r>
        <w:t>2. 要解决的问题</w:t>
      </w:r>
    </w:p>
    <w:p>
      <w:pPr>
        <w:pStyle w:val="Heading2"/>
        <w:keepNext/>
      </w:pPr>
      <w:r>
        <w:t>2.1 为什么不是简单的“成绩上链”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成绩是低熵敏感数据。直接把 0–100 分写入公共账本会造成永久隐私泄漏；只写裸哈希也可能被枚举。另一方面，如果只强调不可修改，教师录入错误后系统就无法满足正常教务更正。ChainGrade 因此把可信性拆成身份、流程、状态和证据四部分，而不是用一个“不可篡改”词语概括全部问题。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身份：Fabric MSP 和证书属性说明谁以什么角色发起交易。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流程：教师提交与院系复核必须由不同职责身份完成。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状态：链码只接受合法状态转换，终态不能恢复或覆盖。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证据：公共账本保存承诺、状态、版本和审计摘要，明文进入私有集合。</w:t>
      </w:r>
    </w:p>
    <w:p>
      <w:pPr>
        <w:pStyle w:val="Heading2"/>
        <w:keepNext/>
      </w:pPr>
      <w:r>
        <w:t>2.2 项目边界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系统不替代学校教务数据库，也不声称链上数据天然真实。教务系统仍适合日常查询和统计，Fabric 负责多个职责主体共同确认的状态与审计事实。项目只使用合成学生与成绩数据，没有把真实学号、姓名或教务材料带入实验环境。</w:t>
      </w:r>
    </w:p>
    <w:p>
      <w:pPr>
        <w:pStyle w:val="Heading1"/>
        <w:keepNext/>
      </w:pPr>
      <w:r>
        <w:t>3. 总体技术方案</w:t>
      </w:r>
    </w:p>
    <w:p>
      <w:pPr>
        <w:pStyle w:val="Heading2"/>
        <w:keepNext/>
      </w:pPr>
      <w:r>
        <w:t>3.1 组件与数据路径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一次写交易从浏览器开始：Web 进行可用性校验，Fastify API 再执行可信 Schema、会话、同源和 CSRF 校验；Gateway 根据角色选择受控 Fabric 应用证书；Peer 执行 grade 链码；公共状态写入通道账本，成绩详情通过 transient data 进入签发组织隐式私有集合。任何一层的前置检查都不能替代链码的最终权限判断。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50"/>
        <w:gridCol w:w="521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组件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采用形式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核心职责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Web</w:t>
            </w:r>
          </w:p>
        </w:tc>
        <w:tc>
          <w:tcPr>
            <w:tcW w:type="dxa" w:w="245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Vue 3 单页应用</w:t>
            </w:r>
          </w:p>
        </w:tc>
        <w:tc>
          <w:tcPr>
            <w:tcW w:type="dxa" w:w="521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角色任务流、CSV 预检、二维码和错误呈现</w:t>
            </w:r>
          </w:p>
        </w:tc>
      </w:tr>
      <w:tr>
        <w:tc>
          <w:tcPr>
            <w:tcW w:type="dxa" w:w="17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API</w:t>
            </w:r>
          </w:p>
        </w:tc>
        <w:tc>
          <w:tcPr>
            <w:tcW w:type="dxa" w:w="245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Fastify + Zod</w:t>
            </w:r>
          </w:p>
        </w:tc>
        <w:tc>
          <w:tcPr>
            <w:tcW w:type="dxa" w:w="521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会话、CSRF、业务编排、Gateway 与错误映射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共享包</w:t>
            </w:r>
          </w:p>
        </w:tc>
        <w:tc>
          <w:tcPr>
            <w:tcW w:type="dxa" w:w="245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TypeScript Schema</w:t>
            </w:r>
          </w:p>
        </w:tc>
        <w:tc>
          <w:tcPr>
            <w:tcW w:type="dxa" w:w="521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前后端 DTO、枚举、CSV 解析和一致校验</w:t>
            </w:r>
          </w:p>
        </w:tc>
      </w:tr>
      <w:tr>
        <w:tc>
          <w:tcPr>
            <w:tcW w:type="dxa" w:w="17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链码</w:t>
            </w:r>
          </w:p>
        </w:tc>
        <w:tc>
          <w:tcPr>
            <w:tcW w:type="dxa" w:w="245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grade 0.9 CCAAS</w:t>
            </w:r>
          </w:p>
        </w:tc>
        <w:tc>
          <w:tcPr>
            <w:tcW w:type="dxa" w:w="521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25 个交易/查询方法、状态机和私有数据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Fabric</w:t>
            </w:r>
          </w:p>
        </w:tc>
        <w:tc>
          <w:tcPr>
            <w:tcW w:type="dxa" w:w="245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Org1 + Org2 + Raft</w:t>
            </w:r>
          </w:p>
        </w:tc>
        <w:tc>
          <w:tcPr>
            <w:tcW w:type="dxa" w:w="521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共同维护公共事实并隔离组织私有明文</w:t>
            </w:r>
          </w:p>
        </w:tc>
      </w:tr>
      <w:tr>
        <w:tc>
          <w:tcPr>
            <w:tcW w:type="dxa" w:w="17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运维</w:t>
            </w:r>
          </w:p>
        </w:tc>
        <w:tc>
          <w:tcPr>
            <w:tcW w:type="dxa" w:w="245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受限 Bash 脚本</w:t>
            </w:r>
          </w:p>
        </w:tc>
        <w:tc>
          <w:tcPr>
            <w:tcW w:type="dxa" w:w="521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启停、备份、恢复、播种和演示预检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为什么选择 Hyperledger Fabric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高校成绩参与方不是匿名矿工，而是身份明确的学校、院系和验证机构。Fabric 的 MSP、属性证书、背书、通道和私有数据集合与该信任关系直接对应。项目不发行 Token 或 NFT，也不把数据库所有字段复制到链上。</w:t>
      </w:r>
    </w:p>
    <w:p>
      <w:pPr>
        <w:pStyle w:val="Heading1"/>
        <w:keepNext/>
      </w:pPr>
      <w:r>
        <w:t>4. 数据与隐私设计</w:t>
      </w:r>
    </w:p>
    <w:p>
      <w:pPr>
        <w:pStyle w:val="Heading2"/>
        <w:keepNext/>
      </w:pPr>
      <w:r>
        <w:t>4.1 公共状态与私有详情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400"/>
        <w:gridCol w:w="1400"/>
        <w:gridCol w:w="44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数据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公共账本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私有侧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设计原因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凭证 ID / 状态 / 版本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是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可缓存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验真和审计需要</w:t>
            </w:r>
          </w:p>
        </w:tc>
      </w:tr>
      <w:tr>
        <w:tc>
          <w:tcPr>
            <w:tcW w:type="dxa" w:w="21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学生姓名 / 学号</w:t>
            </w:r>
          </w:p>
        </w:tc>
        <w:tc>
          <w:tcPr>
            <w:tcW w:type="dxa" w:w="14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否</w:t>
            </w:r>
          </w:p>
        </w:tc>
        <w:tc>
          <w:tcPr>
            <w:tcW w:type="dxa" w:w="14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实验不使用</w:t>
            </w:r>
          </w:p>
        </w:tc>
        <w:tc>
          <w:tcPr>
            <w:tcW w:type="dxa" w:w="44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避免永久身份暴露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匿名主体 / 课程哈希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是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是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支持索引但不展示明文</w:t>
            </w:r>
          </w:p>
        </w:tc>
      </w:tr>
      <w:tr>
        <w:tc>
          <w:tcPr>
            <w:tcW w:type="dxa" w:w="21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课程名 / 分数 / 等级</w:t>
            </w:r>
          </w:p>
        </w:tc>
        <w:tc>
          <w:tcPr>
            <w:tcW w:type="dxa" w:w="14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否</w:t>
            </w:r>
          </w:p>
        </w:tc>
        <w:tc>
          <w:tcPr>
            <w:tcW w:type="dxa" w:w="14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是</w:t>
            </w:r>
          </w:p>
        </w:tc>
        <w:tc>
          <w:tcPr>
            <w:tcW w:type="dxa" w:w="44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成绩明文仅授权方可见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详情承诺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是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可重算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支持完整性核验</w:t>
            </w:r>
          </w:p>
        </w:tc>
      </w:tr>
      <w:tr>
        <w:tc>
          <w:tcPr>
            <w:tcW w:type="dxa" w:w="21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随机盐 / Token 明文</w:t>
            </w:r>
          </w:p>
        </w:tc>
        <w:tc>
          <w:tcPr>
            <w:tcW w:type="dxa" w:w="14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否</w:t>
            </w:r>
          </w:p>
        </w:tc>
        <w:tc>
          <w:tcPr>
            <w:tcW w:type="dxa" w:w="14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受控</w:t>
            </w:r>
          </w:p>
        </w:tc>
        <w:tc>
          <w:tcPr>
            <w:tcW w:type="dxa" w:w="44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抵抗枚举与越权使用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申诉 / 决定正文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否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是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争议信息不向全通道扩散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详情承诺采用版本化规范结构计算：detailHash = SHA-256(canonical JSON(course, score, grade, salt, schemaVersion))。随机盐留在私有侧，攻击者不能仅枚举常见分数重新计算公共哈希。</w:t>
      </w:r>
    </w:p>
    <w:p>
      <w:pPr>
        <w:pStyle w:val="Heading2"/>
        <w:keepNext/>
      </w:pPr>
      <w:r>
        <w:t>4.2 有限披露的准确边界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学生可以选择课程名、分数、等级中的必要字段，并绑定用途、验证者、期限和 1–10 次上限。32 字节随机 Token 明文只在创建时返回一次，链上保存其哈希，消费时原子增加次数。该实现能控制字段和访问窗口，但不是 BBS+ 或零知识证明，验证者看到字段后仍可另行保存。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0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ized-disclosure-result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0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36E"/>
          <w:sz w:val="18"/>
        </w:rPr>
        <w:t>图 2  授权后只返回学生允许的字段</w:t>
      </w:r>
    </w:p>
    <w:p>
      <w:pPr>
        <w:pStyle w:val="Heading1"/>
        <w:keepNext/>
      </w:pPr>
      <w:r>
        <w:t>5. 业务状态机与核心功能</w:t>
      </w:r>
    </w:p>
    <w:p>
      <w:pPr>
        <w:pStyle w:val="Heading2"/>
        <w:keepNext/>
      </w:pPr>
      <w:r>
        <w:t>5.1 凭证生命周期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凭证从 PENDING_REVIEW 开始，可由独立复核员批准为 ACTIVE 或驳回为 REJECTED；ACTIVE 可撤销为 REVOKED，或在新版本批准后变为 SUPERSEDED。修订从不覆盖旧对象，新版本通过时在同一交易内激活新版本并取代旧版本，从而避免两个版本同时有效。</w:t>
      </w:r>
    </w:p>
    <w:p>
      <w:pPr>
        <w:pStyle w:val="Heading2"/>
        <w:keepNext/>
      </w:pPr>
      <w:r>
        <w:t>5.2 轻量申诉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学生只能针对本人有效凭证提交申诉。复核员接受申诉只表示允许进入更正，不直接改成绩；教师仍需创建修订草稿，并再次经过独立复核。这样避免 reviewer 通过申诉接口绕过职责分离。</w:t>
      </w:r>
    </w:p>
    <w:p>
      <w:pPr>
        <w:pStyle w:val="Heading2"/>
        <w:keepNext/>
      </w:pPr>
      <w:r>
        <w:t>5.3 七类已实现功能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实现形式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可验证结果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单条签发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公共参数 + transient 私有详情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创建 201，批准 200，最终 ACTIVE</w:t>
            </w:r>
          </w:p>
        </w:tc>
      </w:tr>
      <w:tr>
        <w:tc>
          <w:tcPr>
            <w:tcW w:type="dxa" w:w="19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CSV 批量</w:t>
            </w:r>
          </w:p>
        </w:tc>
        <w:tc>
          <w:tcPr>
            <w:tcW w:type="dxa" w:w="36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CreateCredentialBatch 单交易</w:t>
            </w:r>
          </w:p>
        </w:tc>
        <w:tc>
          <w:tcPr>
            <w:tcW w:type="dxa" w:w="38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2 条共享交易；冲突后新记录 404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驳回 / 撤销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终态 + 原因承诺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非法转换在链码层拒绝</w:t>
            </w:r>
          </w:p>
        </w:tc>
      </w:tr>
      <w:tr>
        <w:tc>
          <w:tcPr>
            <w:tcW w:type="dxa" w:w="19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修订 / 申诉</w:t>
            </w:r>
          </w:p>
        </w:tc>
        <w:tc>
          <w:tcPr>
            <w:tcW w:type="dxa" w:w="36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新版本链接旧版；正文私有</w:t>
            </w:r>
          </w:p>
        </w:tc>
        <w:tc>
          <w:tcPr>
            <w:tcW w:type="dxa" w:w="38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旧版 SUPERSEDED，申诉进度可查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公开 / 二维码验真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凭证 ID + 详情哈希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返回状态和匹配结论，不返回成绩</w:t>
            </w:r>
          </w:p>
        </w:tc>
      </w:tr>
      <w:tr>
        <w:tc>
          <w:tcPr>
            <w:tcW w:type="dxa" w:w="19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有限披露</w:t>
            </w:r>
          </w:p>
        </w:tc>
        <w:tc>
          <w:tcPr>
            <w:tcW w:type="dxa" w:w="36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字段、用途、验证者、期限、次数</w:t>
            </w:r>
          </w:p>
        </w:tc>
        <w:tc>
          <w:tcPr>
            <w:tcW w:type="dxa" w:w="38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错误验证者 403，超次 409</w:t>
            </w:r>
          </w:p>
        </w:tc>
      </w:tr>
      <w:tr>
        <w:tc>
          <w:tcPr>
            <w:tcW w:type="dxa" w:w="1900"/>
          </w:tcPr>
          <w:p>
            <w:r>
              <w:rPr>
                <w:rFonts w:ascii="Microsoft YaHei" w:hAnsi="Microsoft YaHei" w:eastAsia="Microsoft YaHei"/>
              </w:rPr>
              <w:t>标准 VC 文件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Ed25519 签名 + JSON 导出/上传</w:t>
            </w:r>
          </w:p>
        </w:tc>
        <w:tc>
          <w:tcPr>
            <w:tcW w:type="dxa" w:w="3860"/>
          </w:tcPr>
          <w:p>
            <w:r>
              <w:rPr>
                <w:rFonts w:ascii="Microsoft YaHei" w:hAnsi="Microsoft YaHei" w:eastAsia="Microsoft YaHei"/>
              </w:rPr>
              <w:t>签名、链上状态、详情锚定三段验证；篡改失败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9068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udent-private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6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36E"/>
          <w:sz w:val="18"/>
        </w:rPr>
        <w:t>图 3  学生本人属性约束的私有成绩读取</w:t>
      </w:r>
    </w:p>
    <w:p>
      <w:r>
        <w:br w:type="page"/>
      </w:r>
    </w:p>
    <w:p>
      <w:pPr>
        <w:pStyle w:val="Heading1"/>
        <w:keepNext/>
      </w:pPr>
      <w:r>
        <w:t>6. 身份、权限与安全控制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Fabric 属性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允许操作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教师 / 录入员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app.role=issuer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创建、批量导入、修订、本人记录</w:t>
            </w:r>
          </w:p>
        </w:tc>
      </w:tr>
      <w:tr>
        <w:tc>
          <w:tcPr>
            <w:tcW w:type="dxa" w:w="22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院系复核员</w:t>
            </w:r>
          </w:p>
        </w:tc>
        <w:tc>
          <w:tcPr>
            <w:tcW w:type="dxa" w:w="30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app.role=reviewer</w:t>
            </w:r>
          </w:p>
        </w:tc>
        <w:tc>
          <w:tcPr>
            <w:tcW w:type="dxa" w:w="41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批准、驳回、撤销和处理申诉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学生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app.role=student + subject.hash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本人查询、申诉和披露授权</w:t>
            </w:r>
          </w:p>
        </w:tc>
      </w:tr>
      <w:tr>
        <w:tc>
          <w:tcPr>
            <w:tcW w:type="dxa" w:w="22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外部验证者</w:t>
            </w:r>
          </w:p>
        </w:tc>
        <w:tc>
          <w:tcPr>
            <w:tcW w:type="dxa" w:w="30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无登录</w:t>
            </w:r>
          </w:p>
        </w:tc>
        <w:tc>
          <w:tcPr>
            <w:tcW w:type="dxa" w:w="41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公开验真或消费有效授权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API 使用 HttpOnly + SameSite=Strict 的短期签名 Cookie。写操作同时检查 Origin 和 CSRF Token；受保护响应设置 Cache-Control: no-store。API 角色检查用于尽早返回可理解错误，链码证书属性检查是最终权限边界。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负向用例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65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未登录读取教师队列</w:t>
            </w:r>
          </w:p>
        </w:tc>
        <w:tc>
          <w:tcPr>
            <w:tcW w:type="dxa" w:w="28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HTTP 401</w:t>
            </w:r>
          </w:p>
        </w:tc>
      </w:tr>
      <w:tr>
        <w:tc>
          <w:tcPr>
            <w:tcW w:type="dxa" w:w="65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恶意 Origin 登录</w:t>
            </w:r>
          </w:p>
        </w:tc>
        <w:tc>
          <w:tcPr>
            <w:tcW w:type="dxa" w:w="2860"/>
            <w:shd w:fill="F3F6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HTTP 403</w:t>
            </w:r>
          </w:p>
        </w:tc>
      </w:tr>
      <w:tr>
        <w:tc>
          <w:tcPr>
            <w:tcW w:type="dxa" w:w="65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issuer 访问 reviewer 队列</w:t>
            </w:r>
          </w:p>
        </w:tc>
        <w:tc>
          <w:tcPr>
            <w:tcW w:type="dxa" w:w="28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HTTP 403</w:t>
            </w:r>
          </w:p>
        </w:tc>
      </w:tr>
      <w:tr>
        <w:tc>
          <w:tcPr>
            <w:tcW w:type="dxa" w:w="65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状态变更缺少 CSRF</w:t>
            </w:r>
          </w:p>
        </w:tc>
        <w:tc>
          <w:tcPr>
            <w:tcW w:type="dxa" w:w="2860"/>
            <w:shd w:fill="F3F6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HTTP 403</w:t>
            </w:r>
          </w:p>
        </w:tc>
      </w:tr>
      <w:tr>
        <w:tc>
          <w:tcPr>
            <w:tcW w:type="dxa" w:w="65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错误验证者消费披露</w:t>
            </w:r>
          </w:p>
        </w:tc>
        <w:tc>
          <w:tcPr>
            <w:tcW w:type="dxa" w:w="28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HTTP 403</w:t>
            </w:r>
          </w:p>
        </w:tc>
      </w:tr>
      <w:tr>
        <w:tc>
          <w:tcPr>
            <w:tcW w:type="dxa" w:w="65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第三次超限消费</w:t>
            </w:r>
          </w:p>
        </w:tc>
        <w:tc>
          <w:tcPr>
            <w:tcW w:type="dxa" w:w="2860"/>
            <w:shd w:fill="F3F6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HTTP 409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产品界面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界面没有沿用普通后台蓝白表格，而是围绕“当前状态、下一步由谁处理、哪些信息公开”组织信息。纸张色背景、深绿色信任色和金色章节编号形成统一视觉；大型衬线字只用于角色标题和关键结果，表单、哈希和交易 ID 保持易读字体。产品页面删除课程、竞赛、小组、Iteration 和演示账号等制作痕迹。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9068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ssuer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6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36E"/>
          <w:sz w:val="18"/>
        </w:rPr>
        <w:t>图 4  教师签发工作台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9068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viewer-real-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6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36E"/>
          <w:sz w:val="18"/>
        </w:rPr>
        <w:t>图 5  独立复核工作台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移动端将侧栏收进折叠菜单，表格变成单列任务卡，长哈希安全断行。最终验收覆盖 1536×1024、1440×900、1280×720 和 390×844；检查页面无横向溢出，浏览器 console warning/error 为 0。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59399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ublic-verify-mobile-390x84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36E"/>
          <w:sz w:val="18"/>
        </w:rPr>
        <w:t>图 6  390×844 移动公开验真</w:t>
      </w:r>
    </w:p>
    <w:p>
      <w:r>
        <w:br w:type="page"/>
      </w:r>
    </w:p>
    <w:p>
      <w:pPr>
        <w:pStyle w:val="Heading1"/>
        <w:keepNext/>
      </w:pPr>
      <w:r>
        <w:t>8. 真实 Fabric 实验与结果</w:t>
      </w:r>
    </w:p>
    <w:p>
      <w:pPr>
        <w:pStyle w:val="Heading2"/>
        <w:keepNext/>
      </w:pPr>
      <w:r>
        <w:t>8.1 实验环境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配置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服务器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Ubuntu 22.04.5 LTS；Xeon Gold 6336Y；251 GiB 共享内存</w:t>
            </w:r>
          </w:p>
        </w:tc>
      </w:tr>
      <w:tr>
        <w:tc>
          <w:tcPr>
            <w:tcW w:type="dxa" w:w="21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运行时</w:t>
            </w:r>
          </w:p>
        </w:tc>
        <w:tc>
          <w:tcPr>
            <w:tcW w:type="dxa" w:w="72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Node.js v24.19.0；pnpm 11.19.0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Fabric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v2.5.16；Org1/Org2；单 Raft orderer；grade 0.9</w:t>
            </w:r>
          </w:p>
        </w:tc>
      </w:tr>
      <w:tr>
        <w:tc>
          <w:tcPr>
            <w:tcW w:type="dxa" w:w="21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前端 / API</w:t>
            </w:r>
          </w:p>
        </w:tc>
        <w:tc>
          <w:tcPr>
            <w:tcW w:type="dxa" w:w="72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Vue 3.5.41 + Vite 8.2.2；Fastify 5.12.1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数据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仅合成学生、课程、成绩、盐值和申诉文本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真实链上证据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实验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链码定义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grade 0.9 / sequence 1；Org1MSP、Org2MSP 均批准</w:t>
            </w:r>
          </w:p>
        </w:tc>
      </w:tr>
      <w:tr>
        <w:tc>
          <w:tcPr>
            <w:tcW w:type="dxa" w:w="23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创建草稿</w:t>
            </w:r>
          </w:p>
        </w:tc>
        <w:tc>
          <w:tcPr>
            <w:tcW w:type="dxa" w:w="70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HTTP 201；tx e83ea7ee…edcb2f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独立批准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HTTP 200；tx c7f5827e…ecf7a7</w:t>
            </w:r>
          </w:p>
        </w:tc>
      </w:tr>
      <w:tr>
        <w:tc>
          <w:tcPr>
            <w:tcW w:type="dxa" w:w="23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原子批量</w:t>
            </w:r>
          </w:p>
        </w:tc>
        <w:tc>
          <w:tcPr>
            <w:tcW w:type="dxa" w:w="70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2 条共用 tx fe1cd817…8c0cce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混合冲突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HTTP 409；冲突后新记录查询 404</w:t>
            </w:r>
          </w:p>
        </w:tc>
      </w:tr>
      <w:tr>
        <w:tc>
          <w:tcPr>
            <w:tcW w:type="dxa" w:w="23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双 Peer</w:t>
            </w:r>
          </w:p>
        </w:tc>
        <w:tc>
          <w:tcPr>
            <w:tcW w:type="dxa" w:w="706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Height 12 / 12；current 和 previous hash 完全一致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自动测试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0"/>
        <w:gridCol w:w="1880"/>
        <w:gridCol w:w="1880"/>
      </w:tblGrid>
      <w:tr>
        <w:trPr>
          <w:tblHeader w:val="true"/>
        </w:trPr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测试包</w:t>
            </w:r>
          </w:p>
        </w:tc>
        <w:tc>
          <w:tcPr>
            <w:tcW w:type="dxa" w:w="1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通过</w:t>
            </w:r>
          </w:p>
        </w:tc>
        <w:tc>
          <w:tcPr>
            <w:tcW w:type="dxa" w:w="1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失败</w:t>
            </w:r>
          </w:p>
        </w:tc>
      </w:tr>
      <w:tr>
        <w:tc>
          <w:tcPr>
            <w:tcW w:type="dxa" w:w="5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Shared Schema / CSV</w:t>
            </w:r>
          </w:p>
        </w:tc>
        <w:tc>
          <w:tcPr>
            <w:tcW w:type="dxa" w:w="1880"/>
          </w:tcPr>
          <w:p>
            <w:r>
              <w:rPr>
                <w:rFonts w:ascii="Microsoft YaHei" w:hAnsi="Microsoft YaHei" w:eastAsia="Microsoft YaHei"/>
              </w:rPr>
              <w:t>33</w:t>
            </w:r>
          </w:p>
        </w:tc>
        <w:tc>
          <w:tcPr>
            <w:tcW w:type="dxa" w:w="1880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56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Grade Chaincode</w:t>
            </w:r>
          </w:p>
        </w:tc>
        <w:tc>
          <w:tcPr>
            <w:tcW w:type="dxa" w:w="1880"/>
            <w:shd w:fill="F3F6F2"/>
          </w:tcPr>
          <w:p>
            <w:r>
              <w:rPr>
                <w:rFonts w:ascii="Microsoft YaHei" w:hAnsi="Microsoft YaHei" w:eastAsia="Microsoft YaHei"/>
              </w:rPr>
              <w:t>20</w:t>
            </w:r>
          </w:p>
        </w:tc>
        <w:tc>
          <w:tcPr>
            <w:tcW w:type="dxa" w:w="1880"/>
            <w:shd w:fill="F3F6F2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5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Fastify API</w:t>
            </w:r>
          </w:p>
        </w:tc>
        <w:tc>
          <w:tcPr>
            <w:tcW w:type="dxa" w:w="1880"/>
          </w:tcPr>
          <w:p>
            <w:r>
              <w:rPr>
                <w:rFonts w:ascii="Microsoft YaHei" w:hAnsi="Microsoft YaHei" w:eastAsia="Microsoft YaHei"/>
              </w:rPr>
              <w:t>67</w:t>
            </w:r>
          </w:p>
        </w:tc>
        <w:tc>
          <w:tcPr>
            <w:tcW w:type="dxa" w:w="1880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5600"/>
            <w:shd w:fill="F3F6F2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1D"/>
                <w:sz w:val="18"/>
              </w:rPr>
              <w:t>合计</w:t>
            </w:r>
          </w:p>
        </w:tc>
        <w:tc>
          <w:tcPr>
            <w:tcW w:type="dxa" w:w="1880"/>
            <w:shd w:fill="F3F6F2"/>
          </w:tcPr>
          <w:p>
            <w:r>
              <w:rPr>
                <w:rFonts w:ascii="Microsoft YaHei" w:hAnsi="Microsoft YaHei" w:eastAsia="Microsoft YaHei"/>
              </w:rPr>
              <w:t>120</w:t>
            </w:r>
          </w:p>
        </w:tc>
        <w:tc>
          <w:tcPr>
            <w:tcW w:type="dxa" w:w="1880"/>
            <w:shd w:fill="F3F6F2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5600"/>
          </w:tcPr>
          <w:p>
            <w:r>
              <w:rPr>
                <w:rFonts w:ascii="Microsoft YaHei" w:hAnsi="Microsoft YaHei" w:eastAsia="Microsoft YaHei"/>
              </w:rPr>
              <w:t>基准工具（独立）</w:t>
            </w:r>
          </w:p>
        </w:tc>
        <w:tc>
          <w:tcPr>
            <w:tcW w:type="dxa" w:w="1880"/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1880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链码语句覆盖率 85.91%，分支 75.38%，函数 95.52%，行 85.98%。分支覆盖率低于其他指标，说明分页和部分底层 Fabric 异常组合仍有补测空间；报告保留这一差距，没有只展示最高覆盖率。</w:t>
      </w:r>
      <w:r>
        <w:t xml:space="preserve"> 标准 VC 验收覆盖 4 种视口与篡改、解析失败、超限、撤销/取代和锚定不一致等负向状态。隔离性能矩阵在并发 20 时测得公开验证吞吐中位数 746.614 次/秒、P95 38.202 ms；单 orderer 的稳定恢复为 22.482 秒，因此系统可恢复但不具备写入高可用。</w:t>
      </w:r>
    </w:p>
    <w:p>
      <w:pPr>
        <w:pStyle w:val="Heading1"/>
        <w:keepNext/>
      </w:pPr>
      <w:r>
        <w:t>9. 运维恢复与工程问题</w:t>
      </w:r>
    </w:p>
    <w:p>
      <w:pPr>
        <w:pStyle w:val="Heading2"/>
        <w:keepNext/>
      </w:pPr>
      <w:r>
        <w:t>9.1 Docker 故障处置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共享 Docker 在服务器重启后持续返回 layer does not exist，且容器、镜像和命名卷不可见。团队没有执行可能影响其他用户的 prune、删除 data-root 或重启系统服务，而是用保留的 Fabric 二进制和 MSP/TLS 在用户目录直接运行 orderer、双 Peer 和 CCAAS 链码。旧 Docker volume 的 transaction ID 无法恢复，因此新网络证据始终标记为恢复网络上的真实新交易。</w:t>
      </w:r>
    </w:p>
    <w:p>
      <w:pPr>
        <w:pStyle w:val="Heading2"/>
        <w:keepNext/>
      </w:pPr>
      <w:r>
        <w:t>9.2 可恢复运行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冷备份大小 220,885 bytes，权限 0600，SHA-256 为 fd243e8a78a834ba2d05f0e669c5372c2a63f0767ca0b3a8f6d4df1b9b892403。恢复前目录保留为时间戳副本；恢复后双 Peer 高度和哈希一致。确定性播种第二次执行不产生新区块。</w:t>
      </w:r>
    </w:p>
    <w:p>
      <w:pPr>
        <w:pStyle w:val="Heading2"/>
        <w:keepNext/>
      </w:pPr>
      <w:r>
        <w:t>9.3 实际发现并修复的问题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Peer 默认把 snapshot 写到 /var/hyperledger 导致权限拒绝；改为项目内 CORE_LEDGER_SNAPSHOTS_ROOTDIR。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重复生成通道区块会引发 PreviousHash 不一致；改为首次生成后稳定复用。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workspace 并行构建使 Web 读取旧 shared dist；改为 shared → chaincode → API → Web。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服务器 inotify 额度耗尽使 Vite 报 ENOSPC；仅给项目进程启用 polling，不改内核参数。</w:t>
      </w:r>
    </w:p>
    <w:p>
      <w:r>
        <w:br w:type="page"/>
      </w:r>
    </w:p>
    <w:p>
      <w:pPr>
        <w:pStyle w:val="Heading1"/>
        <w:keepNext/>
      </w:pPr>
      <w:r>
        <w:t>10. 团队协作、结论与未来工作</w:t>
      </w:r>
    </w:p>
    <w:p>
      <w:pPr>
        <w:pStyle w:val="Heading2"/>
        <w:keepNext/>
      </w:pPr>
      <w:r>
        <w:t>10.1 团队协作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60"/>
        <w:gridCol w:w="410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成员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主责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513F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主要证据</w:t>
            </w:r>
          </w:p>
        </w:tc>
      </w:tr>
      <w:tr>
        <w:tc>
          <w:tcPr>
            <w:tcW w:type="dxa" w:w="1700"/>
          </w:tcPr>
          <w:p>
            <w:r>
              <w:rPr>
                <w:rFonts w:eastAsia="Microsoft YaHei"/>
              </w:rPr>
              <w:t>魏子安</w:t>
              <w:br/>
              <w:t>3240101782</w:t>
            </w:r>
          </w:p>
        </w:tc>
        <w:tc>
          <w:tcPr>
            <w:tcW w:type="dxa" w:w="3560"/>
          </w:tcPr>
          <w:p>
            <w:r>
              <w:rPr>
                <w:rFonts w:ascii="Microsoft YaHei" w:hAnsi="Microsoft YaHei" w:eastAsia="Microsoft YaHei"/>
              </w:rPr>
              <w:t>基础系统、Fabric、部署、材料与集成</w:t>
            </w:r>
          </w:p>
        </w:tc>
        <w:tc>
          <w:tcPr>
            <w:tcW w:type="dxa" w:w="4100"/>
          </w:tcPr>
          <w:p>
            <w:r>
              <w:rPr>
                <w:rFonts w:ascii="Microsoft YaHei" w:hAnsi="Microsoft YaHei" w:eastAsia="Microsoft YaHei"/>
              </w:rPr>
              <w:t>主干设计实现、恢复与 UI 验收、PR 评审修复与合并；4 分</w:t>
            </w:r>
          </w:p>
        </w:tc>
      </w:tr>
      <w:tr>
        <w:tc>
          <w:tcPr>
            <w:tcW w:type="dxa" w:w="1700"/>
            <w:shd w:fill="F3F6F2"/>
          </w:tcPr>
          <w:p>
            <w:r>
              <w:rPr>
                <w:rFonts w:eastAsia="Microsoft YaHei"/>
              </w:rPr>
              <w:t>强璞</w:t>
              <w:br/>
              <w:t>3240102045</w:t>
            </w:r>
          </w:p>
        </w:tc>
        <w:tc>
          <w:tcPr>
            <w:tcW w:type="dxa" w:w="3560"/>
            <w:shd w:fill="F3F6F2"/>
          </w:tcPr>
          <w:p>
            <w:r>
              <w:rPr>
                <w:rFonts w:ascii="Microsoft YaHei" w:hAnsi="Microsoft YaHei" w:eastAsia="Microsoft YaHei"/>
              </w:rPr>
              <w:t>标准 VC 互操作与验证体验</w:t>
            </w:r>
          </w:p>
        </w:tc>
        <w:tc>
          <w:tcPr>
            <w:tcW w:type="dxa" w:w="4100"/>
            <w:shd w:fill="F3F6F2"/>
          </w:tcPr>
          <w:p>
            <w:r>
              <w:rPr>
                <w:rFonts w:ascii="Microsoft YaHei" w:hAnsi="Microsoft YaHei" w:eastAsia="Microsoft YaHei"/>
              </w:rPr>
              <w:t>PR #2、VC 签发验证、导出/上传、负向测试与四视口截图；3 分</w:t>
            </w:r>
          </w:p>
        </w:tc>
      </w:tr>
      <w:tr>
        <w:tc>
          <w:tcPr>
            <w:tcW w:type="dxa" w:w="1700"/>
          </w:tcPr>
          <w:p>
            <w:r>
              <w:rPr>
                <w:rFonts w:eastAsia="Microsoft YaHei"/>
              </w:rPr>
              <w:t>阳震</w:t>
              <w:br/>
              <w:t>3240105586</w:t>
            </w:r>
          </w:p>
        </w:tc>
        <w:tc>
          <w:tcPr>
            <w:tcW w:type="dxa" w:w="3560"/>
          </w:tcPr>
          <w:p>
            <w:r>
              <w:rPr>
                <w:rFonts w:ascii="Microsoft YaHei" w:hAnsi="Microsoft YaHei" w:eastAsia="Microsoft YaHei"/>
              </w:rPr>
              <w:t>性能基准与故障证据</w:t>
            </w:r>
          </w:p>
        </w:tc>
        <w:tc>
          <w:tcPr>
            <w:tcW w:type="dxa" w:w="4100"/>
          </w:tcPr>
          <w:p>
            <w:r>
              <w:rPr>
                <w:rFonts w:ascii="Microsoft YaHei" w:hAnsi="Microsoft YaHei" w:eastAsia="Microsoft YaHei"/>
              </w:rPr>
              <w:t>PR #1、负载矩阵、资源采样、故障恢复、账本审计与原始数据；3 分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组长按实际负责范围和可核验证据给出 10 分制贡献评分：魏子安（3240101782）4 分、强璞（3240102045）3 分、阳震（3240105586）3 分。强璞负责标准 VC 互操作工作包，阳震负责性能基准与故障证据工作包；两人的原始作者信息分别保留在 PR #2 和 PR #1 中。</w:t>
      </w:r>
    </w:p>
    <w:p>
      <w:pPr>
        <w:pStyle w:val="Heading2"/>
        <w:keepNext/>
      </w:pPr>
      <w:r>
        <w:t>10.2 当前边界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单 orderer 是课程/演示拓扑，不具备生产高可用。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受控演示身份尚未接入学校 OIDC/SAML、MFA 和正式密钥托管。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标准 VC 文件已实现 Ed25519 签名和签名/状态/锚定三段验证；有限披露仍是 bearer capability，不是 BBS+ 或零知识范围证明。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性能结论来自单机回环网络和共享宿主：7 类负载、4 档并发、每档 3 次，共 84 个正式单元，不能外推为跨校生产容量。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所有成绩数据均为合成数据，真实接入需要校方授权和数据保护评估。</w:t>
      </w:r>
    </w:p>
    <w:p>
      <w:pPr>
        <w:pStyle w:val="Heading2"/>
        <w:keepNext/>
      </w:pPr>
      <w:r>
        <w:t>10.3 结论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4231D"/>
          <w:sz w:val="22"/>
        </w:rPr>
        <w:t>ChainGrade 完成了课程要求的 Fabric 成绩存证与查询，并形成签发、复核、学生持有、外部验真、修订/申诉、有限披露和标准 VC 文件互操作闭环。120 项项目测试和 7 项基准工具测试全部通过；84 个正式性能单元未记录合法请求失败，故障实验给出了 14.030–22.482 秒的稳定恢复时间。项目最重要的结果不是把更多字段上链，而是用真实身份和状态机约束变更，用私有集合保护明文，用公共承诺支持核验，并用交易、测试、区块和恢复数据证明这些设计实际运行。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EC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</w:rPr>
              <w:t>下一阶段  标准 VC 文件互操作和可重复性能基准已经完成；后续只保留 BBS+/零知识阈值证明、三 orderer 高可用和真实教务接入，不另建竞赛版产品。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36E"/>
        <w:sz w:val="17"/>
      </w:rPr>
      <w:t xml:space="preserve">ChainGrade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0F513F"/>
        <w:sz w:val="17"/>
      </w:rPr>
      <w:t>CHAIN GRADE  /  项目介绍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Microsoft YaHei" w:hAnsi="Microsoft YaHei" w:eastAsia="Microsoft YaHei"/>
      <w:color w:val="1423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5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7A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51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