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8263" w14:textId="77777777" w:rsidR="00DA7696" w:rsidRDefault="00000000">
      <w:pPr>
        <w:spacing w:before="1200" w:after="240"/>
        <w:jc w:val="center"/>
      </w:pPr>
      <w:r>
        <w:rPr>
          <w:b/>
          <w:bCs/>
          <w:sz w:val="48"/>
          <w:szCs w:val="48"/>
        </w:rPr>
        <w:t>Research Proposal</w:t>
      </w:r>
    </w:p>
    <w:p w14:paraId="0DEFCFF5" w14:textId="77777777" w:rsidR="00DA7696" w:rsidRDefault="00000000">
      <w:pPr>
        <w:spacing w:before="240" w:after="240"/>
        <w:jc w:val="center"/>
      </w:pPr>
      <w:r>
        <w:rPr>
          <w:b/>
          <w:bCs/>
          <w:sz w:val="32"/>
          <w:szCs w:val="32"/>
        </w:rPr>
        <w:t>Are Mamba Scan Strategies Coupled to Dataset Geometry?</w:t>
      </w:r>
    </w:p>
    <w:p w14:paraId="4409A220" w14:textId="77777777" w:rsidR="00DA7696" w:rsidRDefault="00000000">
      <w:pPr>
        <w:spacing w:before="120" w:after="240"/>
        <w:jc w:val="center"/>
      </w:pPr>
      <w:r>
        <w:rPr>
          <w:i/>
          <w:iCs/>
          <w:sz w:val="26"/>
          <w:szCs w:val="26"/>
        </w:rPr>
        <w:t>An Empirical Test of the Geometric Matching Hypothesis in Low-Label Medical Image Segmentation</w:t>
      </w:r>
    </w:p>
    <w:p w14:paraId="409D8156" w14:textId="77777777" w:rsidR="00DA7696" w:rsidRDefault="00000000">
      <w:pPr>
        <w:spacing w:before="1800"/>
        <w:jc w:val="center"/>
      </w:pPr>
      <w:r>
        <w:t>Project Duration: 4 weeks   ·   Compute Budget: Single H100 GPU</w:t>
      </w:r>
    </w:p>
    <w:p w14:paraId="7577A6AB" w14:textId="77777777" w:rsidR="00DA7696" w:rsidRDefault="00000000">
      <w:r>
        <w:br w:type="page"/>
      </w:r>
    </w:p>
    <w:p w14:paraId="0A41D394" w14:textId="77777777" w:rsidR="00DA7696" w:rsidRDefault="00000000">
      <w:pPr>
        <w:pStyle w:val="1"/>
      </w:pPr>
      <w:r>
        <w:lastRenderedPageBreak/>
        <w:t>1. Background and Motivation</w:t>
      </w:r>
    </w:p>
    <w:p w14:paraId="1A5E85FF" w14:textId="77777777" w:rsidR="00DA7696" w:rsidRDefault="00000000">
      <w:pPr>
        <w:pStyle w:val="2"/>
      </w:pPr>
      <w:r>
        <w:t>1.1 The Scan Strategy Problem in Vision Mamba</w:t>
      </w:r>
    </w:p>
    <w:p w14:paraId="37474813" w14:textId="77777777" w:rsidR="00DA7696" w:rsidRDefault="00000000">
      <w:pPr>
        <w:spacing w:after="120" w:line="320" w:lineRule="auto"/>
        <w:ind w:firstLine="480"/>
        <w:jc w:val="both"/>
      </w:pPr>
      <w:r>
        <w:t xml:space="preserve">Mamba, a state-space sequence model with linear complexity and a global receptive field, has rapidly become a competitive backbone for medical image segmentation. Because Mamba is intrinsically a one-dimensional sequence model, applying it to a two-dimensional image requires a </w:t>
      </w:r>
      <w:r>
        <w:rPr>
          <w:b/>
          <w:bCs/>
        </w:rPr>
        <w:t>scan strategy</w:t>
      </w:r>
      <w:r>
        <w:t xml:space="preserve"> that serializes the spatial grid into a sequence. Common scan strategies include horizontal and vertical raster, Hilbert space-filling curves, local-window scans, and randomly permuted orderings.</w:t>
      </w:r>
    </w:p>
    <w:p w14:paraId="44A4E2D5" w14:textId="77777777" w:rsidR="00DA7696" w:rsidRDefault="00000000">
      <w:pPr>
        <w:spacing w:after="120" w:line="320" w:lineRule="auto"/>
        <w:ind w:firstLine="480"/>
        <w:jc w:val="both"/>
      </w:pPr>
      <w:r>
        <w:t xml:space="preserve">Two facts in the existing literature motivate this work. First, published results on scan strategies are </w:t>
      </w:r>
      <w:r>
        <w:rPr>
          <w:b/>
          <w:bCs/>
        </w:rPr>
        <w:t>contradictory across domains</w:t>
      </w:r>
      <w:r>
        <w:t>. Hardan et al. (Flatten Wisely, 2025) report Dice gaps of up to 27 points among scan strategies on brain MRI, while Zhu et al. (2024) find that no scan strategy meaningfully outperforms a single horizontal raster on remote-sensing imagery. Second, several recent papers (</w:t>
      </w:r>
      <w:proofErr w:type="spellStart"/>
      <w:r>
        <w:t>GraphMamba</w:t>
      </w:r>
      <w:proofErr w:type="spellEnd"/>
      <w:r>
        <w:t>, ASM-</w:t>
      </w:r>
      <w:proofErr w:type="spellStart"/>
      <w:r>
        <w:t>UNet</w:t>
      </w:r>
      <w:proofErr w:type="spellEnd"/>
      <w:r>
        <w:t xml:space="preserve">, </w:t>
      </w:r>
      <w:proofErr w:type="spellStart"/>
      <w:r>
        <w:t>DAMamba</w:t>
      </w:r>
      <w:proofErr w:type="spellEnd"/>
      <w:r>
        <w:t xml:space="preserve">) </w:t>
      </w:r>
      <w:r>
        <w:rPr>
          <w:b/>
          <w:bCs/>
        </w:rPr>
        <w:t>acknowledge in passing</w:t>
      </w:r>
      <w:r>
        <w:t xml:space="preserve"> that scan-strategy effectiveness depends on dataset characteristics, but none has tested this dependence as a research question of its own. The result is a fragmented literature in which the same scan strategy is reported as superior in one domain and indistinguishable from baselines in another, with no systematic explanation.</w:t>
      </w:r>
    </w:p>
    <w:p w14:paraId="049EEEBB" w14:textId="77777777" w:rsidR="00DA7696" w:rsidRDefault="00000000">
      <w:pPr>
        <w:pStyle w:val="2"/>
      </w:pPr>
      <w:r>
        <w:t>1.2 The Hypothesis</w:t>
      </w:r>
    </w:p>
    <w:p w14:paraId="60393E3E" w14:textId="77777777" w:rsidR="00DA7696" w:rsidRDefault="00000000">
      <w:pPr>
        <w:spacing w:after="120" w:line="320" w:lineRule="auto"/>
        <w:ind w:firstLine="480"/>
        <w:jc w:val="both"/>
      </w:pPr>
      <w:r>
        <w:t>This proposal frames the contradiction above as a single, falsifiable question:</w:t>
      </w:r>
    </w:p>
    <w:p w14:paraId="0F15C737" w14:textId="77777777" w:rsidR="00DA7696" w:rsidRDefault="00000000">
      <w:pPr>
        <w:spacing w:after="120" w:line="320" w:lineRule="auto"/>
        <w:ind w:firstLine="480"/>
        <w:jc w:val="both"/>
      </w:pPr>
      <w:r>
        <w:rPr>
          <w:i/>
          <w:iCs/>
        </w:rPr>
        <w:t>Can the relative performance of scan strategies in Mamba-based medical image segmentation be systematically predicted from the geometric features of the dataset?</w:t>
      </w:r>
    </w:p>
    <w:p w14:paraId="518831AA" w14:textId="77777777" w:rsidR="00DA7696" w:rsidRDefault="00000000">
      <w:pPr>
        <w:spacing w:after="120" w:line="320" w:lineRule="auto"/>
        <w:ind w:firstLine="480"/>
        <w:jc w:val="both"/>
      </w:pPr>
      <w:r>
        <w:t xml:space="preserve">We formalize this as the </w:t>
      </w:r>
      <w:r>
        <w:rPr>
          <w:b/>
          <w:bCs/>
        </w:rPr>
        <w:t>Geometric Matching Hypothesis (H1):</w:t>
      </w:r>
      <w:r>
        <w:t xml:space="preserve"> scan strategies act as spatial inductive biases, and a scan strategy performs well on a dataset to the extent that the spatial prior it encodes (directionality, isotropy, locality) matches the geometric structure of the dataset. The corresponding null hypothesis is that scan-strategy performance varies idiosyncratically across datasets with no systematic relationship to dataset geometry.</w:t>
      </w:r>
    </w:p>
    <w:p w14:paraId="70E638CC" w14:textId="77777777" w:rsidR="00DA7696" w:rsidRDefault="00000000">
      <w:pPr>
        <w:spacing w:after="120" w:line="320" w:lineRule="auto"/>
        <w:ind w:firstLine="480"/>
        <w:jc w:val="both"/>
      </w:pPr>
      <w:r>
        <w:t>To make this concrete, we further articulate five specific predictions (P1–P5, detailed in Section 4.4) that are committed to before any main experiment is run. The hypothesis is evaluated using pre-registered decision rules that make P5 the primary quantitative test and P1–P4 dimension-specific supporting evidence.</w:t>
      </w:r>
    </w:p>
    <w:p w14:paraId="4B1DD57B" w14:textId="77777777" w:rsidR="00DA7696" w:rsidRDefault="00000000">
      <w:pPr>
        <w:pStyle w:val="2"/>
      </w:pPr>
      <w:r>
        <w:t>1.3 Why a Low-Label Setting</w:t>
      </w:r>
    </w:p>
    <w:p w14:paraId="5293B4C3" w14:textId="77777777" w:rsidR="00DA7696" w:rsidRDefault="00000000">
      <w:pPr>
        <w:spacing w:after="120" w:line="320" w:lineRule="auto"/>
        <w:ind w:firstLine="480"/>
        <w:jc w:val="both"/>
      </w:pPr>
      <w:r>
        <w:t xml:space="preserve">We do not test the popular sub-claim that low-label conditions amplify inductive-bias differences. That claim is </w:t>
      </w:r>
      <w:r>
        <w:rPr>
          <w:b/>
          <w:bCs/>
        </w:rPr>
        <w:t>already established</w:t>
      </w:r>
      <w:r>
        <w:t xml:space="preserve"> by a well-developed body of work — CNN vs. </w:t>
      </w:r>
      <w:proofErr w:type="spellStart"/>
      <w:r>
        <w:t>ViT</w:t>
      </w:r>
      <w:proofErr w:type="spellEnd"/>
      <w:r>
        <w:t xml:space="preserve"> </w:t>
      </w:r>
      <w:r>
        <w:lastRenderedPageBreak/>
        <w:t>comparisons on small datasets (Liu et al. 2022, Zheng et al. 2024), the Bias Amplification literature (Leino et al. 2018), and most directly Liu et al. (2025), which formalizes inductive biases of state-space models and demonstrates that aligning the bias to task structure improves data efficiency. Re-confirming this on Mamba scan strategies would not be a novel contribution.</w:t>
      </w:r>
    </w:p>
    <w:p w14:paraId="078A77F5" w14:textId="77777777" w:rsidR="00DA7696" w:rsidRDefault="00000000">
      <w:pPr>
        <w:spacing w:after="120" w:line="320" w:lineRule="auto"/>
        <w:ind w:firstLine="480"/>
        <w:jc w:val="both"/>
      </w:pPr>
      <w:r>
        <w:t xml:space="preserve">Instead, we adopt a </w:t>
      </w:r>
      <w:r>
        <w:rPr>
          <w:b/>
          <w:bCs/>
        </w:rPr>
        <w:t>single low-label setting (10%)</w:t>
      </w:r>
      <w:r>
        <w:t xml:space="preserve"> as a deliberate experimental condition. The rationale is methodological: under low-label training, architectural inductive biases dominate over what the model can learn purely from data, making any genuine matching effect more visible than under full supervision. The 10% setting therefore functions as a </w:t>
      </w:r>
      <w:r>
        <w:rPr>
          <w:i/>
          <w:iCs/>
        </w:rPr>
        <w:t>magnifying glass</w:t>
      </w:r>
      <w:r>
        <w:t xml:space="preserve"> for testing H1, not as a research </w:t>
      </w:r>
      <w:proofErr w:type="gramStart"/>
      <w:r>
        <w:t>variable in its own right</w:t>
      </w:r>
      <w:proofErr w:type="gramEnd"/>
      <w:r>
        <w:t>.</w:t>
      </w:r>
    </w:p>
    <w:p w14:paraId="6628A0AF" w14:textId="77777777" w:rsidR="00DA7696" w:rsidRDefault="00000000">
      <w:pPr>
        <w:pStyle w:val="2"/>
      </w:pPr>
      <w:r>
        <w:t>1.4 Why This Work Is Worth Doing</w:t>
      </w:r>
    </w:p>
    <w:p w14:paraId="3FA939A2" w14:textId="77777777" w:rsidR="00DA7696" w:rsidRDefault="00000000">
      <w:pPr>
        <w:spacing w:after="120" w:line="320" w:lineRule="auto"/>
        <w:ind w:firstLine="480"/>
        <w:jc w:val="both"/>
      </w:pPr>
      <w:r>
        <w:t xml:space="preserve">This proposal is positioned as </w:t>
      </w:r>
      <w:proofErr w:type="gramStart"/>
      <w:r>
        <w:t>an</w:t>
      </w:r>
      <w:proofErr w:type="gramEnd"/>
      <w:r>
        <w:t xml:space="preserve"> </w:t>
      </w:r>
      <w:r>
        <w:rPr>
          <w:b/>
          <w:bCs/>
        </w:rPr>
        <w:t>hypothesis-testing study</w:t>
      </w:r>
      <w:r>
        <w:t xml:space="preserve"> rather than a method paper. We do not propose a new scan strategy or a new architecture. The contribution is methodological and conceptual: turning a widely-acknowledged-but-untested empirical pattern into a falsifiable claim, designing an experiment that can either support or refute it, and producing a predictive framework that practitioners can use when choosing scan strategies for new tasks.</w:t>
      </w:r>
    </w:p>
    <w:p w14:paraId="5A14D072" w14:textId="77777777" w:rsidR="00DA7696" w:rsidRDefault="00000000">
      <w:pPr>
        <w:spacing w:after="120" w:line="320" w:lineRule="auto"/>
        <w:ind w:firstLine="480"/>
        <w:jc w:val="both"/>
      </w:pPr>
      <w:r>
        <w:t xml:space="preserve">This style of work — typified by Zhang et al. (Understanding Deep Learning Requires Rethinking Generalization, ICLR 2017), </w:t>
      </w:r>
      <w:proofErr w:type="spellStart"/>
      <w:r>
        <w:t>Kornblith</w:t>
      </w:r>
      <w:proofErr w:type="spellEnd"/>
      <w:r>
        <w:t xml:space="preserve"> et al. (Do Better ImageNet Models Transfer </w:t>
      </w:r>
      <w:proofErr w:type="gramStart"/>
      <w:r>
        <w:t>Better?,</w:t>
      </w:r>
      <w:proofErr w:type="gramEnd"/>
      <w:r>
        <w:t xml:space="preserve"> CVPR 2019), Frankle &amp; Carbin (Lottery Ticket Hypothesis, ICLR 2019), and </w:t>
      </w:r>
      <w:proofErr w:type="spellStart"/>
      <w:r>
        <w:t>Yosinski</w:t>
      </w:r>
      <w:proofErr w:type="spellEnd"/>
      <w:r>
        <w:t xml:space="preserve"> et al. (How Transferable are </w:t>
      </w:r>
      <w:proofErr w:type="gramStart"/>
      <w:r>
        <w:t>Features?,</w:t>
      </w:r>
      <w:proofErr w:type="gramEnd"/>
      <w:r>
        <w:t xml:space="preserve"> </w:t>
      </w:r>
      <w:proofErr w:type="spellStart"/>
      <w:r>
        <w:t>NeurIPS</w:t>
      </w:r>
      <w:proofErr w:type="spellEnd"/>
      <w:r>
        <w:t xml:space="preserve"> 2014) — has a recognized place in machine learning. None of those papers introduces a new architecture; their value lies in transforming an implicit assumption into a testable claim and resolving it cleanly.</w:t>
      </w:r>
    </w:p>
    <w:p w14:paraId="6B8D8206" w14:textId="77777777" w:rsidR="00DA7696" w:rsidRDefault="00000000">
      <w:r>
        <w:br w:type="page"/>
      </w:r>
    </w:p>
    <w:p w14:paraId="2EC20D80" w14:textId="77777777" w:rsidR="00DA7696" w:rsidRDefault="00000000">
      <w:pPr>
        <w:pStyle w:val="1"/>
      </w:pPr>
      <w:r>
        <w:lastRenderedPageBreak/>
        <w:t>2. Relation to Prior Work</w:t>
      </w:r>
    </w:p>
    <w:p w14:paraId="658CC1F0" w14:textId="77777777" w:rsidR="00DA7696" w:rsidRDefault="00000000">
      <w:pPr>
        <w:spacing w:after="120" w:line="320" w:lineRule="auto"/>
        <w:ind w:firstLine="480"/>
        <w:jc w:val="both"/>
      </w:pPr>
      <w:r>
        <w:t>Three works are most directly relevant and require explicit positioning.</w:t>
      </w:r>
    </w:p>
    <w:p w14:paraId="63F8F73E" w14:textId="77777777" w:rsidR="00DA7696" w:rsidRDefault="00000000">
      <w:pPr>
        <w:spacing w:after="120" w:line="320" w:lineRule="auto"/>
        <w:ind w:firstLine="480"/>
        <w:jc w:val="both"/>
      </w:pPr>
      <w:r>
        <w:rPr>
          <w:b/>
          <w:bCs/>
        </w:rPr>
        <w:t xml:space="preserve">Flatten Wisely (Hardan et al., 2025) </w:t>
      </w:r>
      <w:r>
        <w:t xml:space="preserve">benchmarks 21 scan strategies on three brain MRI datasets and concludes that contiguous horizontal </w:t>
      </w:r>
      <w:proofErr w:type="spellStart"/>
      <w:r>
        <w:t>rasters</w:t>
      </w:r>
      <w:proofErr w:type="spellEnd"/>
      <w:r>
        <w:t xml:space="preserve"> consistently outperform disjointed paths. Their study is empirical and confined to a single anatomical domain (brain MRI); they do not propose or test a mechanism that would explain why one strategy wins on one dataset but not another. Our work differs in three ways: (</w:t>
      </w:r>
      <w:proofErr w:type="spellStart"/>
      <w:r>
        <w:t>i</w:t>
      </w:r>
      <w:proofErr w:type="spellEnd"/>
      <w:r>
        <w:t xml:space="preserve">) we cross modalities and anatomical geometries rather than staying within one domain; (ii) we ask whether scan-strategy ranking is </w:t>
      </w:r>
      <w:r>
        <w:rPr>
          <w:i/>
          <w:iCs/>
        </w:rPr>
        <w:t>predictable from dataset geometry</w:t>
      </w:r>
      <w:r>
        <w:t>, not which scan strategy wins on a given benchmark; (iii) we use a low-label setting to expose inductive-bias effects.</w:t>
      </w:r>
    </w:p>
    <w:p w14:paraId="6131E44E" w14:textId="77777777" w:rsidR="00DA7696" w:rsidRDefault="00000000">
      <w:pPr>
        <w:spacing w:after="120" w:line="320" w:lineRule="auto"/>
        <w:ind w:firstLine="480"/>
        <w:jc w:val="both"/>
      </w:pPr>
      <w:r>
        <w:rPr>
          <w:b/>
          <w:bCs/>
        </w:rPr>
        <w:t xml:space="preserve">Rethinking Scanning Strategies in Remote Sensing (Zhu et al., 2024) </w:t>
      </w:r>
      <w:r>
        <w:t>reaches the opposite conclusion to Flatten Wisely on remote-sensing imagery: no scan strategy reliably outperforms a single horizontal raster. The contradiction between these two papers is the strongest existing motivation for our hypothesis. We treat the apparent contradiction as evidence that scan-strategy effectiveness is governed by dataset properties, and we test this directly.</w:t>
      </w:r>
    </w:p>
    <w:p w14:paraId="52107BEC" w14:textId="77777777" w:rsidR="00DA7696" w:rsidRDefault="00000000">
      <w:pPr>
        <w:spacing w:after="120" w:line="320" w:lineRule="auto"/>
        <w:ind w:firstLine="480"/>
        <w:jc w:val="both"/>
      </w:pPr>
      <w:r>
        <w:rPr>
          <w:b/>
          <w:bCs/>
        </w:rPr>
        <w:t xml:space="preserve">Aligning Inductive Bias for Data-Efficient Generalization in SSMs (Liu et al., 2025) </w:t>
      </w:r>
      <w:r>
        <w:t>is the closest sibling of our work. They formalize the inductive bias of linear-time-invariant state-space models through an SSM-induced kernel, characterize it in the frequency domain, and show that aligning bias to task spectrum improves sample efficiency. Our work extends the same logic to the spatial domain: instead of frequency response, we study how the geometric prior of a scan strategy interacts with the geometric structure of the dataset.</w:t>
      </w:r>
    </w:p>
    <w:p w14:paraId="5D6EE2AD" w14:textId="77777777" w:rsidR="00DA7696" w:rsidRDefault="00000000">
      <w:pPr>
        <w:spacing w:after="120" w:line="320" w:lineRule="auto"/>
        <w:ind w:firstLine="480"/>
        <w:jc w:val="both"/>
      </w:pPr>
      <w:r>
        <w:t>Adaptive scan methods (ASM-</w:t>
      </w:r>
      <w:proofErr w:type="spellStart"/>
      <w:r>
        <w:t>UNet</w:t>
      </w:r>
      <w:proofErr w:type="spellEnd"/>
      <w:r>
        <w:t xml:space="preserve">, </w:t>
      </w:r>
      <w:proofErr w:type="spellStart"/>
      <w:r>
        <w:t>DAMamba</w:t>
      </w:r>
      <w:proofErr w:type="spellEnd"/>
      <w:r>
        <w:t xml:space="preserve">, </w:t>
      </w:r>
      <w:proofErr w:type="spellStart"/>
      <w:r>
        <w:t>AdaptScanDet</w:t>
      </w:r>
      <w:proofErr w:type="spellEnd"/>
      <w:r>
        <w:t>, Switch-</w:t>
      </w:r>
      <w:proofErr w:type="spellStart"/>
      <w:r>
        <w:t>UMamba</w:t>
      </w:r>
      <w:proofErr w:type="spellEnd"/>
      <w:r>
        <w:t xml:space="preserve">) implicitly assume that scan choice should depend on input, and they </w:t>
      </w:r>
      <w:r>
        <w:rPr>
          <w:b/>
          <w:bCs/>
        </w:rPr>
        <w:t>solve</w:t>
      </w:r>
      <w:r>
        <w:t xml:space="preserve"> the problem by learning the scan dynamically. Our work is complementary: we ask whether the dependence is </w:t>
      </w:r>
      <w:r>
        <w:rPr>
          <w:i/>
          <w:iCs/>
        </w:rPr>
        <w:t>structured enough to be predictable</w:t>
      </w:r>
      <w:r>
        <w:t xml:space="preserve"> without a learned, parameter-heavy module. A positive finding would justify lightweight static scan selection; a negative finding would strengthen the case for adaptive methods.</w:t>
      </w:r>
    </w:p>
    <w:p w14:paraId="01FAEDCE" w14:textId="77777777" w:rsidR="00DA7696" w:rsidRDefault="00000000">
      <w:pPr>
        <w:pStyle w:val="1"/>
      </w:pPr>
      <w:r>
        <w:t>3. Workflow Overview</w:t>
      </w:r>
    </w:p>
    <w:p w14:paraId="12819AFB" w14:textId="77777777" w:rsidR="00DA7696" w:rsidRDefault="00000000">
      <w:pPr>
        <w:spacing w:after="120" w:line="320" w:lineRule="auto"/>
        <w:ind w:firstLine="480"/>
        <w:jc w:val="both"/>
      </w:pPr>
      <w:r>
        <w:t>The project consists of three sequential phases. The order is methodologically important: Phase A must be completed and locked before Phase B begins, to prevent any post-hoc adjustment of geometric definitions to fit experimental results.</w:t>
      </w:r>
    </w:p>
    <w:p w14:paraId="112349EF" w14:textId="77777777" w:rsidR="00DA7696" w:rsidRDefault="00000000">
      <w:pPr>
        <w:spacing w:after="120" w:line="320" w:lineRule="auto"/>
        <w:jc w:val="both"/>
      </w:pPr>
      <w:r>
        <w:t>Phase A — Pre-experimental setup. Define and validate the geometric feature vector of datasets, formalize the geometric prior encoded by each scan strategy, define the pre-registered matching score M_primary, and pre-register the five concrete predictions P1–P5.</w:t>
      </w:r>
    </w:p>
    <w:p w14:paraId="11D80987" w14:textId="77777777" w:rsidR="00DA7696" w:rsidRDefault="00000000">
      <w:pPr>
        <w:spacing w:after="120" w:line="320" w:lineRule="auto"/>
        <w:jc w:val="both"/>
      </w:pPr>
      <w:r>
        <w:rPr>
          <w:b/>
          <w:bCs/>
        </w:rPr>
        <w:lastRenderedPageBreak/>
        <w:t>Phase B — Main experiment.</w:t>
      </w:r>
      <w:r>
        <w:t xml:space="preserve"> Train all combinations of (5 datasets × 6 conditions × 3 seeds) at 10% labeled data. Collect performance metrics and material for mechanism analysis.</w:t>
      </w:r>
    </w:p>
    <w:p w14:paraId="27F24042" w14:textId="77777777" w:rsidR="00DA7696" w:rsidRDefault="00000000">
      <w:pPr>
        <w:spacing w:after="120" w:line="320" w:lineRule="auto"/>
        <w:jc w:val="both"/>
      </w:pPr>
      <w:r>
        <w:rPr>
          <w:b/>
          <w:bCs/>
        </w:rPr>
        <w:t>Phase C — Hypothesis testing and writing.</w:t>
      </w:r>
      <w:r>
        <w:t xml:space="preserve"> Statistically test H1 via the pre-registered predictions, perform mechanism analyses (effective receptive fields, boundary-error spatial distributions, feature diversity), and produce visualizations.</w:t>
      </w:r>
    </w:p>
    <w:p w14:paraId="1397F102" w14:textId="77777777" w:rsidR="00DA7696" w:rsidRDefault="00000000">
      <w:r>
        <w:br w:type="page"/>
      </w:r>
    </w:p>
    <w:p w14:paraId="470582B6" w14:textId="77777777" w:rsidR="00DA7696" w:rsidRDefault="00000000">
      <w:pPr>
        <w:pStyle w:val="1"/>
      </w:pPr>
      <w:r>
        <w:lastRenderedPageBreak/>
        <w:t>4. Phase A: Pre-Experimental Setup</w:t>
      </w:r>
    </w:p>
    <w:p w14:paraId="397467AB" w14:textId="77777777" w:rsidR="00DA7696" w:rsidRDefault="00000000">
      <w:pPr>
        <w:pStyle w:val="2"/>
      </w:pPr>
      <w:r>
        <w:t>4.1 Geometric Feature Vector for Datasets</w:t>
      </w:r>
    </w:p>
    <w:p w14:paraId="41B9E602" w14:textId="77777777" w:rsidR="00DA7696" w:rsidRDefault="00000000">
      <w:pPr>
        <w:spacing w:after="120" w:line="320" w:lineRule="auto"/>
        <w:ind w:firstLine="480"/>
        <w:jc w:val="both"/>
      </w:pPr>
      <w:r>
        <w:t>Each dataset is summarized by a five-dimensional geometric feature vector G = [D, L, S, B, C], computed entirely from ground-truth masks. The use of mask-only statistics — independent of imaging modality, intensity statistics, and any segmentation result — is essential to avoid circular reasoning when later relating G to scan-strategy performance. D and L provide the primary geometry dimensions used in the matching score; S, B, and C remain part of the dataset fingerprint and are used for coverage checks and secondary moderator analysis.</w:t>
      </w:r>
    </w:p>
    <w:p w14:paraId="13B9C13B" w14:textId="77777777" w:rsidR="00DA7696" w:rsidRDefault="00000000">
      <w:pPr>
        <w:pStyle w:val="3"/>
      </w:pPr>
      <w:r>
        <w:t>D — Directionality Entropy</w:t>
      </w:r>
    </w:p>
    <w:p w14:paraId="5836BA7E" w14:textId="77777777" w:rsidR="00DA7696" w:rsidRDefault="00000000">
      <w:pPr>
        <w:spacing w:after="120" w:line="320" w:lineRule="auto"/>
        <w:ind w:firstLine="480"/>
        <w:jc w:val="both"/>
      </w:pPr>
      <w:r>
        <w:t>For each mask, gradients along its boundary are extracted, their orientations binned into a histogram p(θ), and the normalized Shannon entropy D is computed. Values close to 1 indicate isotropic boundaries; lower values indicate strong directional bias. We also record A_data(d) = 1 − D_d as the strength of dataset directionality and φ_data(d) as the dominant boundary orientation, defined by the peak of the axial orientation histogram. Cardiac annular structures yield high D; retinal vessels yield lower D and a more stable φ_data.</w:t>
      </w:r>
    </w:p>
    <w:p w14:paraId="469D473E" w14:textId="77777777" w:rsidR="00DA7696" w:rsidRDefault="00000000">
      <w:pPr>
        <w:pStyle w:val="3"/>
      </w:pPr>
      <w:r>
        <w:t>L — Locality Index</w:t>
      </w:r>
    </w:p>
    <w:p w14:paraId="1AC2FCB4" w14:textId="77777777" w:rsidR="00DA7696" w:rsidRDefault="00000000">
      <w:pPr>
        <w:spacing w:after="120" w:line="320" w:lineRule="auto"/>
        <w:ind w:firstLine="480"/>
        <w:jc w:val="both"/>
      </w:pPr>
      <w:r>
        <w:t>For each foreground pixel, the fraction of same-class pixels within normalized multi-scale neighborhoods is computed and averaged across the foreground. The neighborhood radii are r ∈ {0.005, 0.01, 0.02, 0.04} × image diagonal, so L is not tied to an arbitrary pixel resolution. High L indicates compact, locally homogeneous structures (cardiac chambers, skin lesions); low L indicates thin or filamentary structures (vessels). If physical spacing is available, physical-scale radii are reported as a robustness check.</w:t>
      </w:r>
    </w:p>
    <w:p w14:paraId="45653D70" w14:textId="77777777" w:rsidR="00DA7696" w:rsidRDefault="00000000">
      <w:pPr>
        <w:pStyle w:val="3"/>
      </w:pPr>
      <w:r>
        <w:t>S — Scale Diversity</w:t>
      </w:r>
    </w:p>
    <w:p w14:paraId="57F2C66E" w14:textId="77777777" w:rsidR="00DA7696" w:rsidRDefault="00000000">
      <w:pPr>
        <w:spacing w:after="120" w:line="320" w:lineRule="auto"/>
        <w:ind w:firstLine="480"/>
        <w:jc w:val="both"/>
      </w:pPr>
      <w:r>
        <w:t>Computed as the standard deviation of log-areas across all connected foreground components. S is small when all target structures share a similar size (cardiac segmentation), large when sizes vary across orders of magnitude (abdominal multi-organ).</w:t>
      </w:r>
    </w:p>
    <w:p w14:paraId="17B35483" w14:textId="77777777" w:rsidR="00DA7696" w:rsidRDefault="00000000">
      <w:pPr>
        <w:pStyle w:val="3"/>
      </w:pPr>
      <w:r>
        <w:t>B — Boundary Complexity</w:t>
      </w:r>
    </w:p>
    <w:p w14:paraId="55BDE44E" w14:textId="77777777" w:rsidR="00DA7696" w:rsidRDefault="00000000">
      <w:pPr>
        <w:spacing w:after="120" w:line="320" w:lineRule="auto"/>
        <w:ind w:firstLine="480"/>
        <w:jc w:val="both"/>
      </w:pPr>
      <w:r>
        <w:t>Defined as 1 − 4πA/P², where A is component area and P is perimeter. B = 0 corresponds to perfect circles; B → 1 corresponds to highly irregular boundaries. Cardiac chambers yield B ≈ 0.15; skin lesions B ≈ 0.6.</w:t>
      </w:r>
    </w:p>
    <w:p w14:paraId="70EC5F72" w14:textId="77777777" w:rsidR="00DA7696" w:rsidRDefault="00000000">
      <w:pPr>
        <w:pStyle w:val="3"/>
      </w:pPr>
      <w:r>
        <w:t>C — Connectivity</w:t>
      </w:r>
    </w:p>
    <w:p w14:paraId="371693D2" w14:textId="77777777" w:rsidR="00DA7696" w:rsidRDefault="00000000">
      <w:pPr>
        <w:spacing w:after="120" w:line="320" w:lineRule="auto"/>
        <w:ind w:firstLine="480"/>
        <w:jc w:val="both"/>
      </w:pPr>
      <w:r>
        <w:t xml:space="preserve">Mean number of connected foreground components per image, normalized by the number of foreground classes. C ≈ 1 indicates each class forms a single connected block; C ≫ 1 indicates </w:t>
      </w:r>
      <w:r>
        <w:lastRenderedPageBreak/>
        <w:t>many disjoint instances (cell pathology, multi-lesion images).</w:t>
      </w:r>
    </w:p>
    <w:p w14:paraId="7831BF6B" w14:textId="77777777" w:rsidR="00DA7696" w:rsidRDefault="00000000">
      <w:pPr>
        <w:pStyle w:val="2"/>
      </w:pPr>
      <w:r>
        <w:t>4.2 Pre-validation of the Geometric Vector</w:t>
      </w:r>
    </w:p>
    <w:p w14:paraId="27896DCC" w14:textId="77777777" w:rsidR="00DA7696" w:rsidRDefault="00000000">
      <w:pPr>
        <w:spacing w:after="120" w:line="320" w:lineRule="auto"/>
        <w:ind w:firstLine="480"/>
        <w:jc w:val="both"/>
      </w:pPr>
      <w:r>
        <w:t>Before any segmentation experiment is run, G is computed for every candidate dataset and projected to two dimensions via PCA. Four checks are required. Dataset inclusion is based on geometric coverage and descriptor reliability, not on whether any dataset appears favorable to a particular scan strategy.</w:t>
      </w:r>
    </w:p>
    <w:p w14:paraId="5E460399" w14:textId="77777777" w:rsidR="00DA7696" w:rsidRDefault="00000000">
      <w:pPr>
        <w:spacing w:after="80" w:line="320" w:lineRule="auto"/>
      </w:pPr>
      <w:r>
        <w:t>1. Spread check: the candidate datasets must occupy distinguishable regions in the PCA projection. If they cluster, the hypothesis cannot be tested with the chosen datasets, and the dataset list must be revised before Phase B begins.</w:t>
      </w:r>
    </w:p>
    <w:p w14:paraId="3F04F247" w14:textId="77777777" w:rsidR="00DA7696" w:rsidRDefault="00000000">
      <w:pPr>
        <w:spacing w:after="80" w:line="320" w:lineRule="auto"/>
      </w:pPr>
      <w:r>
        <w:t>2. Independence check: the five dimensions are tested for pairwise correlation. Highly redundant dimensions (|ρ| &gt; 0.85) are merged or omitted, leaving 2–4 effectively independent axes for downstream analysis.</w:t>
      </w:r>
    </w:p>
    <w:p w14:paraId="3BCF64A3" w14:textId="77777777" w:rsidR="008A07C4" w:rsidRDefault="00000000">
      <w:r>
        <w:t>3. Stability check: G is recomputed under controlled preprocessing changes, including 256/512 resizing, normalized locality-scale choices, and bootstrap resampling over images or patients. Unstable descriptors are reported and excluded from the primary matching score.</w:t>
      </w:r>
    </w:p>
    <w:p w14:paraId="1E5488B3" w14:textId="77777777" w:rsidR="008A07C4" w:rsidRDefault="00000000">
      <w:r>
        <w:t>4. Informativeness check: for each accepted dataset, the pre-registered matching scores M_primary(d,s) must show non-trivial contrast across scan strategies. If all scans receive nearly identical scores on a dataset, that dataset is flagged as weakly informative for P5 interpretation rather than removed after seeing performance.</w:t>
      </w:r>
    </w:p>
    <w:p w14:paraId="2C0CF972" w14:textId="77777777" w:rsidR="00DA7696" w:rsidRDefault="00000000">
      <w:pPr>
        <w:spacing w:after="120" w:line="320" w:lineRule="auto"/>
        <w:ind w:firstLine="480"/>
        <w:jc w:val="both"/>
      </w:pPr>
      <w:r>
        <w:t>Stop signal: if datasets fail to spread in geometric space, descriptors are unstable, or the candidate set lacks scan-ranking contrast even after revision, the project pauses and the research design is reconsidered. This is a deliberate guard against producing a study whose conclusions cannot be supported by its data.</w:t>
      </w:r>
    </w:p>
    <w:p w14:paraId="08CA49A8" w14:textId="77777777" w:rsidR="00DA7696" w:rsidRDefault="00000000">
      <w:r>
        <w:br w:type="page"/>
      </w:r>
    </w:p>
    <w:p w14:paraId="53787132" w14:textId="77777777" w:rsidR="00DA7696" w:rsidRDefault="00000000">
      <w:pPr>
        <w:pStyle w:val="2"/>
      </w:pPr>
      <w:r>
        <w:lastRenderedPageBreak/>
        <w:t>4.3 Geometric Priors of the Six Conditions</w:t>
      </w:r>
    </w:p>
    <w:p w14:paraId="4E9B69B9" w14:textId="77777777" w:rsidR="00DA7696" w:rsidRDefault="00000000">
      <w:pPr>
        <w:spacing w:after="120" w:line="320" w:lineRule="auto"/>
        <w:ind w:firstLine="480"/>
        <w:jc w:val="both"/>
      </w:pPr>
      <w:r>
        <w:t xml:space="preserve">Six conditions are studied: one CNN baseline and five Mamba-based variants. All five Mamba variants use a single forward scan (1× FLOPs), ensuring that any performance difference among them reflects </w:t>
      </w:r>
      <w:r>
        <w:rPr>
          <w:b/>
          <w:bCs/>
        </w:rPr>
        <w:t>scan path geometry</w:t>
      </w:r>
      <w:r>
        <w:t xml:space="preserve"> rather than computational budget. This design choice eliminates the FLOPs-confound that afflicts comparisons involving multi-directional scans.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700"/>
        <w:gridCol w:w="4060"/>
      </w:tblGrid>
      <w:tr w:rsidR="00DA7696" w14:paraId="7A3DAA08" w14:textId="77777777">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3B33C0E3" w14:textId="77777777" w:rsidR="00DA7696" w:rsidRDefault="00000000">
            <w:pPr>
              <w:jc w:val="center"/>
            </w:pPr>
            <w:r>
              <w:rPr>
                <w:b/>
                <w:bCs/>
                <w:sz w:val="21"/>
                <w:szCs w:val="21"/>
              </w:rPr>
              <w:t>Condition</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4B7BA6C5" w14:textId="77777777" w:rsidR="008A07C4" w:rsidRDefault="00000000">
            <w:r>
              <w:t>Directionality (A_scan, φ_scan)</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61B9B964" w14:textId="77777777" w:rsidR="008A07C4" w:rsidRDefault="00000000">
            <w:r>
              <w:t>Locality (P_loc)</w:t>
            </w:r>
          </w:p>
        </w:tc>
        <w:tc>
          <w:tcPr>
            <w:tcW w:w="40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2D0A2BC3" w14:textId="77777777" w:rsidR="00DA7696" w:rsidRDefault="00000000">
            <w:pPr>
              <w:jc w:val="center"/>
            </w:pPr>
            <w:r>
              <w:rPr>
                <w:b/>
                <w:bCs/>
                <w:sz w:val="21"/>
                <w:szCs w:val="21"/>
              </w:rPr>
              <w:t>Geometric Prior</w:t>
            </w:r>
          </w:p>
        </w:tc>
      </w:tr>
      <w:tr w:rsidR="00DA7696" w14:paraId="707A92A2"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B0FF13" w14:textId="77777777" w:rsidR="00DA7696" w:rsidRDefault="00000000">
            <w:pPr>
              <w:jc w:val="center"/>
            </w:pPr>
            <w:r>
              <w:rPr>
                <w:sz w:val="21"/>
                <w:szCs w:val="21"/>
              </w:rPr>
              <w:t>CNN (U-Net)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653A4" w14:textId="77777777" w:rsidR="008A07C4" w:rsidRDefault="00000000">
            <w:r>
              <w: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33AF51" w14:textId="77777777" w:rsidR="008A07C4" w:rsidRDefault="00000000">
            <w:r>
              <w:t>strong local convolution</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D9901D" w14:textId="77777777" w:rsidR="00DA7696" w:rsidRDefault="00000000">
            <w:r>
              <w:rPr>
                <w:sz w:val="21"/>
                <w:szCs w:val="21"/>
              </w:rPr>
              <w:t>Non-scanning reference. Translation equivariance, strict locality via convolution kernels.</w:t>
            </w:r>
          </w:p>
        </w:tc>
      </w:tr>
      <w:tr w:rsidR="00DA7696" w14:paraId="55C02EDB"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58327C" w14:textId="77777777" w:rsidR="00DA7696" w:rsidRDefault="00000000">
            <w:pPr>
              <w:jc w:val="center"/>
            </w:pPr>
            <w:r>
              <w:rPr>
                <w:sz w:val="21"/>
                <w:szCs w:val="21"/>
              </w:rPr>
              <w:t>Raster-H</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58C99" w14:textId="77777777" w:rsidR="008A07C4" w:rsidRDefault="00000000">
            <w:r>
              <w:t>high; horizontal φ_scan</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3FA358" w14:textId="77777777" w:rsidR="008A07C4" w:rsidRDefault="00000000">
            <w:r>
              <w:t>medium</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A5809" w14:textId="77777777" w:rsidR="00DA7696" w:rsidRDefault="00000000">
            <w:r>
              <w:rPr>
                <w:sz w:val="21"/>
                <w:szCs w:val="21"/>
              </w:rPr>
              <w:t>Horizontal directional prior. Adjacent pixels along rows are at sequence distance 1; vertical neighbors are at sequence distance W.</w:t>
            </w:r>
          </w:p>
        </w:tc>
      </w:tr>
      <w:tr w:rsidR="00DA7696" w14:paraId="6CED7F3F"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D25C61" w14:textId="77777777" w:rsidR="00DA7696" w:rsidRDefault="00000000">
            <w:pPr>
              <w:jc w:val="center"/>
            </w:pPr>
            <w:r>
              <w:rPr>
                <w:sz w:val="21"/>
                <w:szCs w:val="21"/>
              </w:rPr>
              <w:t>Raster-V</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2EC064" w14:textId="77777777" w:rsidR="008A07C4" w:rsidRDefault="00000000">
            <w:r>
              <w:t>high; vertical φ_scan</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979D4A" w14:textId="77777777" w:rsidR="008A07C4" w:rsidRDefault="00000000">
            <w:r>
              <w:t>medium</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79D502" w14:textId="77777777" w:rsidR="00DA7696" w:rsidRDefault="00000000">
            <w:r>
              <w:rPr>
                <w:sz w:val="21"/>
                <w:szCs w:val="21"/>
              </w:rPr>
              <w:t>Vertical directional prior. Mirror counterpart to Raster-H, included as a symmetric control.</w:t>
            </w:r>
          </w:p>
        </w:tc>
      </w:tr>
      <w:tr w:rsidR="00DA7696" w14:paraId="279AA9B9"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785B3" w14:textId="77777777" w:rsidR="00DA7696" w:rsidRDefault="00000000">
            <w:pPr>
              <w:jc w:val="center"/>
            </w:pPr>
            <w:r>
              <w:rPr>
                <w:sz w:val="21"/>
                <w:szCs w:val="21"/>
              </w:rPr>
              <w:t>Hilbert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1120EE" w14:textId="77777777" w:rsidR="008A07C4" w:rsidRDefault="00000000">
            <w:r>
              <w:t>low; undefined φ_scan</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2942DF" w14:textId="77777777" w:rsidR="008A07C4" w:rsidRDefault="00000000">
            <w:r>
              <w:t>high</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F73AE2" w14:textId="77777777" w:rsidR="00DA7696" w:rsidRDefault="00000000">
            <w:r>
              <w:rPr>
                <w:sz w:val="21"/>
                <w:szCs w:val="21"/>
              </w:rPr>
              <w:t>Isotropic locality. Space-filling curve preserves 2D adjacency in expectation, with no directional bias.</w:t>
            </w:r>
          </w:p>
        </w:tc>
      </w:tr>
      <w:tr w:rsidR="00DA7696" w14:paraId="0E1E6588"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DEBD5" w14:textId="77777777" w:rsidR="00DA7696" w:rsidRDefault="00000000">
            <w:pPr>
              <w:jc w:val="center"/>
            </w:pPr>
            <w:proofErr w:type="spellStart"/>
            <w:r>
              <w:rPr>
                <w:sz w:val="21"/>
                <w:szCs w:val="21"/>
              </w:rPr>
              <w:t>LocalWindow</w:t>
            </w:r>
            <w:proofErr w:type="spellEnd"/>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FD369D" w14:textId="77777777" w:rsidR="008A07C4" w:rsidRDefault="00000000">
            <w:r>
              <w:t>medium; window-dependent</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4FA3B" w14:textId="77777777" w:rsidR="008A07C4" w:rsidRDefault="00000000">
            <w:r>
              <w:t>high</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07112" w14:textId="77777777" w:rsidR="00DA7696" w:rsidRDefault="00000000">
            <w:r>
              <w:rPr>
                <w:sz w:val="21"/>
                <w:szCs w:val="21"/>
              </w:rPr>
              <w:t>Short-range locality. Single-pass implementation: image partitioned into non-overlapping windows, scanned within window then concatenated.</w:t>
            </w:r>
          </w:p>
        </w:tc>
      </w:tr>
      <w:tr w:rsidR="00DA7696" w14:paraId="14D4548D" w14:textId="77777777">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9C967" w14:textId="77777777" w:rsidR="00DA7696" w:rsidRDefault="00000000">
            <w:pPr>
              <w:jc w:val="center"/>
            </w:pPr>
            <w:proofErr w:type="spellStart"/>
            <w:r>
              <w:rPr>
                <w:sz w:val="21"/>
                <w:szCs w:val="21"/>
              </w:rPr>
              <w:t>RandomPermute</w:t>
            </w:r>
            <w:proofErr w:type="spellEnd"/>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05AB2" w14:textId="77777777" w:rsidR="008A07C4" w:rsidRDefault="00000000">
            <w:r>
              <w:t>undefined</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44362F" w14:textId="77777777" w:rsidR="008A07C4" w:rsidRDefault="00000000">
            <w:r>
              <w:t>destroyed</w:t>
            </w:r>
          </w:p>
        </w:tc>
        <w:tc>
          <w:tcPr>
            <w:tcW w:w="4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DF628C" w14:textId="77777777" w:rsidR="00DA7696" w:rsidRDefault="00000000">
            <w:r>
              <w:rPr>
                <w:sz w:val="21"/>
                <w:szCs w:val="21"/>
              </w:rPr>
              <w:t>No spatial prior. Negative control: a fixed random permutation of pixel positions is used for the entire study. Tests whether scan order matters at all.</w:t>
            </w:r>
          </w:p>
        </w:tc>
      </w:tr>
    </w:tbl>
    <w:p w14:paraId="30BC67D6" w14:textId="77777777" w:rsidR="00DA7696" w:rsidRDefault="00DA7696">
      <w:pPr>
        <w:spacing w:after="120" w:line="320" w:lineRule="auto"/>
        <w:jc w:val="both"/>
      </w:pPr>
    </w:p>
    <w:p w14:paraId="46E84E14" w14:textId="77777777" w:rsidR="00DA7696" w:rsidRDefault="00000000">
      <w:pPr>
        <w:spacing w:after="120" w:line="320" w:lineRule="auto"/>
        <w:ind w:firstLine="480"/>
        <w:jc w:val="both"/>
      </w:pPr>
      <w:r>
        <w:t>The directionality and locality columns are computed quantitatively, not asserted. For each scan strategy, we measure three statistics over all pixel pairs at a fixed input resolution:</w:t>
      </w:r>
    </w:p>
    <w:p w14:paraId="5908227A" w14:textId="77777777" w:rsidR="00DA7696" w:rsidRDefault="00000000">
      <w:pPr>
        <w:spacing w:after="80" w:line="320" w:lineRule="auto"/>
      </w:pPr>
      <w:r>
        <w:t>1. A_scan(s): the normalized standard deviation of mean sequence distance across horizontal, vertical, and diagonal pixel-pair sets. High A_scan means the scan strategy treats different directions asymmetrically.</w:t>
      </w:r>
    </w:p>
    <w:p w14:paraId="281F9650" w14:textId="77777777" w:rsidR="008A07C4" w:rsidRDefault="00000000">
      <w:r>
        <w:t>2. φ_scan(s): the dominant direction favored by the scan path, defined as the direction with the shortest mean sequence distance when A_scan is high. Raster-H has horizontal φ_scan; Raster-V has vertical φ_scan; isotropic or random scans have undefined φ_scan.</w:t>
      </w:r>
    </w:p>
    <w:p w14:paraId="5ED6356E" w14:textId="77777777" w:rsidR="008A07C4" w:rsidRDefault="00000000">
      <w:r>
        <w:t>3. P_loc(s): locality preservation, defined as 1 minus the normalized median sequence distance among all 2D-neighboring pixel pairs. High P_loc means the strategy preserves 2D adjacency in the sequence.</w:t>
      </w:r>
    </w:p>
    <w:p w14:paraId="5ACCA9E8" w14:textId="77777777" w:rsidR="00DA7696" w:rsidRDefault="00000000">
      <w:pPr>
        <w:spacing w:after="120" w:line="320" w:lineRule="auto"/>
        <w:ind w:firstLine="480"/>
        <w:jc w:val="both"/>
      </w:pPr>
      <w:r>
        <w:lastRenderedPageBreak/>
        <w:t>These scan-profile statistics are computed once, fixed for the rest of the study, and reported in the methods section. They turn qualitative claims such as "Hilbert is isotropically local" or "Raster-H is horizontally biased" into quantitative properties.</w:t>
      </w:r>
    </w:p>
    <w:p w14:paraId="789F072A" w14:textId="77777777" w:rsidR="00DA7696" w:rsidRDefault="00000000">
      <w:pPr>
        <w:pStyle w:val="2"/>
      </w:pPr>
      <w:r>
        <w:t>4.4 Pre-registered Predictions</w:t>
      </w:r>
    </w:p>
    <w:p w14:paraId="07E2C6F4" w14:textId="77777777" w:rsidR="00DA7696" w:rsidRDefault="00000000">
      <w:pPr>
        <w:spacing w:after="120" w:line="320" w:lineRule="auto"/>
        <w:ind w:firstLine="480"/>
        <w:jc w:val="both"/>
      </w:pPr>
      <w:r>
        <w:t>Five predictions are committed to before any main-experiment training run. They are derived from the joint structure of G (dataset geometry) and the scan profile (A_scan, φ_scan, P_loc) of each scan strategy.</w:t>
      </w:r>
    </w:p>
    <w:p w14:paraId="21F73950" w14:textId="77777777" w:rsidR="00DA7696" w:rsidRDefault="00000000">
      <w:pPr>
        <w:spacing w:after="120" w:line="320" w:lineRule="auto"/>
        <w:jc w:val="both"/>
      </w:pPr>
      <w:r>
        <w:rPr>
          <w:b/>
          <w:bCs/>
        </w:rPr>
        <w:t xml:space="preserve">P1 — Directional anisotropy. </w:t>
      </w:r>
      <w:r>
        <w:t>On datasets with low D (strong directionality), Raster-H and Raster-V show a significant performance gap, with the strategy whose direction matches the dominant boundary orientation winning.</w:t>
      </w:r>
    </w:p>
    <w:p w14:paraId="245E6E28" w14:textId="77777777" w:rsidR="00DA7696" w:rsidRDefault="00000000">
      <w:pPr>
        <w:spacing w:after="120" w:line="320" w:lineRule="auto"/>
        <w:jc w:val="both"/>
      </w:pPr>
      <w:r>
        <w:rPr>
          <w:b/>
          <w:bCs/>
        </w:rPr>
        <w:t xml:space="preserve">P2 — Isotropy preference. </w:t>
      </w:r>
      <w:r>
        <w:t>On datasets with high D (isotropic structure), Hilbert outperforms Raster-H and Raster-V, and the gap between Raster-H and Raster-V is small.</w:t>
      </w:r>
    </w:p>
    <w:p w14:paraId="55B4C1EE" w14:textId="77777777" w:rsidR="00DA7696" w:rsidRDefault="00000000">
      <w:pPr>
        <w:spacing w:after="120" w:line="320" w:lineRule="auto"/>
        <w:jc w:val="both"/>
      </w:pPr>
      <w:r>
        <w:t>P3 — Locality preference. On datasets with high L (compact locality), high-P_loc strategies (Hilbert, LocalWindow) outperform lower-P_loc strategies.</w:t>
      </w:r>
    </w:p>
    <w:p w14:paraId="1280B9A8" w14:textId="77777777" w:rsidR="00DA7696" w:rsidRDefault="00000000">
      <w:pPr>
        <w:spacing w:after="120" w:line="320" w:lineRule="auto"/>
        <w:jc w:val="both"/>
      </w:pPr>
      <w:r>
        <w:rPr>
          <w:b/>
          <w:bCs/>
        </w:rPr>
        <w:t xml:space="preserve">P4 — Negative control. </w:t>
      </w:r>
      <w:proofErr w:type="spellStart"/>
      <w:r>
        <w:t>RandomPermute</w:t>
      </w:r>
      <w:proofErr w:type="spellEnd"/>
      <w:r>
        <w:t xml:space="preserve"> is the worst Mamba variant on every dataset. The size of its deficit relative to the best Mamba variant is correlated with the geometric structure of the dataset (the deficit is larger on datasets with stronger geometric structure).</w:t>
      </w:r>
    </w:p>
    <w:p w14:paraId="6F5F0E9C" w14:textId="77777777" w:rsidR="00DA7696" w:rsidRDefault="00000000">
      <w:pPr>
        <w:spacing w:after="120" w:line="320" w:lineRule="auto"/>
        <w:jc w:val="both"/>
      </w:pPr>
      <w:r>
        <w:t>P5 — Quantitative association. Across dataset–scan–seed observations, a pre-registered geometry–scan matching score M_primary(d,s), computed only from mask-derived dataset descriptors and scan-path profile statistics, positively predicts within-dataset standardized Dice. P5 is supported if the coefficient of M_primary(d,s) is positive and statistically significant under permutation-based inference in the primary model defined in Section 7.1.</w:t>
      </w:r>
    </w:p>
    <w:p w14:paraId="2CC079CC" w14:textId="77777777" w:rsidR="008A07C4" w:rsidRDefault="00000000">
      <w:r>
        <w:t>The primary score is fixed before training: M_primary(d,s) = 0.5 M_dir(d,s) + 0.5 M_loc(d,s). The directionality term is M_dir(d,s) = (1 − A_data(d))(1 − A_scan(s)) + A_data(d)A_scan(s)Ω(φ_data(d), φ_scan(s)), where Ω = [1 + cos(2(φ_data − φ_scan))] / 2 when φ_scan is defined and Ω = 0.5 otherwise. The locality term is M_loc(d,s) = 1 − |L_d − P_loc(s)|.</w:t>
      </w:r>
    </w:p>
    <w:p w14:paraId="6F0D5C00" w14:textId="77777777" w:rsidR="008A07C4" w:rsidRDefault="00000000">
      <w:r>
        <w:t>The scale diversity S, boundary complexity B, and connectivity C descriptors are not forced into M_primary because the current scan profile does not define direct scan-side counterparts for them. They remain part of the dataset geometry fingerprint, Phase A coverage checks, mechanism analysis, and secondary moderator analysis.</w:t>
      </w:r>
    </w:p>
    <w:p w14:paraId="6E8F647B" w14:textId="77777777" w:rsidR="008A07C4" w:rsidRDefault="00000000">
      <w:r>
        <w:t>Predictions P1–P5 are fixed before Phase B begins and are not modified afterwards. P5 is the primary quantitative test of H1; P1–P4 provide dimension-specific support and mechanism-oriented evidence. The final decision rules are pre-committed in Section 7.2.</w:t>
      </w:r>
    </w:p>
    <w:p w14:paraId="0E0EC5E3" w14:textId="77777777" w:rsidR="00DA7696" w:rsidRDefault="00000000">
      <w:r>
        <w:br w:type="page"/>
      </w:r>
    </w:p>
    <w:p w14:paraId="67CA4B09" w14:textId="77777777" w:rsidR="00DA7696" w:rsidRDefault="00000000">
      <w:pPr>
        <w:pStyle w:val="1"/>
      </w:pPr>
      <w:r>
        <w:lastRenderedPageBreak/>
        <w:t>5. Phase B: Experimental Setup</w:t>
      </w:r>
    </w:p>
    <w:p w14:paraId="56AD939A" w14:textId="77777777" w:rsidR="00DA7696" w:rsidRDefault="00000000">
      <w:pPr>
        <w:pStyle w:val="2"/>
      </w:pPr>
      <w:r>
        <w:t>5.1 Datasets</w:t>
      </w:r>
    </w:p>
    <w:p w14:paraId="5C045409" w14:textId="77777777" w:rsidR="00DA7696" w:rsidRDefault="00000000">
      <w:pPr>
        <w:spacing w:after="120" w:line="320" w:lineRule="auto"/>
        <w:ind w:firstLine="480"/>
        <w:jc w:val="both"/>
      </w:pPr>
      <w:r>
        <w:t>Five candidate datasets are selected to span pre-defined geometric archetypes, not to favor any scan strategy. The final inclusion decision is made in Phase A using mask-derived geometry coverage, descriptor stability, and scan-ranking contrast. To avoid the statistical noise that arises when 10% of a small dataset is too few samples, every dataset is required to have at least 10 labeled training samples at the 10% setting. Datasets that do not meet this threshold are replaced or use absolute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104"/>
        <w:gridCol w:w="1700"/>
        <w:gridCol w:w="1300"/>
        <w:gridCol w:w="3557"/>
      </w:tblGrid>
      <w:tr w:rsidR="00DA7696" w14:paraId="16C01E55" w14:textId="77777777">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2D18B5FC" w14:textId="77777777" w:rsidR="00DA7696" w:rsidRDefault="00000000">
            <w:pPr>
              <w:jc w:val="center"/>
            </w:pPr>
            <w:r>
              <w:rPr>
                <w:b/>
                <w:bCs/>
                <w:sz w:val="21"/>
                <w:szCs w:val="21"/>
              </w:rPr>
              <w:t>Dataset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280A60C9" w14:textId="77777777" w:rsidR="00DA7696" w:rsidRDefault="00000000">
            <w:pPr>
              <w:jc w:val="center"/>
            </w:pPr>
            <w:r>
              <w:rPr>
                <w:b/>
                <w:bCs/>
                <w:sz w:val="21"/>
                <w:szCs w:val="21"/>
              </w:rPr>
              <w:t>Samples</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312FC980" w14:textId="77777777" w:rsidR="00DA7696" w:rsidRDefault="00000000">
            <w:pPr>
              <w:jc w:val="center"/>
            </w:pPr>
            <w:r>
              <w:rPr>
                <w:b/>
                <w:bCs/>
                <w:sz w:val="21"/>
                <w:szCs w:val="21"/>
              </w:rPr>
              <w:t>Modality / Task</w:t>
            </w:r>
          </w:p>
        </w:tc>
        <w:tc>
          <w:tcPr>
            <w:tcW w:w="13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1151FC1C" w14:textId="77777777" w:rsidR="00DA7696" w:rsidRDefault="00000000">
            <w:pPr>
              <w:jc w:val="center"/>
            </w:pPr>
            <w:r>
              <w:rPr>
                <w:b/>
                <w:bCs/>
                <w:sz w:val="21"/>
                <w:szCs w:val="21"/>
              </w:rPr>
              <w:t>10% labeled</w:t>
            </w:r>
          </w:p>
        </w:tc>
        <w:tc>
          <w:tcPr>
            <w:tcW w:w="35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11417207" w14:textId="77777777" w:rsidR="00DA7696" w:rsidRDefault="00000000">
            <w:pPr>
              <w:jc w:val="center"/>
            </w:pPr>
            <w:r>
              <w:rPr>
                <w:b/>
                <w:bCs/>
                <w:sz w:val="21"/>
                <w:szCs w:val="21"/>
              </w:rPr>
              <w:t>Geometric character</w:t>
            </w:r>
          </w:p>
        </w:tc>
      </w:tr>
      <w:tr w:rsidR="00DA7696" w14:paraId="56AF1AA3" w14:textId="77777777">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867A9" w14:textId="77777777" w:rsidR="00DA7696" w:rsidRDefault="00000000">
            <w:pPr>
              <w:jc w:val="center"/>
            </w:pPr>
            <w:r>
              <w:rPr>
                <w:sz w:val="21"/>
                <w:szCs w:val="21"/>
              </w:rPr>
              <w:t>CAMUS</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8DB4DB" w14:textId="77777777" w:rsidR="00DA7696" w:rsidRDefault="00000000">
            <w:pPr>
              <w:jc w:val="center"/>
            </w:pPr>
            <w:r>
              <w:rPr>
                <w:sz w:val="21"/>
                <w:szCs w:val="21"/>
              </w:rPr>
              <w:t>500 patients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601611" w14:textId="77777777" w:rsidR="00DA7696" w:rsidRDefault="00000000">
            <w:pPr>
              <w:jc w:val="center"/>
            </w:pPr>
            <w:r>
              <w:rPr>
                <w:sz w:val="21"/>
                <w:szCs w:val="21"/>
              </w:rPr>
              <w:t>US, cardiac chambers</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B6238" w14:textId="77777777" w:rsidR="00DA7696" w:rsidRDefault="00000000">
            <w:pPr>
              <w:jc w:val="center"/>
            </w:pPr>
            <w:r>
              <w:rPr>
                <w:sz w:val="21"/>
                <w:szCs w:val="21"/>
              </w:rPr>
              <w:t>35 patients</w:t>
            </w:r>
          </w:p>
        </w:tc>
        <w:tc>
          <w:tcPr>
            <w:tcW w:w="3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33C23B" w14:textId="77777777" w:rsidR="00DA7696" w:rsidRDefault="00000000">
            <w:r>
              <w:rPr>
                <w:sz w:val="21"/>
                <w:szCs w:val="21"/>
              </w:rPr>
              <w:t>annular, isotropic, single connected component per class</w:t>
            </w:r>
          </w:p>
        </w:tc>
      </w:tr>
      <w:tr w:rsidR="00DA7696" w14:paraId="7D795FA9" w14:textId="77777777">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9DCAD1" w14:textId="77777777" w:rsidR="00DA7696" w:rsidRDefault="00000000">
            <w:pPr>
              <w:jc w:val="center"/>
            </w:pPr>
            <w:r>
              <w:rPr>
                <w:sz w:val="21"/>
                <w:szCs w:val="21"/>
              </w:rPr>
              <w:t>M&amp;Ms</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A611C" w14:textId="77777777" w:rsidR="00DA7696" w:rsidRDefault="00000000">
            <w:pPr>
              <w:jc w:val="center"/>
            </w:pPr>
            <w:r>
              <w:rPr>
                <w:sz w:val="21"/>
                <w:szCs w:val="21"/>
              </w:rPr>
              <w:t>375 patients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C36F3" w14:textId="77777777" w:rsidR="00DA7696" w:rsidRDefault="00000000">
            <w:pPr>
              <w:jc w:val="center"/>
            </w:pPr>
            <w:r>
              <w:rPr>
                <w:sz w:val="21"/>
                <w:szCs w:val="21"/>
              </w:rPr>
              <w:t>MRI, cardiac chambers</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0508EE" w14:textId="77777777" w:rsidR="00DA7696" w:rsidRDefault="00000000">
            <w:pPr>
              <w:jc w:val="center"/>
            </w:pPr>
            <w:r>
              <w:rPr>
                <w:sz w:val="21"/>
                <w:szCs w:val="21"/>
              </w:rPr>
              <w:t>26 patients</w:t>
            </w:r>
          </w:p>
        </w:tc>
        <w:tc>
          <w:tcPr>
            <w:tcW w:w="3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3467A8" w14:textId="77777777" w:rsidR="00DA7696" w:rsidRDefault="00000000">
            <w:r>
              <w:rPr>
                <w:sz w:val="21"/>
                <w:szCs w:val="21"/>
              </w:rPr>
              <w:t>same anatomy as CAMUS, different modality (consistency control)</w:t>
            </w:r>
          </w:p>
        </w:tc>
      </w:tr>
      <w:tr w:rsidR="00DA7696" w14:paraId="27FDC8DC" w14:textId="77777777">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57C91C" w14:textId="77777777" w:rsidR="00DA7696" w:rsidRDefault="00000000">
            <w:pPr>
              <w:jc w:val="center"/>
            </w:pPr>
            <w:r>
              <w:rPr>
                <w:sz w:val="21"/>
                <w:szCs w:val="21"/>
              </w:rPr>
              <w:t>ISIC 2018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B149C" w14:textId="77777777" w:rsidR="00DA7696" w:rsidRDefault="00000000">
            <w:pPr>
              <w:jc w:val="center"/>
            </w:pPr>
            <w:r>
              <w:rPr>
                <w:sz w:val="21"/>
                <w:szCs w:val="21"/>
              </w:rPr>
              <w:t>2594 images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26B8E" w14:textId="77777777" w:rsidR="00DA7696" w:rsidRDefault="00000000">
            <w:pPr>
              <w:jc w:val="center"/>
            </w:pPr>
            <w:proofErr w:type="spellStart"/>
            <w:r>
              <w:rPr>
                <w:sz w:val="21"/>
                <w:szCs w:val="21"/>
              </w:rPr>
              <w:t>dermoscopy</w:t>
            </w:r>
            <w:proofErr w:type="spellEnd"/>
            <w:r>
              <w:rPr>
                <w:sz w:val="21"/>
                <w:szCs w:val="21"/>
              </w:rPr>
              <w:t>, lesions</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4F9FC" w14:textId="77777777" w:rsidR="00DA7696" w:rsidRDefault="00000000">
            <w:pPr>
              <w:jc w:val="center"/>
            </w:pPr>
            <w:r>
              <w:rPr>
                <w:sz w:val="21"/>
                <w:szCs w:val="21"/>
              </w:rPr>
              <w:t>181 images</w:t>
            </w:r>
          </w:p>
        </w:tc>
        <w:tc>
          <w:tcPr>
            <w:tcW w:w="3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6F265" w14:textId="77777777" w:rsidR="00DA7696" w:rsidRDefault="00000000">
            <w:r>
              <w:rPr>
                <w:sz w:val="21"/>
                <w:szCs w:val="21"/>
              </w:rPr>
              <w:t>compact blob with irregular boundary, weak directionality</w:t>
            </w:r>
          </w:p>
        </w:tc>
      </w:tr>
      <w:tr w:rsidR="00DA7696" w14:paraId="1F7BCE5E" w14:textId="77777777">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F744A" w14:textId="77777777" w:rsidR="00DA7696" w:rsidRDefault="00000000">
            <w:pPr>
              <w:jc w:val="center"/>
            </w:pPr>
            <w:r>
              <w:rPr>
                <w:sz w:val="21"/>
                <w:szCs w:val="21"/>
              </w:rPr>
              <w:t>AMOS 2022</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ED28F4" w14:textId="77777777" w:rsidR="00DA7696" w:rsidRDefault="00000000">
            <w:pPr>
              <w:jc w:val="center"/>
            </w:pPr>
            <w:r>
              <w:rPr>
                <w:sz w:val="21"/>
                <w:szCs w:val="21"/>
              </w:rPr>
              <w:t>500 patients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8EBF6" w14:textId="77777777" w:rsidR="00DA7696" w:rsidRDefault="00000000">
            <w:pPr>
              <w:jc w:val="center"/>
            </w:pPr>
            <w:r>
              <w:rPr>
                <w:sz w:val="21"/>
                <w:szCs w:val="21"/>
              </w:rPr>
              <w:t>CT, multi-organ abdomen</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1159C" w14:textId="77777777" w:rsidR="00DA7696" w:rsidRDefault="00000000">
            <w:pPr>
              <w:jc w:val="center"/>
            </w:pPr>
            <w:r>
              <w:rPr>
                <w:sz w:val="21"/>
                <w:szCs w:val="21"/>
              </w:rPr>
              <w:t>35 patients</w:t>
            </w:r>
          </w:p>
        </w:tc>
        <w:tc>
          <w:tcPr>
            <w:tcW w:w="3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F6C1F7" w14:textId="77777777" w:rsidR="00DA7696" w:rsidRDefault="00000000">
            <w:r>
              <w:rPr>
                <w:sz w:val="21"/>
                <w:szCs w:val="21"/>
              </w:rPr>
              <w:t>multi-scale, scattered components, moderate directionality</w:t>
            </w:r>
          </w:p>
        </w:tc>
      </w:tr>
      <w:tr w:rsidR="00DA7696" w14:paraId="292E81A7" w14:textId="77777777">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8A804" w14:textId="77777777" w:rsidR="00DA7696" w:rsidRDefault="00000000">
            <w:pPr>
              <w:jc w:val="center"/>
            </w:pPr>
            <w:r>
              <w:rPr>
                <w:sz w:val="21"/>
                <w:szCs w:val="21"/>
              </w:rPr>
              <w:t>DRIVE</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28050" w14:textId="77777777" w:rsidR="00DA7696" w:rsidRDefault="00000000">
            <w:pPr>
              <w:jc w:val="center"/>
            </w:pPr>
            <w:r>
              <w:rPr>
                <w:sz w:val="21"/>
                <w:szCs w:val="21"/>
              </w:rPr>
              <w:t>40 images (28 train)</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415541" w14:textId="77777777" w:rsidR="00DA7696" w:rsidRDefault="00000000">
            <w:pPr>
              <w:jc w:val="center"/>
            </w:pPr>
            <w:r>
              <w:rPr>
                <w:sz w:val="21"/>
                <w:szCs w:val="21"/>
              </w:rPr>
              <w:t>retinal photo, vessels</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707070" w14:textId="77777777" w:rsidR="00DA7696" w:rsidRDefault="00000000">
            <w:pPr>
              <w:jc w:val="center"/>
            </w:pPr>
            <w:r>
              <w:rPr>
                <w:sz w:val="21"/>
                <w:szCs w:val="21"/>
              </w:rPr>
              <w:t>10 images (absolute)</w:t>
            </w:r>
          </w:p>
        </w:tc>
        <w:tc>
          <w:tcPr>
            <w:tcW w:w="3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9639A7" w14:textId="77777777" w:rsidR="008A07C4" w:rsidRDefault="00000000">
            <w:r>
              <w:t>thin, directional filamentary network; geometry outlier</w:t>
            </w:r>
          </w:p>
        </w:tc>
      </w:tr>
    </w:tbl>
    <w:p w14:paraId="7830B02B" w14:textId="77777777" w:rsidR="00DA7696" w:rsidRDefault="00DA7696">
      <w:pPr>
        <w:spacing w:after="120" w:line="320" w:lineRule="auto"/>
        <w:jc w:val="both"/>
      </w:pPr>
    </w:p>
    <w:p w14:paraId="7EE34CEA" w14:textId="77777777" w:rsidR="00DA7696" w:rsidRDefault="00000000">
      <w:pPr>
        <w:spacing w:after="120" w:line="320" w:lineRule="auto"/>
        <w:ind w:firstLine="480"/>
        <w:jc w:val="both"/>
      </w:pPr>
      <w:r>
        <w:t>The CAMUS / M&amp;Ms pairing is deliberate. Both datasets share cardiac geometry but use different imaging modalities (ultrasound vs. MRI), making them a similar-geometry / different-modality control. If H1 is correct and the relationship is driven by geometry rather than modality, the two datasets should produce similar scan-strategy rankings. Disagreement between them would indicate that modality, not geometry, is the dominant factor — an important alternative finding.</w:t>
      </w:r>
    </w:p>
    <w:p w14:paraId="710AB167" w14:textId="77777777" w:rsidR="00DA7696" w:rsidRDefault="00000000">
      <w:pPr>
        <w:spacing w:after="120" w:line="320" w:lineRule="auto"/>
        <w:ind w:firstLine="480"/>
        <w:jc w:val="both"/>
      </w:pPr>
      <w:r>
        <w:t>DRIVE has only 28 training images, so 10% would yield fewer than three labeled images. We therefore use the absolute count of 10 images for DRIVE's low-label setting and document this exception clearly. DRIVE is retained primarily because it provides a thin, directional geometry outlier that increases coverage of the geometric space.</w:t>
      </w:r>
    </w:p>
    <w:p w14:paraId="4244BB1F" w14:textId="77777777" w:rsidR="00DA7696" w:rsidRDefault="00000000">
      <w:pPr>
        <w:pStyle w:val="2"/>
      </w:pPr>
      <w:r>
        <w:t>5.2 Architecture and Training Protocol</w:t>
      </w:r>
    </w:p>
    <w:p w14:paraId="61CB7418" w14:textId="77777777" w:rsidR="00DA7696" w:rsidRDefault="00000000">
      <w:pPr>
        <w:spacing w:after="120" w:line="320" w:lineRule="auto"/>
        <w:ind w:firstLine="480"/>
        <w:jc w:val="both"/>
      </w:pPr>
      <w:r>
        <w:t xml:space="preserve">All Mamba variants share an identical 4-stage U-Net backbone (channels [96, 192, 384, 768], </w:t>
      </w:r>
      <w:r>
        <w:lastRenderedPageBreak/>
        <w:t>2 VSS blocks per stage). Only the scan operator inside the VSS block is replaced. The CNN baseline is a standard U-Net with matched parameter count where possible. Identical optimizer (</w:t>
      </w:r>
      <w:proofErr w:type="spellStart"/>
      <w:r>
        <w:t>AdamW</w:t>
      </w:r>
      <w:proofErr w:type="spellEnd"/>
      <w:r>
        <w:t>), learning rate schedule, batch size, augmentation pipeline, loss (Dice + cross-entropy), early stopping, and checkpoint selection are used across all conditions.</w:t>
      </w:r>
    </w:p>
    <w:p w14:paraId="5531A2C5" w14:textId="77777777" w:rsidR="00DA7696" w:rsidRDefault="00000000">
      <w:pPr>
        <w:spacing w:after="120" w:line="320" w:lineRule="auto"/>
        <w:ind w:firstLine="480"/>
        <w:jc w:val="both"/>
      </w:pPr>
      <w:r>
        <w:t>Three random seeds per (dataset, condition) cell are used for variance estimation. Patient-level (or image-level for ISIC, DRIVE) splits are 70/10/20 for train/</w:t>
      </w:r>
      <w:proofErr w:type="spellStart"/>
      <w:r>
        <w:t>val</w:t>
      </w:r>
      <w:proofErr w:type="spellEnd"/>
      <w:r>
        <w:t>/test. The same labeled subset is used across the three seeds; only model initialization and training order differ across seeds.</w:t>
      </w:r>
    </w:p>
    <w:p w14:paraId="6C3E488A" w14:textId="77777777" w:rsidR="00DA7696" w:rsidRDefault="00000000">
      <w:pPr>
        <w:pStyle w:val="2"/>
      </w:pPr>
      <w:r>
        <w:t>5.3 Experimental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A7696" w14:paraId="6423F524" w14:textId="77777777">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2C71C255" w14:textId="77777777" w:rsidR="00DA7696" w:rsidRDefault="00000000">
            <w:pPr>
              <w:jc w:val="center"/>
            </w:pPr>
            <w:r>
              <w:rPr>
                <w:b/>
                <w:bCs/>
                <w:sz w:val="21"/>
                <w:szCs w:val="21"/>
              </w:rPr>
              <w:t>Factor</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2338F572" w14:textId="77777777" w:rsidR="00DA7696" w:rsidRDefault="00000000">
            <w:pPr>
              <w:jc w:val="center"/>
            </w:pPr>
            <w:r>
              <w:rPr>
                <w:b/>
                <w:bCs/>
                <w:sz w:val="21"/>
                <w:szCs w:val="21"/>
              </w:rPr>
              <w:t>Levels</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5B2CE397" w14:textId="77777777" w:rsidR="00DA7696" w:rsidRDefault="00000000">
            <w:pPr>
              <w:jc w:val="center"/>
            </w:pPr>
            <w:r>
              <w:rPr>
                <w:b/>
                <w:bCs/>
                <w:sz w:val="21"/>
                <w:szCs w:val="21"/>
              </w:rPr>
              <w:t>Notes</w:t>
            </w:r>
          </w:p>
        </w:tc>
      </w:tr>
      <w:tr w:rsidR="00DA7696" w14:paraId="4811F1FE"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804563" w14:textId="77777777" w:rsidR="00DA7696" w:rsidRDefault="00000000">
            <w:pPr>
              <w:jc w:val="center"/>
            </w:pPr>
            <w:r>
              <w:rPr>
                <w:sz w:val="21"/>
                <w:szCs w:val="21"/>
              </w:rPr>
              <w:t>Datasets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F2C29B" w14:textId="77777777" w:rsidR="00DA7696" w:rsidRDefault="00000000">
            <w:pPr>
              <w:jc w:val="center"/>
            </w:pPr>
            <w:r>
              <w:rPr>
                <w:sz w:val="21"/>
                <w:szCs w:val="21"/>
              </w:rPr>
              <w:t>5</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206D68" w14:textId="77777777" w:rsidR="00DA7696" w:rsidRDefault="00000000">
            <w:r>
              <w:rPr>
                <w:sz w:val="21"/>
                <w:szCs w:val="21"/>
              </w:rPr>
              <w:t>Spread across geometric space</w:t>
            </w:r>
          </w:p>
        </w:tc>
      </w:tr>
      <w:tr w:rsidR="00DA7696" w14:paraId="322A1FF1"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7D747D" w14:textId="77777777" w:rsidR="00DA7696" w:rsidRDefault="00000000">
            <w:pPr>
              <w:jc w:val="center"/>
            </w:pPr>
            <w:r>
              <w:rPr>
                <w:sz w:val="21"/>
                <w:szCs w:val="21"/>
              </w:rPr>
              <w:t>Conditions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EAC9BC" w14:textId="77777777" w:rsidR="00DA7696" w:rsidRDefault="00000000">
            <w:pPr>
              <w:jc w:val="center"/>
            </w:pPr>
            <w:r>
              <w:rPr>
                <w:sz w:val="21"/>
                <w:szCs w:val="21"/>
              </w:rPr>
              <w:t>6</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4A018D" w14:textId="77777777" w:rsidR="00DA7696" w:rsidRDefault="00000000">
            <w:r>
              <w:rPr>
                <w:sz w:val="21"/>
                <w:szCs w:val="21"/>
              </w:rPr>
              <w:t>CNN + 5 Mamba scan variants</w:t>
            </w:r>
          </w:p>
        </w:tc>
      </w:tr>
      <w:tr w:rsidR="00DA7696" w14:paraId="788DEF63"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8305B" w14:textId="77777777" w:rsidR="00DA7696" w:rsidRDefault="00000000">
            <w:pPr>
              <w:jc w:val="center"/>
            </w:pPr>
            <w:r>
              <w:rPr>
                <w:sz w:val="21"/>
                <w:szCs w:val="21"/>
              </w:rPr>
              <w:t>Label ratio</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3BFB7" w14:textId="77777777" w:rsidR="00DA7696" w:rsidRDefault="00000000">
            <w:pPr>
              <w:jc w:val="center"/>
            </w:pPr>
            <w:r>
              <w:rPr>
                <w:sz w:val="21"/>
                <w:szCs w:val="21"/>
              </w:rPr>
              <w:t>1 (10%)</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EB336" w14:textId="77777777" w:rsidR="00DA7696" w:rsidRDefault="00000000">
            <w:r>
              <w:rPr>
                <w:sz w:val="21"/>
                <w:szCs w:val="21"/>
              </w:rPr>
              <w:t>Single low-label setting; H2 not studied</w:t>
            </w:r>
          </w:p>
        </w:tc>
      </w:tr>
      <w:tr w:rsidR="00DA7696" w14:paraId="3896B755"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25A1D2" w14:textId="77777777" w:rsidR="00DA7696" w:rsidRDefault="00000000">
            <w:pPr>
              <w:jc w:val="center"/>
            </w:pPr>
            <w:r>
              <w:rPr>
                <w:sz w:val="21"/>
                <w:szCs w:val="21"/>
              </w:rPr>
              <w:t>Seeds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DF50A" w14:textId="77777777" w:rsidR="00DA7696" w:rsidRDefault="00000000">
            <w:pPr>
              <w:jc w:val="center"/>
            </w:pPr>
            <w:r>
              <w:rPr>
                <w:sz w:val="21"/>
                <w:szCs w:val="21"/>
              </w:rPr>
              <w:t>3</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6E754C" w14:textId="77777777" w:rsidR="00DA7696" w:rsidRDefault="00000000">
            <w:r>
              <w:rPr>
                <w:sz w:val="21"/>
                <w:szCs w:val="21"/>
              </w:rPr>
              <w:t>For variance estimation</w:t>
            </w:r>
          </w:p>
        </w:tc>
      </w:tr>
      <w:tr w:rsidR="00DA7696" w14:paraId="5436239B"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03FFBD" w14:textId="77777777" w:rsidR="00DA7696" w:rsidRDefault="00000000">
            <w:pPr>
              <w:jc w:val="center"/>
            </w:pPr>
            <w:r>
              <w:rPr>
                <w:sz w:val="21"/>
                <w:szCs w:val="21"/>
              </w:rPr>
              <w:t>Total runs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6B08D" w14:textId="77777777" w:rsidR="00DA7696" w:rsidRDefault="00000000">
            <w:pPr>
              <w:jc w:val="center"/>
            </w:pPr>
            <w:r>
              <w:rPr>
                <w:sz w:val="21"/>
                <w:szCs w:val="21"/>
              </w:rPr>
              <w:t>5 × 6 × 3 = 90</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600895" w14:textId="77777777" w:rsidR="00DA7696" w:rsidRDefault="00000000">
            <w:r>
              <w:rPr>
                <w:sz w:val="21"/>
                <w:szCs w:val="21"/>
              </w:rPr>
              <w:t>Full Cartesian product, no sub-sampling</w:t>
            </w:r>
          </w:p>
        </w:tc>
      </w:tr>
    </w:tbl>
    <w:p w14:paraId="3C00C53B" w14:textId="77777777" w:rsidR="00DA7696" w:rsidRDefault="00DA7696">
      <w:pPr>
        <w:spacing w:after="120" w:line="320" w:lineRule="auto"/>
        <w:jc w:val="both"/>
      </w:pPr>
    </w:p>
    <w:p w14:paraId="049B2CB2" w14:textId="77777777" w:rsidR="00DA7696" w:rsidRDefault="00000000">
      <w:pPr>
        <w:pStyle w:val="2"/>
      </w:pPr>
      <w:r>
        <w:t>5.4 Compute Budget on a Single H100</w:t>
      </w:r>
    </w:p>
    <w:p w14:paraId="500E6E59" w14:textId="77777777" w:rsidR="00DA7696" w:rsidRDefault="00000000">
      <w:pPr>
        <w:spacing w:after="120" w:line="320" w:lineRule="auto"/>
        <w:ind w:firstLine="480"/>
        <w:jc w:val="both"/>
      </w:pPr>
      <w:r>
        <w:t>Per-run training time on a single H100 80GB varies with dataset size:</w:t>
      </w:r>
    </w:p>
    <w:p w14:paraId="54AC2353" w14:textId="77777777" w:rsidR="00DA7696" w:rsidRDefault="00000000">
      <w:pPr>
        <w:pStyle w:val="a4"/>
        <w:numPr>
          <w:ilvl w:val="0"/>
          <w:numId w:val="3"/>
        </w:numPr>
        <w:spacing w:after="80" w:line="320" w:lineRule="auto"/>
      </w:pPr>
      <w:r>
        <w:t>DRIVE (10 labeled images): ~30 min/run</w:t>
      </w:r>
    </w:p>
    <w:p w14:paraId="6AD3FC91" w14:textId="77777777" w:rsidR="00DA7696" w:rsidRDefault="00000000">
      <w:pPr>
        <w:pStyle w:val="a4"/>
        <w:numPr>
          <w:ilvl w:val="0"/>
          <w:numId w:val="3"/>
        </w:numPr>
        <w:spacing w:after="80" w:line="320" w:lineRule="auto"/>
      </w:pPr>
      <w:r>
        <w:t>CAMUS (35 patients × 4 frames ≈ 140 images): ~2 h/run</w:t>
      </w:r>
    </w:p>
    <w:p w14:paraId="618D4993" w14:textId="77777777" w:rsidR="00DA7696" w:rsidRDefault="00000000">
      <w:pPr>
        <w:pStyle w:val="a4"/>
        <w:numPr>
          <w:ilvl w:val="0"/>
          <w:numId w:val="3"/>
        </w:numPr>
        <w:spacing w:after="80" w:line="320" w:lineRule="auto"/>
      </w:pPr>
      <w:r>
        <w:t>M&amp;Ms (26 patients × ~10 slices ≈ 260 images): ~2.5 h/run</w:t>
      </w:r>
    </w:p>
    <w:p w14:paraId="044C72D5" w14:textId="77777777" w:rsidR="00DA7696" w:rsidRDefault="00000000">
      <w:pPr>
        <w:pStyle w:val="a4"/>
        <w:numPr>
          <w:ilvl w:val="0"/>
          <w:numId w:val="3"/>
        </w:numPr>
        <w:spacing w:after="80" w:line="320" w:lineRule="auto"/>
      </w:pPr>
      <w:r>
        <w:t>ISIC (181 images): ~2 h/run</w:t>
      </w:r>
    </w:p>
    <w:p w14:paraId="03DE1479" w14:textId="77777777" w:rsidR="00DA7696" w:rsidRDefault="00000000">
      <w:pPr>
        <w:pStyle w:val="a4"/>
        <w:numPr>
          <w:ilvl w:val="0"/>
          <w:numId w:val="3"/>
        </w:numPr>
        <w:spacing w:after="80" w:line="320" w:lineRule="auto"/>
      </w:pPr>
      <w:r>
        <w:t>AMOS (35 patients × ~100 slices ≈ 3500 slices): ~5 h/run</w:t>
      </w:r>
    </w:p>
    <w:p w14:paraId="79C4172F" w14:textId="77777777" w:rsidR="00DA7696" w:rsidRDefault="00000000">
      <w:pPr>
        <w:spacing w:after="120" w:line="320" w:lineRule="auto"/>
        <w:ind w:firstLine="480"/>
        <w:jc w:val="both"/>
      </w:pPr>
      <w:r>
        <w:t xml:space="preserve">Weighted across datasets, the average is roughly 2.5 hours per run. Total compute: </w:t>
      </w:r>
      <w:r>
        <w:rPr>
          <w:b/>
          <w:bCs/>
        </w:rPr>
        <w:t>90 runs × 2.5 h ≈ 225 H100-hours ≈ 9.4 days of continuous single-GPU training.</w:t>
      </w:r>
      <w:r>
        <w:t xml:space="preserve"> This fits comfortably within a 4-week project window when training is run continuously alongside Phase A and Phase C work. Headroom of about 2.5 weeks is left for setup, mechanism analysis, visualization, writing, and any reruns required by initial errors.</w:t>
      </w:r>
    </w:p>
    <w:p w14:paraId="72BA4CE0" w14:textId="77777777" w:rsidR="00DA7696" w:rsidRDefault="00000000">
      <w:r>
        <w:br w:type="page"/>
      </w:r>
    </w:p>
    <w:p w14:paraId="70240F4E" w14:textId="77777777" w:rsidR="00DA7696" w:rsidRDefault="00000000">
      <w:pPr>
        <w:pStyle w:val="1"/>
      </w:pPr>
      <w:r>
        <w:lastRenderedPageBreak/>
        <w:t>6. Evaluation Metrics, Mechanism Analysis, and Visualizations</w:t>
      </w:r>
    </w:p>
    <w:p w14:paraId="326C0CC3" w14:textId="77777777" w:rsidR="00DA7696" w:rsidRDefault="00000000">
      <w:pPr>
        <w:pStyle w:val="2"/>
      </w:pPr>
      <w:r>
        <w:t>6.1 Performance Metrics</w:t>
      </w:r>
    </w:p>
    <w:p w14:paraId="76325E31" w14:textId="77777777" w:rsidR="00DA7696" w:rsidRDefault="00000000">
      <w:pPr>
        <w:pStyle w:val="a4"/>
        <w:numPr>
          <w:ilvl w:val="0"/>
          <w:numId w:val="3"/>
        </w:numPr>
        <w:spacing w:after="80" w:line="320" w:lineRule="auto"/>
      </w:pPr>
      <w:r>
        <w:rPr>
          <w:b/>
          <w:bCs/>
        </w:rPr>
        <w:t xml:space="preserve">Dice coefficient — </w:t>
      </w:r>
      <w:r>
        <w:t>primary region-overlap metric, reported per class and as a macro average.</w:t>
      </w:r>
    </w:p>
    <w:p w14:paraId="05547757" w14:textId="77777777" w:rsidR="00DA7696" w:rsidRDefault="00000000">
      <w:pPr>
        <w:pStyle w:val="a4"/>
        <w:numPr>
          <w:ilvl w:val="0"/>
          <w:numId w:val="3"/>
        </w:numPr>
        <w:spacing w:after="80" w:line="320" w:lineRule="auto"/>
      </w:pPr>
      <w:r>
        <w:rPr>
          <w:b/>
          <w:bCs/>
        </w:rPr>
        <w:t xml:space="preserve">HD95 — </w:t>
      </w:r>
      <w:r>
        <w:t xml:space="preserve">95th-percentile </w:t>
      </w:r>
      <w:proofErr w:type="spellStart"/>
      <w:r>
        <w:t>Hausdorff</w:t>
      </w:r>
      <w:proofErr w:type="spellEnd"/>
      <w:r>
        <w:t xml:space="preserve"> distance for boundary quality. Particularly informative for thin or boundary-sensitive structures.</w:t>
      </w:r>
    </w:p>
    <w:p w14:paraId="1472E98C" w14:textId="77777777" w:rsidR="00DA7696" w:rsidRDefault="00000000">
      <w:pPr>
        <w:pStyle w:val="a4"/>
        <w:numPr>
          <w:ilvl w:val="0"/>
          <w:numId w:val="3"/>
        </w:numPr>
        <w:spacing w:after="80" w:line="320" w:lineRule="auto"/>
      </w:pPr>
      <w:r>
        <w:rPr>
          <w:b/>
          <w:bCs/>
        </w:rPr>
        <w:t xml:space="preserve">Per-structure Dice and HD95 — </w:t>
      </w:r>
      <w:r>
        <w:t>reported separately for each foreground class. Ranking changes across classes are themselves informative for testing structure-level sensitivity.</w:t>
      </w:r>
    </w:p>
    <w:p w14:paraId="17766865" w14:textId="77777777" w:rsidR="00DA7696" w:rsidRDefault="00000000">
      <w:pPr>
        <w:pStyle w:val="2"/>
      </w:pPr>
      <w:r>
        <w:t>6.2 Stability Metrics</w:t>
      </w:r>
    </w:p>
    <w:p w14:paraId="348F9793" w14:textId="77777777" w:rsidR="00DA7696" w:rsidRDefault="00000000">
      <w:pPr>
        <w:pStyle w:val="a4"/>
        <w:numPr>
          <w:ilvl w:val="0"/>
          <w:numId w:val="3"/>
        </w:numPr>
        <w:spacing w:after="80" w:line="320" w:lineRule="auto"/>
      </w:pPr>
      <w:r>
        <w:rPr>
          <w:b/>
          <w:bCs/>
        </w:rPr>
        <w:t xml:space="preserve">Seed-level standard deviation — </w:t>
      </w:r>
      <w:r>
        <w:t>reported alongside means.</w:t>
      </w:r>
    </w:p>
    <w:p w14:paraId="03B6B4AD" w14:textId="77777777" w:rsidR="00DA7696" w:rsidRDefault="00000000">
      <w:pPr>
        <w:pStyle w:val="a4"/>
        <w:numPr>
          <w:ilvl w:val="0"/>
          <w:numId w:val="3"/>
        </w:numPr>
        <w:spacing w:after="80" w:line="320" w:lineRule="auto"/>
      </w:pPr>
      <w:r>
        <w:rPr>
          <w:b/>
          <w:bCs/>
        </w:rPr>
        <w:t xml:space="preserve">Worst-case percentile — </w:t>
      </w:r>
      <w:r>
        <w:t>5th-percentile Dice across test patients/images, capturing reliability rather than average performance.</w:t>
      </w:r>
    </w:p>
    <w:p w14:paraId="133E1543" w14:textId="77777777" w:rsidR="00DA7696" w:rsidRDefault="00000000">
      <w:pPr>
        <w:pStyle w:val="a4"/>
        <w:numPr>
          <w:ilvl w:val="0"/>
          <w:numId w:val="3"/>
        </w:numPr>
        <w:spacing w:after="80" w:line="320" w:lineRule="auto"/>
      </w:pPr>
      <w:r>
        <w:rPr>
          <w:b/>
          <w:bCs/>
        </w:rPr>
        <w:t xml:space="preserve">Failure rate — </w:t>
      </w:r>
      <w:r>
        <w:t>fraction of test samples with Dice &lt; 0.5, reporting catastrophic failures.</w:t>
      </w:r>
    </w:p>
    <w:p w14:paraId="4FC25899" w14:textId="77777777" w:rsidR="00DA7696" w:rsidRDefault="00000000">
      <w:pPr>
        <w:pStyle w:val="2"/>
      </w:pPr>
      <w:r>
        <w:t>6.3 Mechanism Analyses</w:t>
      </w:r>
    </w:p>
    <w:p w14:paraId="6DCDB454" w14:textId="77777777" w:rsidR="00DA7696" w:rsidRDefault="00000000">
      <w:pPr>
        <w:spacing w:after="120" w:line="320" w:lineRule="auto"/>
        <w:ind w:firstLine="480"/>
        <w:jc w:val="both"/>
      </w:pPr>
      <w:r>
        <w:t xml:space="preserve">Three mechanism analyses are performed to test </w:t>
      </w:r>
      <w:r>
        <w:rPr>
          <w:i/>
          <w:iCs/>
        </w:rPr>
        <w:t>why</w:t>
      </w:r>
      <w:r>
        <w:t xml:space="preserve"> the geometric matching, if observed, occurs:</w:t>
      </w:r>
    </w:p>
    <w:p w14:paraId="078BF70D" w14:textId="77777777" w:rsidR="00DA7696" w:rsidRDefault="00000000">
      <w:pPr>
        <w:pStyle w:val="3"/>
      </w:pPr>
      <w:r>
        <w:t>Effective Receptive Field (ERF)</w:t>
      </w:r>
    </w:p>
    <w:p w14:paraId="1F915CDB" w14:textId="77777777" w:rsidR="00DA7696" w:rsidRDefault="00000000">
      <w:pPr>
        <w:spacing w:after="120" w:line="320" w:lineRule="auto"/>
        <w:ind w:firstLine="480"/>
        <w:jc w:val="both"/>
      </w:pPr>
      <w:r>
        <w:t xml:space="preserve">For each trained model, the gradient magnitude of the central output position with respect to all input pixels is computed and averaged across test images. The resulting ERF heatmap reveals the spatial preference the model has learned. Prediction: Hilbert produces approximately circular ERFs; Raster-H produces ERFs elongated in the horizontal direction; </w:t>
      </w:r>
      <w:proofErr w:type="spellStart"/>
      <w:r>
        <w:t>LocalWindow</w:t>
      </w:r>
      <w:proofErr w:type="spellEnd"/>
      <w:r>
        <w:t xml:space="preserve"> produces blocky ERFs limited to within-window pixels with weak inter-window connections. ERF visualizations form direct evidence that scan strategies do encode the geometric priors we attribute to them.</w:t>
      </w:r>
    </w:p>
    <w:p w14:paraId="26A3FAB4" w14:textId="77777777" w:rsidR="00DA7696" w:rsidRDefault="00000000">
      <w:pPr>
        <w:pStyle w:val="3"/>
      </w:pPr>
      <w:r>
        <w:t>Boundary Error Spatial Distribution</w:t>
      </w:r>
    </w:p>
    <w:p w14:paraId="7BD58741" w14:textId="77777777" w:rsidR="00DA7696" w:rsidRDefault="00000000">
      <w:pPr>
        <w:spacing w:after="120" w:line="320" w:lineRule="auto"/>
        <w:ind w:firstLine="480"/>
        <w:jc w:val="both"/>
      </w:pPr>
      <w:r>
        <w:t xml:space="preserve">Test-set prediction errors are stratified by distance to the nearest ground-truth boundary (&lt; 2 </w:t>
      </w:r>
      <w:proofErr w:type="spellStart"/>
      <w:r>
        <w:t>px</w:t>
      </w:r>
      <w:proofErr w:type="spellEnd"/>
      <w:r>
        <w:t xml:space="preserve">, 2–5 </w:t>
      </w:r>
      <w:proofErr w:type="spellStart"/>
      <w:r>
        <w:t>px</w:t>
      </w:r>
      <w:proofErr w:type="spellEnd"/>
      <w:r>
        <w:t xml:space="preserve">, &gt; 5 </w:t>
      </w:r>
      <w:proofErr w:type="spellStart"/>
      <w:r>
        <w:t>px</w:t>
      </w:r>
      <w:proofErr w:type="spellEnd"/>
      <w:r>
        <w:t>). For each scan strategy, the cumulative error in each band is reported. Prediction: scan strategies whose geometry matches the dataset show lower boundary-band errors. We further inspect the spatial map of errors per strategy to detect signatures such as horizontal-row error stripes for Raster-H on isotropic structures.</w:t>
      </w:r>
    </w:p>
    <w:p w14:paraId="49B2CDD6" w14:textId="77777777" w:rsidR="00DA7696" w:rsidRDefault="00000000">
      <w:pPr>
        <w:pStyle w:val="3"/>
      </w:pPr>
      <w:r>
        <w:lastRenderedPageBreak/>
        <w:t>Feature Diversity and Train–Test Distribution Alignment</w:t>
      </w:r>
    </w:p>
    <w:p w14:paraId="6B8F62EE" w14:textId="77777777" w:rsidR="00DA7696" w:rsidRDefault="00000000">
      <w:pPr>
        <w:spacing w:after="120" w:line="320" w:lineRule="auto"/>
        <w:ind w:firstLine="480"/>
        <w:jc w:val="both"/>
      </w:pPr>
      <w:r>
        <w:t xml:space="preserve">The effective rank of penultimate-layer features is computed on the test set, and the centered kernel alignment (CKA) between </w:t>
      </w:r>
      <w:proofErr w:type="gramStart"/>
      <w:r>
        <w:t>train-set</w:t>
      </w:r>
      <w:proofErr w:type="gramEnd"/>
      <w:r>
        <w:t xml:space="preserve"> and test-set feature distributions is measured. Prediction: scan strategies with stronger and matching geometric priors maintain higher effective rank and lower train–test distribution divergence at 10% labels, evidencing that the inductive bias acts as implicit regularization in the PAC-Bayes sense.</w:t>
      </w:r>
    </w:p>
    <w:p w14:paraId="76D33CA5" w14:textId="77777777" w:rsidR="00DA7696" w:rsidRDefault="00000000">
      <w:pPr>
        <w:pStyle w:val="2"/>
      </w:pPr>
      <w:r>
        <w:t>6.4 Visualizations and Figures Produced</w:t>
      </w:r>
    </w:p>
    <w:p w14:paraId="20CA6D45" w14:textId="77777777" w:rsidR="00DA7696" w:rsidRDefault="00000000">
      <w:pPr>
        <w:spacing w:after="120" w:line="320" w:lineRule="auto"/>
        <w:ind w:firstLine="480"/>
        <w:jc w:val="both"/>
      </w:pPr>
      <w:r>
        <w:t>The proposal commits to producing the following visualizations, which together provide evidence at multiple granularities:</w:t>
      </w:r>
    </w:p>
    <w:p w14:paraId="10CEB621" w14:textId="77777777" w:rsidR="00DA7696" w:rsidRDefault="00000000">
      <w:pPr>
        <w:spacing w:after="80" w:line="320" w:lineRule="auto"/>
      </w:pPr>
      <w:r>
        <w:t>1. Geometric fingerprint plot. PCA projection of the five datasets in geometric feature space, with each axis labeled and dataset positions annotated. This figure justifies that the chosen datasets actually span distinct geometric regions.</w:t>
      </w:r>
    </w:p>
    <w:p w14:paraId="652DBD18" w14:textId="77777777" w:rsidR="00DA7696" w:rsidRDefault="00000000">
      <w:pPr>
        <w:spacing w:after="80" w:line="320" w:lineRule="auto"/>
      </w:pPr>
      <w:r>
        <w:t>2. Scan-strategy geometry plot. Each scan strategy located in (A_scan, P_loc) space, with φ_scan annotated where applicable. Combined with the dataset fingerprint plot, this gives a visual statement of the matching hypothesis.</w:t>
      </w:r>
    </w:p>
    <w:p w14:paraId="26BC28E6" w14:textId="77777777" w:rsidR="00DA7696" w:rsidRDefault="00000000">
      <w:pPr>
        <w:spacing w:after="80" w:line="320" w:lineRule="auto"/>
      </w:pPr>
      <w:r>
        <w:t>3. Performance heatmap. A 5 × 6 grid of mean Dice (datasets × conditions), with cells colored by performance and annotated with mean ± std. This is the central empirical artifact of the project.</w:t>
      </w:r>
    </w:p>
    <w:p w14:paraId="1B79B79B" w14:textId="77777777" w:rsidR="00DA7696" w:rsidRDefault="00000000">
      <w:pPr>
        <w:spacing w:after="80" w:line="320" w:lineRule="auto"/>
      </w:pPr>
      <w:r>
        <w:t>4. Per-structure performance breakdown. Bar plots showing Dice on each foreground class per condition per dataset, for spotting structure-level sensitivity (e.g., myocardium more sensitive than ventricular cavities).</w:t>
      </w:r>
    </w:p>
    <w:p w14:paraId="278563B1" w14:textId="77777777" w:rsidR="00DA7696" w:rsidRDefault="00000000">
      <w:pPr>
        <w:spacing w:after="80" w:line="320" w:lineRule="auto"/>
      </w:pPr>
      <w:r>
        <w:t>5. ERF heatmap grid. ERF visualizations for each (dataset, condition) cell, on a 5 × 6 grid. The most direct visual evidence of geometric priors.</w:t>
      </w:r>
    </w:p>
    <w:p w14:paraId="434E417C" w14:textId="77777777" w:rsidR="00DA7696" w:rsidRDefault="00000000">
      <w:pPr>
        <w:spacing w:after="80" w:line="320" w:lineRule="auto"/>
      </w:pPr>
      <w:r>
        <w:t>6. Boundary error stratification plots. For each dataset, error rates in the &lt; 2 px, 2–5 px, &gt; 5 px bands across conditions.</w:t>
      </w:r>
    </w:p>
    <w:p w14:paraId="2C331720" w14:textId="77777777" w:rsidR="00DA7696" w:rsidRDefault="00000000">
      <w:pPr>
        <w:spacing w:after="80" w:line="320" w:lineRule="auto"/>
      </w:pPr>
      <w:r>
        <w:t>7. Failure-case galleries. Side-by-side qualitative segmentation results on the lowest-Dice cases per condition per dataset.</w:t>
      </w:r>
    </w:p>
    <w:p w14:paraId="3F0B01BD" w14:textId="77777777" w:rsidR="008A07C4" w:rsidRDefault="00000000">
      <w:r>
        <w:t>8. Primary P5 association plot. Within-dataset standardized Dice on the y-axis and pre-registered M_primary(d,s) on the x-axis, overlaid with the mixed-effects model estimate and uncertainty interval.</w:t>
      </w:r>
    </w:p>
    <w:p w14:paraId="244E84B5" w14:textId="77777777" w:rsidR="00DA7696" w:rsidRDefault="00000000">
      <w:pPr>
        <w:spacing w:after="80" w:line="320" w:lineRule="auto"/>
      </w:pPr>
      <w:r>
        <w:t>9. Secondary rank-correlation scatter. Pre-registered M_primary(d,s) on the x-axis and within-dataset Dice rank on the y-axis, with point per (dataset, condition). This reports the secondary Spearman analysis and does not serve as the primary P5 test.</w:t>
      </w:r>
    </w:p>
    <w:p w14:paraId="7345CD72" w14:textId="77777777" w:rsidR="00DA7696" w:rsidRDefault="00000000">
      <w:pPr>
        <w:spacing w:after="80" w:line="320" w:lineRule="auto"/>
      </w:pPr>
      <w:r>
        <w:t>10. Feature-rank and CKA bar plots. Per condition, on each dataset, with statistical significance markers.</w:t>
      </w:r>
    </w:p>
    <w:p w14:paraId="57E7895F" w14:textId="77777777" w:rsidR="00DA7696" w:rsidRDefault="00000000">
      <w:pPr>
        <w:spacing w:after="80" w:line="320" w:lineRule="auto"/>
      </w:pPr>
      <w:r>
        <w:lastRenderedPageBreak/>
        <w:t>11. Stability summary plot. Mean Dice with seed-level error bars and failure-rate annotations.</w:t>
      </w:r>
    </w:p>
    <w:p w14:paraId="688DDE32" w14:textId="77777777" w:rsidR="00DA7696" w:rsidRDefault="00000000">
      <w:r>
        <w:br w:type="page"/>
      </w:r>
    </w:p>
    <w:p w14:paraId="25921874" w14:textId="77777777" w:rsidR="00DA7696" w:rsidRDefault="00000000">
      <w:pPr>
        <w:pStyle w:val="1"/>
      </w:pPr>
      <w:r>
        <w:lastRenderedPageBreak/>
        <w:t>7. Phase C: Statistical Analysis</w:t>
      </w:r>
    </w:p>
    <w:p w14:paraId="70C0F061" w14:textId="77777777" w:rsidR="00DA7696" w:rsidRDefault="00000000">
      <w:pPr>
        <w:pStyle w:val="2"/>
      </w:pPr>
      <w:r>
        <w:t>7.1 Testing the Five Predictions</w:t>
      </w:r>
    </w:p>
    <w:p w14:paraId="34D2BC10" w14:textId="77777777" w:rsidR="00DA7696" w:rsidRDefault="00000000">
      <w:pPr>
        <w:spacing w:after="120" w:line="320" w:lineRule="auto"/>
        <w:ind w:firstLine="480"/>
        <w:jc w:val="both"/>
      </w:pPr>
      <w:r>
        <w:t>Each prediction P1–P4 is tested with paired permutation tests on patient-level (or image-level) Dice scores, with Holm-Bonferroni correction across the four tests. P5 is treated as the primary quantitative test of H1 and is not tested by raw cross-dataset Dice or by ordinary Spearman correlation.</w:t>
      </w:r>
    </w:p>
    <w:p w14:paraId="13859133" w14:textId="77777777" w:rsidR="008A07C4" w:rsidRDefault="00000000">
      <w:r>
        <w:t>Before P5 is tested, Dice is converted to within-dataset standardized performance: Y(d,s,i) = [Dice(d,s,i) − mean Dice(d,·,·)] / SD Dice(d,·,·). This makes each observation represent how much a scan strategy outperforms or underperforms the average scan on the same dataset, rather than reflecting raw dataset difficulty.</w:t>
      </w:r>
    </w:p>
    <w:p w14:paraId="06200DC6" w14:textId="77777777" w:rsidR="008A07C4" w:rsidRDefault="00000000">
      <w:r>
        <w:t>The primary P5 model is Y(d,s,i) = β0 + β1 M_primary(d,s) + u_d + v_s + ε, where u_d is a dataset random effect and v_s is a scan-strategy random effect. P5 is supported when β1 &gt; 0 and the permutation-based p-value is below 0.05. Because only five datasets are studied, a fixed-effect sensitivity model Y ~ M_primary + dataset + scan is also reported.</w:t>
      </w:r>
    </w:p>
    <w:p w14:paraId="16BD19E8" w14:textId="77777777" w:rsidR="008A07C4" w:rsidRDefault="00000000">
      <w:r>
        <w:t>Model comparison is reported by contrasting a baseline model, Y ~ 1 + dataset/scan effects, with a matching model, Y ~ M_primary + dataset/scan effects. We report AIC, likelihood-ratio test, and marginal R² to quantify whether the pre-registered matching score adds explanatory power beyond dataset and scan identity.</w:t>
      </w:r>
    </w:p>
    <w:p w14:paraId="6F979CDD" w14:textId="77777777" w:rsidR="008A07C4" w:rsidRDefault="00000000">
      <w:r>
        <w:t>As secondary robustness analyses, we compute Spearman correlation between M_primary(d,s) and within-dataset Dice rank using a permutation p-value, and we report leave-one-dataset-out Kendall’s τ. The leave-one-dataset-out analysis uses the fixed pre-registered M_primary and does not recalibrate weights on the held-in datasets.</w:t>
      </w:r>
    </w:p>
    <w:p w14:paraId="2669C458" w14:textId="77777777" w:rsidR="00DA7696" w:rsidRDefault="00000000">
      <w:pPr>
        <w:pStyle w:val="2"/>
      </w:pPr>
      <w:r>
        <w:t>7.2 Decision Rules and Pre-Committed Narratives</w:t>
      </w:r>
    </w:p>
    <w:p w14:paraId="429E39C3" w14:textId="77777777" w:rsidR="00DA7696" w:rsidRDefault="00000000">
      <w:pPr>
        <w:spacing w:after="120" w:line="320" w:lineRule="auto"/>
        <w:ind w:firstLine="480"/>
        <w:jc w:val="both"/>
      </w:pPr>
      <w:r>
        <w:t>Strong support — P5 primary significant and at least three of P1–P4 supported. The paper reports the matching framework, includes a small static lookup-table that maps geometric features to recommended scan strategies, and discusses implications for adaptive-scan methods.</w:t>
      </w:r>
    </w:p>
    <w:p w14:paraId="4B1AC6DB" w14:textId="77777777" w:rsidR="008A07C4" w:rsidRDefault="00000000">
      <w:r>
        <w:t>Partial support — P5 primary significant and one or two of P1–P4 supported. The paper is reframed around the dimensions on which matching does hold, reports the negative finding on the other dimensions honestly, and discusses why some priors translate into measurable performance while others do not.</w:t>
      </w:r>
    </w:p>
    <w:p w14:paraId="5D4B914E" w14:textId="77777777" w:rsidR="008A07C4" w:rsidRDefault="00000000">
      <w:r>
        <w:t>Weak support — the primary P5 mixed-effects test is not significant, but secondary P5 analyses such as within-dataset Spearman rank correlation or leave-one-dataset-out Kendall’s τ are positive and significant. The paper reports the result as suggestive but not confirmatory.</w:t>
      </w:r>
    </w:p>
    <w:p w14:paraId="37123DB2" w14:textId="77777777" w:rsidR="008A07C4" w:rsidRDefault="00000000">
      <w:r>
        <w:t>No support — P5 primary is not significant and secondary analyses do not provide consistent positive evidence. The paper reports that scan-strategy ranking is not predictably associated with dataset geometry as defined here.</w:t>
      </w:r>
    </w:p>
    <w:p w14:paraId="51D59FC4" w14:textId="77777777" w:rsidR="008A07C4" w:rsidRDefault="00000000">
      <w:r>
        <w:t>Negative evidence — P5 is significantly negative, or RandomPermute is not weaker than structured scans. The paper reports this as evidence against the proposed matching mechanism and discusses alternative drivers such as modality, dataset size, training dynamics, or implementation-level effects.</w:t>
      </w:r>
    </w:p>
    <w:p w14:paraId="0B5F14B2" w14:textId="77777777" w:rsidR="00DA7696" w:rsidRDefault="00000000">
      <w:pPr>
        <w:pStyle w:val="1"/>
      </w:pPr>
      <w:r>
        <w:t>8. Risks and Mitigations</w:t>
      </w:r>
    </w:p>
    <w:p w14:paraId="59A9B91E" w14:textId="77777777" w:rsidR="00DA7696" w:rsidRDefault="00000000">
      <w:pPr>
        <w:spacing w:after="120" w:line="320" w:lineRule="auto"/>
        <w:ind w:firstLine="480"/>
        <w:jc w:val="both"/>
      </w:pPr>
      <w:r>
        <w:lastRenderedPageBreak/>
        <w:t>The following risks are explicitly acknowledged. Each has a concrete mitigation.</w:t>
      </w:r>
    </w:p>
    <w:p w14:paraId="5F2FA68A" w14:textId="77777777" w:rsidR="00DA7696" w:rsidRDefault="00000000">
      <w:pPr>
        <w:spacing w:after="120" w:line="320" w:lineRule="auto"/>
        <w:ind w:firstLine="480"/>
        <w:jc w:val="both"/>
      </w:pPr>
      <w:r>
        <w:t>R1 — Circular reasoning between G and observed performance. Geometric definitions and predictions P1–P5 are committed to in writing before any main-experiment training run. Definitions depend only on ground-truth masks and scan-path statistics, never on segmentation results.</w:t>
      </w:r>
    </w:p>
    <w:p w14:paraId="4214D286" w14:textId="77777777" w:rsidR="008A07C4" w:rsidRDefault="00000000">
      <w:r>
        <w:t>R2 — Post-hoc matching score construction. M_primary is fixed before training and does not include Dice, HD95, observed rank, or any fitted performance weight. Spearman and leave-one-dataset-out analyses are robustness checks, not sources for redefining the score.</w:t>
      </w:r>
    </w:p>
    <w:p w14:paraId="33DD4914" w14:textId="77777777" w:rsidR="008A07C4" w:rsidRDefault="00000000">
      <w:r>
        <w:t>R3 — Dataset selection bias. Dataset inclusion is based on geometry coverage, descriptor stability, and scan-ranking contrast, not on favorable matching scores or preliminary model performance.</w:t>
      </w:r>
    </w:p>
    <w:p w14:paraId="4B495B68" w14:textId="77777777" w:rsidR="008A07C4" w:rsidRDefault="00000000">
      <w:r>
        <w:t>R4 — Unsupported five-dimensional matching. S, B, and C are retained as dataset descriptors and secondary moderators, but they are not forced into the primary matching score unless corresponding scan-side descriptors are pre-defined.</w:t>
      </w:r>
    </w:p>
    <w:p w14:paraId="58448823" w14:textId="77777777" w:rsidR="008A07C4" w:rsidRDefault="00000000">
      <w:r>
        <w:t>R5 — Datasets too clustered in geometric space. PCA spread check at the end of Phase A. If the spread is insufficient, datasets are revised before Phase B begins.</w:t>
      </w:r>
    </w:p>
    <w:p w14:paraId="58277B02" w14:textId="77777777" w:rsidR="008A07C4" w:rsidRDefault="00000000">
      <w:r>
        <w:t>R6 — Causal vs. associational claims. Findings are reported in associational language ("associated with", "predicted by") rather than causal language ("determined by"). The CAMUS / M&amp;Ms pairing provides a partial control: agreement between two datasets with shared geometry but different modalities is evidence — though not proof — that geometry, not modality, drives the effect.</w:t>
      </w:r>
    </w:p>
    <w:p w14:paraId="7DA6E2D3" w14:textId="77777777" w:rsidR="008A07C4" w:rsidRDefault="00000000">
      <w:r>
        <w:t>R7 — Differentiation from Flatten Wisely. Made explicit in the related-work section: their work is empirical and within-domain; ours is hypothesis-testing and cross-domain. We will run their best-recommended scan paths as part of our scan strategy set so that our results are directly comparable to theirs on the brain MRI scale.</w:t>
      </w:r>
    </w:p>
    <w:p w14:paraId="0658B676" w14:textId="77777777" w:rsidR="008A07C4" w:rsidRDefault="00000000">
      <w:r>
        <w:t>R8 — Statistical power with five datasets. With five datasets and six conditions, large effect sizes are needed for significance. Power is checked at the end of Phase A by simulating expected effects; if power is inadequate, additional seeds (5 instead of 3) are used to reduce within-cell variance. The experimental matrix has headroom for this within the H100 budget.</w:t>
      </w:r>
    </w:p>
    <w:p w14:paraId="145C7F72" w14:textId="77777777" w:rsidR="008A07C4" w:rsidRDefault="00000000">
      <w:r>
        <w:t>R9 — DRIVE statistical noise. With only 10 labeled images, DRIVE has high variance. Its results are reported but down-weighted in the main analysis; the paper explicitly notes that DRIVE serves as a geometric outlier rather than a primary statistical unit.</w:t>
      </w:r>
    </w:p>
    <w:p w14:paraId="3B920331" w14:textId="77777777" w:rsidR="008A07C4" w:rsidRDefault="00000000">
      <w:r>
        <w:t>R10 — Negative result framing acceptance. If H1 is rejected, the paper is targeted at TMLR or similar venues that accept rigorous negative results. The pre-registered design strengthens the credibility of a negative finding.</w:t>
      </w:r>
    </w:p>
    <w:p w14:paraId="6B915347" w14:textId="77777777" w:rsidR="00DA7696" w:rsidRDefault="00000000">
      <w:r>
        <w:br w:type="page"/>
      </w:r>
    </w:p>
    <w:p w14:paraId="4134BAE3" w14:textId="77777777" w:rsidR="00DA7696" w:rsidRDefault="00000000">
      <w:pPr>
        <w:pStyle w:val="1"/>
      </w:pPr>
      <w:r>
        <w:lastRenderedPageBreak/>
        <w:t>9. Four-Week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DA7696" w14:paraId="5065C18C" w14:textId="77777777">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1EF2661E" w14:textId="77777777" w:rsidR="00DA7696" w:rsidRDefault="00000000">
            <w:pPr>
              <w:jc w:val="center"/>
            </w:pPr>
            <w:r>
              <w:rPr>
                <w:b/>
                <w:bCs/>
                <w:sz w:val="21"/>
                <w:szCs w:val="21"/>
              </w:rPr>
              <w:t>Week</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54444398" w14:textId="77777777" w:rsidR="00DA7696" w:rsidRDefault="00000000">
            <w:pPr>
              <w:jc w:val="center"/>
            </w:pPr>
            <w:r>
              <w:rPr>
                <w:b/>
                <w:bCs/>
                <w:sz w:val="21"/>
                <w:szCs w:val="21"/>
              </w:rPr>
              <w:t>Phase</w:t>
            </w:r>
          </w:p>
        </w:tc>
        <w:tc>
          <w:tcPr>
            <w:tcW w:w="61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20" w:type="dxa"/>
              <w:bottom w:w="100" w:type="dxa"/>
              <w:right w:w="120" w:type="dxa"/>
            </w:tcMar>
          </w:tcPr>
          <w:p w14:paraId="59E20EFC" w14:textId="77777777" w:rsidR="00DA7696" w:rsidRDefault="00000000">
            <w:pPr>
              <w:jc w:val="center"/>
            </w:pPr>
            <w:r>
              <w:rPr>
                <w:b/>
                <w:bCs/>
                <w:sz w:val="21"/>
                <w:szCs w:val="21"/>
              </w:rPr>
              <w:t>Activities and Deliverables</w:t>
            </w:r>
          </w:p>
        </w:tc>
      </w:tr>
      <w:tr w:rsidR="00DA7696" w14:paraId="7927984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BEF631" w14:textId="77777777" w:rsidR="00DA7696" w:rsidRDefault="00000000">
            <w:pPr>
              <w:jc w:val="center"/>
            </w:pPr>
            <w:r>
              <w:rPr>
                <w:sz w:val="21"/>
                <w:szCs w:val="21"/>
              </w:rPr>
              <w:t>Week 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7A9F1" w14:textId="77777777" w:rsidR="00DA7696" w:rsidRDefault="00000000">
            <w:r>
              <w:rPr>
                <w:sz w:val="21"/>
                <w:szCs w:val="21"/>
              </w:rPr>
              <w:t>Phase A — Setup</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3F4ADB" w14:textId="77777777" w:rsidR="008A07C4" w:rsidRDefault="00000000">
            <w:r>
              <w:t>Implement geometric feature extraction (D, L, S, B, C), including A_data and φ_data. Compute G for all five candidate datasets. Run PCA spread, descriptor stability, and independence checks. Quantify scan-strategy profiles (A_scan, φ_scan, P_loc). Lock M_primary and pre-registered predictions P1–P5 in a written document. Set up training pipeline and reproduce a single-run on each dataset to confirm correctness.</w:t>
            </w:r>
          </w:p>
        </w:tc>
      </w:tr>
      <w:tr w:rsidR="00DA7696" w14:paraId="12A60F3D"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920F9" w14:textId="77777777" w:rsidR="00DA7696" w:rsidRDefault="00000000">
            <w:pPr>
              <w:jc w:val="center"/>
            </w:pPr>
            <w:r>
              <w:rPr>
                <w:sz w:val="21"/>
                <w:szCs w:val="21"/>
              </w:rPr>
              <w:t>Week 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2DA2F" w14:textId="77777777" w:rsidR="00DA7696" w:rsidRDefault="00000000">
            <w:r>
              <w:rPr>
                <w:sz w:val="21"/>
                <w:szCs w:val="21"/>
              </w:rPr>
              <w:t>Phase B — Training (1/2)</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B8FBF0" w14:textId="77777777" w:rsidR="00DA7696" w:rsidRDefault="00000000">
            <w:r>
              <w:rPr>
                <w:sz w:val="21"/>
                <w:szCs w:val="21"/>
              </w:rPr>
              <w:t>Begin main matrix on H100. Priority order: faster datasets first (DRIVE, ISIC) to surface bugs early, then CAMUS, M&amp;Ms, AMOS. Approximately 45 runs (≈ 110 hours of compute) completed by end of week. Mid-week checkpoint: verify that at least one prediction shows the expected qualitative pattern; if not, sanity-check pipeline.</w:t>
            </w:r>
          </w:p>
        </w:tc>
      </w:tr>
      <w:tr w:rsidR="00DA7696" w14:paraId="11C7ED5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A363F7" w14:textId="77777777" w:rsidR="00DA7696" w:rsidRDefault="00000000">
            <w:pPr>
              <w:jc w:val="center"/>
            </w:pPr>
            <w:r>
              <w:rPr>
                <w:sz w:val="21"/>
                <w:szCs w:val="21"/>
              </w:rPr>
              <w:t>Week 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EB52D" w14:textId="77777777" w:rsidR="00DA7696" w:rsidRDefault="00000000">
            <w:r>
              <w:rPr>
                <w:sz w:val="21"/>
                <w:szCs w:val="21"/>
              </w:rPr>
              <w:t>Phase B — Training (2/2)</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B94CE6" w14:textId="77777777" w:rsidR="00DA7696" w:rsidRDefault="00000000">
            <w:r>
              <w:rPr>
                <w:sz w:val="21"/>
                <w:szCs w:val="21"/>
              </w:rPr>
              <w:t>Complete remaining ~45 runs (AMOS-heavy). Begin mechanism analyses on completed runs in parallel: ERF computation, boundary error maps, feature rank and CKA. By end of week, all 90 runs complete and per-run analyses available.</w:t>
            </w:r>
          </w:p>
        </w:tc>
      </w:tr>
      <w:tr w:rsidR="00DA7696" w14:paraId="658FE9C9"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E82D7E" w14:textId="77777777" w:rsidR="00DA7696" w:rsidRDefault="00000000">
            <w:pPr>
              <w:jc w:val="center"/>
            </w:pPr>
            <w:r>
              <w:rPr>
                <w:sz w:val="21"/>
                <w:szCs w:val="21"/>
              </w:rPr>
              <w:t>Week 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6184A" w14:textId="77777777" w:rsidR="00DA7696" w:rsidRDefault="00000000">
            <w:r>
              <w:rPr>
                <w:sz w:val="21"/>
                <w:szCs w:val="21"/>
              </w:rPr>
              <w:t>Phase C — Analysis &amp; Writing</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7E765F" w14:textId="77777777" w:rsidR="008A07C4" w:rsidRDefault="00000000">
            <w:r>
              <w:t>Statistical testing of P1–P5, including the primary P5 mixed-effects model, model comparison, secondary rank analysis, and leave-one-dataset-out Kendall’s τ. Generate all visualizations. Determine outcome using the pre-committed decision rules. Write paper using the corresponding narrative.</w:t>
            </w:r>
          </w:p>
        </w:tc>
      </w:tr>
    </w:tbl>
    <w:p w14:paraId="5D08A49A" w14:textId="77777777" w:rsidR="00DA7696" w:rsidRDefault="00DA7696">
      <w:pPr>
        <w:spacing w:after="120" w:line="320" w:lineRule="auto"/>
        <w:jc w:val="both"/>
      </w:pPr>
    </w:p>
    <w:p w14:paraId="2F9F86F5" w14:textId="77777777" w:rsidR="00DA7696" w:rsidRDefault="00000000">
      <w:pPr>
        <w:spacing w:after="120" w:line="320" w:lineRule="auto"/>
        <w:ind w:firstLine="480"/>
        <w:jc w:val="both"/>
      </w:pPr>
      <w:r>
        <w:rPr>
          <w:b/>
          <w:bCs/>
        </w:rPr>
        <w:t xml:space="preserve">Compute schedule sanity check: </w:t>
      </w:r>
      <w:r>
        <w:t>90 runs × 2.5 h average = 225 H100-hours. Available compute over weeks 2 + 3 = 14 days × 24 h = 336 hours. Utilization ≈ 67%, leaving margin for failed runs, longer AMOS jobs, and overlap with mechanism analysis. The schedule is tight but realistic.</w:t>
      </w:r>
    </w:p>
    <w:p w14:paraId="160924C5" w14:textId="77777777" w:rsidR="00DA7696" w:rsidRDefault="00000000">
      <w:pPr>
        <w:pStyle w:val="1"/>
      </w:pPr>
      <w:r>
        <w:t>10. Summary</w:t>
      </w:r>
    </w:p>
    <w:p w14:paraId="77D46325" w14:textId="77777777" w:rsidR="00DA7696" w:rsidRDefault="00000000">
      <w:pPr>
        <w:spacing w:after="120" w:line="320" w:lineRule="auto"/>
        <w:ind w:firstLine="480"/>
        <w:jc w:val="both"/>
      </w:pPr>
      <w:r>
        <w:t xml:space="preserve">This proposal tests whether the relative effectiveness of Mamba scan strategies is systematically associated with the geometric structure of the dataset. The hypothesis is articulated through five pre-registered predictions, with P5 serving as the primary quantitative test: a fixed geometry–scan matching score must positively predict within-dataset standardized Dice. The experiment is a full Cartesian product of five geometrically diverse candidate datasets, six conditions (one CNN baseline plus five single-pass Mamba scan strategies), and three random seeds at a single 10% labeled setting. The 10% setting is used as a methodological magnifying </w:t>
      </w:r>
      <w:r>
        <w:lastRenderedPageBreak/>
        <w:t>glass for inductive-bias effects, not as a research variable in its own right; the broader claim that low-label conditions amplify inductive-bias differences is already established in prior work and is not re-tested here.</w:t>
      </w:r>
    </w:p>
    <w:p w14:paraId="29EC6A85" w14:textId="77777777" w:rsidR="00DA7696" w:rsidRDefault="00000000">
      <w:pPr>
        <w:spacing w:after="120" w:line="320" w:lineRule="auto"/>
        <w:ind w:firstLine="480"/>
        <w:jc w:val="both"/>
      </w:pPr>
      <w:r>
        <w:t>The project is scoped to fit a four-week schedule on a single H100 GPU (≈ 225 GPU-hours). It produces ten distinct visualizations spanning geometric structure, performance, mechanism, and stability. Three possible outcomes — full support, partial support, and rejection of the hypothesis — each have a pre-committed paper narrative, ensuring that the project produces a publishable result regardless of which way the experimental answer falls.</w:t>
      </w:r>
    </w:p>
    <w:p w14:paraId="6DBF2F54" w14:textId="77777777" w:rsidR="00DA7696" w:rsidRDefault="00000000">
      <w:pPr>
        <w:spacing w:after="120" w:line="320" w:lineRule="auto"/>
        <w:ind w:firstLine="480"/>
        <w:jc w:val="both"/>
      </w:pPr>
      <w:r>
        <w:t>The contribution, if H1 is supported, is an associational predictive framework that practitioners can use to choose scan strategies for new datasets without exhaustive search. If H1 is partially supported or rejected, the contribution is a clean negative or partial result that resolves a contradiction currently visible across the Mamba scan-strategy literature, and that narrows the space of plausible mechanisms driving scan-strategy effectiveness.</w:t>
      </w:r>
    </w:p>
    <w:sectPr w:rsidR="00DA76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E3618"/>
    <w:multiLevelType w:val="hybridMultilevel"/>
    <w:tmpl w:val="DCBCCA46"/>
    <w:lvl w:ilvl="0" w:tplc="70C812D2">
      <w:start w:val="1"/>
      <w:numFmt w:val="bullet"/>
      <w:lvlText w:val="•"/>
      <w:lvlJc w:val="left"/>
      <w:pPr>
        <w:ind w:left="720" w:hanging="360"/>
      </w:pPr>
    </w:lvl>
    <w:lvl w:ilvl="1" w:tplc="770447A4">
      <w:numFmt w:val="decimal"/>
      <w:lvlText w:val=""/>
      <w:lvlJc w:val="left"/>
    </w:lvl>
    <w:lvl w:ilvl="2" w:tplc="B4268356">
      <w:numFmt w:val="decimal"/>
      <w:lvlText w:val=""/>
      <w:lvlJc w:val="left"/>
    </w:lvl>
    <w:lvl w:ilvl="3" w:tplc="DB0C1EA6">
      <w:numFmt w:val="decimal"/>
      <w:lvlText w:val=""/>
      <w:lvlJc w:val="left"/>
    </w:lvl>
    <w:lvl w:ilvl="4" w:tplc="1AD002F4">
      <w:numFmt w:val="decimal"/>
      <w:lvlText w:val=""/>
      <w:lvlJc w:val="left"/>
    </w:lvl>
    <w:lvl w:ilvl="5" w:tplc="CB8E9178">
      <w:numFmt w:val="decimal"/>
      <w:lvlText w:val=""/>
      <w:lvlJc w:val="left"/>
    </w:lvl>
    <w:lvl w:ilvl="6" w:tplc="444CAD48">
      <w:numFmt w:val="decimal"/>
      <w:lvlText w:val=""/>
      <w:lvlJc w:val="left"/>
    </w:lvl>
    <w:lvl w:ilvl="7" w:tplc="3A984E6A">
      <w:numFmt w:val="decimal"/>
      <w:lvlText w:val=""/>
      <w:lvlJc w:val="left"/>
    </w:lvl>
    <w:lvl w:ilvl="8" w:tplc="C64627FA">
      <w:numFmt w:val="decimal"/>
      <w:lvlText w:val=""/>
      <w:lvlJc w:val="left"/>
    </w:lvl>
  </w:abstractNum>
  <w:abstractNum w:abstractNumId="1" w15:restartNumberingAfterBreak="0">
    <w:nsid w:val="48D3105E"/>
    <w:multiLevelType w:val="hybridMultilevel"/>
    <w:tmpl w:val="50400D08"/>
    <w:lvl w:ilvl="0" w:tplc="2B5CE3CC">
      <w:start w:val="1"/>
      <w:numFmt w:val="decimal"/>
      <w:lvlText w:val="%1."/>
      <w:lvlJc w:val="left"/>
      <w:pPr>
        <w:ind w:left="720" w:hanging="360"/>
      </w:pPr>
    </w:lvl>
    <w:lvl w:ilvl="1" w:tplc="85429BEA">
      <w:numFmt w:val="decimal"/>
      <w:lvlText w:val=""/>
      <w:lvlJc w:val="left"/>
    </w:lvl>
    <w:lvl w:ilvl="2" w:tplc="D87A76C6">
      <w:numFmt w:val="decimal"/>
      <w:lvlText w:val=""/>
      <w:lvlJc w:val="left"/>
    </w:lvl>
    <w:lvl w:ilvl="3" w:tplc="FB1E4FEE">
      <w:numFmt w:val="decimal"/>
      <w:lvlText w:val=""/>
      <w:lvlJc w:val="left"/>
    </w:lvl>
    <w:lvl w:ilvl="4" w:tplc="B890DE42">
      <w:numFmt w:val="decimal"/>
      <w:lvlText w:val=""/>
      <w:lvlJc w:val="left"/>
    </w:lvl>
    <w:lvl w:ilvl="5" w:tplc="42B47078">
      <w:numFmt w:val="decimal"/>
      <w:lvlText w:val=""/>
      <w:lvlJc w:val="left"/>
    </w:lvl>
    <w:lvl w:ilvl="6" w:tplc="24CE4A5C">
      <w:numFmt w:val="decimal"/>
      <w:lvlText w:val=""/>
      <w:lvlJc w:val="left"/>
    </w:lvl>
    <w:lvl w:ilvl="7" w:tplc="3C863DBC">
      <w:numFmt w:val="decimal"/>
      <w:lvlText w:val=""/>
      <w:lvlJc w:val="left"/>
    </w:lvl>
    <w:lvl w:ilvl="8" w:tplc="C27C968A">
      <w:numFmt w:val="decimal"/>
      <w:lvlText w:val=""/>
      <w:lvlJc w:val="left"/>
    </w:lvl>
  </w:abstractNum>
  <w:abstractNum w:abstractNumId="2" w15:restartNumberingAfterBreak="0">
    <w:nsid w:val="6799331B"/>
    <w:multiLevelType w:val="hybridMultilevel"/>
    <w:tmpl w:val="AE18730C"/>
    <w:lvl w:ilvl="0" w:tplc="0220DA0A">
      <w:start w:val="1"/>
      <w:numFmt w:val="bullet"/>
      <w:lvlText w:val="●"/>
      <w:lvlJc w:val="left"/>
      <w:pPr>
        <w:ind w:left="720" w:hanging="360"/>
      </w:pPr>
    </w:lvl>
    <w:lvl w:ilvl="1" w:tplc="5DA290A8">
      <w:start w:val="1"/>
      <w:numFmt w:val="bullet"/>
      <w:lvlText w:val="○"/>
      <w:lvlJc w:val="left"/>
      <w:pPr>
        <w:ind w:left="1440" w:hanging="360"/>
      </w:pPr>
    </w:lvl>
    <w:lvl w:ilvl="2" w:tplc="FE7200DC">
      <w:start w:val="1"/>
      <w:numFmt w:val="bullet"/>
      <w:lvlText w:val="■"/>
      <w:lvlJc w:val="left"/>
      <w:pPr>
        <w:ind w:left="2160" w:hanging="360"/>
      </w:pPr>
    </w:lvl>
    <w:lvl w:ilvl="3" w:tplc="5EFC62E2">
      <w:start w:val="1"/>
      <w:numFmt w:val="bullet"/>
      <w:lvlText w:val="●"/>
      <w:lvlJc w:val="left"/>
      <w:pPr>
        <w:ind w:left="2880" w:hanging="360"/>
      </w:pPr>
    </w:lvl>
    <w:lvl w:ilvl="4" w:tplc="FDCE63B0">
      <w:start w:val="1"/>
      <w:numFmt w:val="bullet"/>
      <w:lvlText w:val="○"/>
      <w:lvlJc w:val="left"/>
      <w:pPr>
        <w:ind w:left="3600" w:hanging="360"/>
      </w:pPr>
    </w:lvl>
    <w:lvl w:ilvl="5" w:tplc="D7743A86">
      <w:start w:val="1"/>
      <w:numFmt w:val="bullet"/>
      <w:lvlText w:val="■"/>
      <w:lvlJc w:val="left"/>
      <w:pPr>
        <w:ind w:left="4320" w:hanging="360"/>
      </w:pPr>
    </w:lvl>
    <w:lvl w:ilvl="6" w:tplc="A6C0828A">
      <w:start w:val="1"/>
      <w:numFmt w:val="bullet"/>
      <w:lvlText w:val="●"/>
      <w:lvlJc w:val="left"/>
      <w:pPr>
        <w:ind w:left="5040" w:hanging="360"/>
      </w:pPr>
    </w:lvl>
    <w:lvl w:ilvl="7" w:tplc="6082EB76">
      <w:start w:val="1"/>
      <w:numFmt w:val="bullet"/>
      <w:lvlText w:val="●"/>
      <w:lvlJc w:val="left"/>
      <w:pPr>
        <w:ind w:left="5760" w:hanging="360"/>
      </w:pPr>
    </w:lvl>
    <w:lvl w:ilvl="8" w:tplc="8E26B84C">
      <w:start w:val="1"/>
      <w:numFmt w:val="bullet"/>
      <w:lvlText w:val="●"/>
      <w:lvlJc w:val="left"/>
      <w:pPr>
        <w:ind w:left="6480" w:hanging="360"/>
      </w:pPr>
    </w:lvl>
  </w:abstractNum>
  <w:num w:numId="1" w16cid:durableId="218901219">
    <w:abstractNumId w:val="2"/>
    <w:lvlOverride w:ilvl="0">
      <w:startOverride w:val="1"/>
    </w:lvlOverride>
  </w:num>
  <w:num w:numId="2" w16cid:durableId="1291203664">
    <w:abstractNumId w:val="1"/>
    <w:lvlOverride w:ilvl="0">
      <w:startOverride w:val="1"/>
    </w:lvlOverride>
  </w:num>
  <w:num w:numId="3" w16cid:durableId="1088189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696"/>
    <w:rsid w:val="0012229B"/>
    <w:rsid w:val="00543712"/>
    <w:rsid w:val="007D45E1"/>
    <w:rsid w:val="008A07C4"/>
    <w:rsid w:val="00C368B4"/>
    <w:rsid w:val="00D32BF8"/>
    <w:rsid w:val="00DA7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68C342"/>
  <w15:docId w15:val="{01F4491C-202D-AD4F-ADCC-5CC7B90E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unhideWhenUsed/>
    <w:qFormat/>
    <w:pPr>
      <w:spacing w:before="200" w:after="120"/>
      <w:outlineLvl w:val="2"/>
    </w:pPr>
    <w:rPr>
      <w:rFonts w:eastAsia="Arial"/>
      <w:b/>
      <w:bCs/>
      <w:color w:val="404040"/>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5204</Words>
  <Characters>29669</Characters>
  <Application>Microsoft Office Word</Application>
  <DocSecurity>0</DocSecurity>
  <Lines>247</Lines>
  <Paragraphs>69</Paragraphs>
  <ScaleCrop>false</ScaleCrop>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a3374</cp:lastModifiedBy>
  <cp:revision>2</cp:revision>
  <dcterms:created xsi:type="dcterms:W3CDTF">2026-05-12T05:05:00Z</dcterms:created>
  <dcterms:modified xsi:type="dcterms:W3CDTF">2026-05-12T05:05:00Z</dcterms:modified>
</cp:coreProperties>
</file>