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10166"/>
      </w:tblGrid>
      <w:tr>
        <w:tc>
          <w:tcPr>
            <w:tcW w:type="dxa" w:w="10166"/>
            <w:shd w:fill="EAF0E6"/>
            <w:tcBorders>
              <w:top w:val="single" w:sz="4" w:color="EAF0E6"/>
              <w:left w:val="single" w:sz="4" w:color="EAF0E6"/>
              <w:bottom w:val="single" w:sz="4" w:color="EAF0E6"/>
              <w:right w:val="single" w:sz="4" w:color="EAF0E6"/>
            </w:tcBorders>
            <w:tcMar>
              <w:top w:w="45" w:type="dxa"/>
              <w:start w:w="85" w:type="dxa"/>
              <w:bottom w:w="45" w:type="dxa"/>
              <w:end w:w="85" w:type="dxa"/>
            </w:tcMar>
            <w:vAlign w:val="top"/>
          </w:tcPr>
          <w:p>
            <w:pPr>
              <w:spacing w:before="0" w:after="0" w:line="252" w:lineRule="auto"/>
            </w:pPr>
            <w:r>
              <w:rPr>
                <w:rFonts w:ascii="Liberation Sans" w:hAnsi="Liberation Sans"/>
                <w:b/>
                <w:i w:val="0"/>
                <w:color w:val="3F5B3A"/>
                <w:sz w:val="17"/>
              </w:rPr>
              <w:t>DELIVERABLE 2</w:t>
            </w:r>
          </w:p>
        </w:tc>
      </w:tr>
    </w:tbl>
    <w:p>
      <w:pPr>
        <w:spacing w:before="520" w:after="100" w:line="240" w:lineRule="auto"/>
      </w:pPr>
      <w:r>
        <w:rPr>
          <w:rFonts w:ascii="Liberation Serif" w:hAnsi="Liberation Serif"/>
          <w:b/>
          <w:i w:val="0"/>
          <w:color w:val="1F2A24"/>
          <w:sz w:val="56"/>
        </w:rPr>
        <w:t>Audience and Trust Map</w:t>
      </w:r>
    </w:p>
    <w:p>
      <w:pPr>
        <w:spacing w:before="0" w:after="360" w:line="240" w:lineRule="auto"/>
      </w:pPr>
      <w:r>
        <w:rPr>
          <w:rFonts w:ascii="Liberation Sans" w:hAnsi="Liberation Sans"/>
          <w:b/>
          <w:i w:val="0"/>
          <w:color w:val="B2873E"/>
          <w:sz w:val="24"/>
        </w:rPr>
        <w:t>Liberation Ecosystem Website Strategy and Information Architecture Sprint</w:t>
      </w:r>
    </w:p>
    <w:tbl>
      <w:tblPr>
        <w:tblW w:type="auto" w:w="0"/>
        <w:jc w:val="center"/>
        <w:tblLayout w:type="fixed"/>
        <w:tblLook w:firstColumn="1" w:firstRow="1" w:lastColumn="0" w:lastRow="0" w:noHBand="0" w:noVBand="1" w:val="04A0"/>
      </w:tblPr>
      <w:tblGrid>
        <w:gridCol w:w="259"/>
        <w:gridCol w:w="9648"/>
      </w:tblGrid>
      <w:tr>
        <w:tc>
          <w:tcPr>
            <w:tcW w:type="dxa" w:w="5083"/>
            <w:shd w:fill="3F5B3A"/>
            <w:tcBorders>
              <w:top w:val="single" w:sz="4" w:color="F2F5EF"/>
              <w:left w:val="single" w:sz="4" w:color="F2F5EF"/>
              <w:bottom w:val="single" w:sz="4" w:color="F2F5EF"/>
              <w:right w:val="single" w:sz="4" w:color="F2F5EF"/>
            </w:tcBorders>
            <w:vAlign w:val="top"/>
          </w:tcPr>
          <w:p/>
        </w:tc>
        <w:tc>
          <w:tcPr>
            <w:tcW w:type="dxa" w:w="5083"/>
            <w:shd w:fill="F2F5EF"/>
            <w:tcBorders>
              <w:top w:val="single" w:sz="4" w:color="F2F5EF"/>
              <w:left w:val="single" w:sz="4" w:color="F2F5EF"/>
              <w:bottom w:val="single" w:sz="4" w:color="F2F5EF"/>
              <w:right w:val="single" w:sz="4" w:color="F2F5EF"/>
            </w:tcBorders>
            <w:tcMar>
              <w:top w:w="90" w:type="dxa"/>
              <w:start w:w="130" w:type="dxa"/>
              <w:bottom w:w="90" w:type="dxa"/>
              <w:end w:w="130" w:type="dxa"/>
            </w:tcMar>
            <w:vAlign w:val="top"/>
          </w:tcPr>
          <w:p>
            <w:pPr>
              <w:spacing w:before="0" w:after="40" w:line="252" w:lineRule="auto"/>
            </w:pPr>
            <w:r>
              <w:rPr>
                <w:rFonts w:ascii="Liberation Sans" w:hAnsi="Liberation Sans"/>
                <w:b/>
                <w:i w:val="0"/>
                <w:color w:val="3F5B3A"/>
                <w:sz w:val="21"/>
              </w:rPr>
              <w:t>Purpose of this deliverable</w:t>
            </w:r>
          </w:p>
          <w:p>
            <w:pPr>
              <w:spacing w:before="0" w:after="0" w:line="259" w:lineRule="auto"/>
            </w:pPr>
            <w:r>
              <w:rPr>
                <w:rFonts w:ascii="Liberation Sans" w:hAnsi="Liberation Sans"/>
                <w:b w:val="0"/>
                <w:i w:val="0"/>
                <w:color w:val="1F2A24"/>
                <w:sz w:val="19"/>
              </w:rPr>
              <w:t>Identify every intended public audience, what each audience needs, what they may fear, what evidence creates trust, and the clearest next action the website should offer. This document translates the benchmark research into audience-specific requirements; it does not finalize public wording, eligibility rules, services, or website implementation.</w:t>
            </w:r>
          </w:p>
        </w:tc>
      </w:tr>
    </w:tbl>
    <w:tbl>
      <w:tblPr>
        <w:tblW w:type="auto" w:w="0"/>
        <w:jc w:val="center"/>
        <w:tblLayout w:type="fixed"/>
        <w:tblLook w:firstColumn="1" w:firstRow="1" w:lastColumn="0" w:lastRow="0" w:noHBand="0" w:noVBand="1" w:val="04A0"/>
      </w:tblPr>
      <w:tblGrid>
        <w:gridCol w:w="3024"/>
        <w:gridCol w:w="6552"/>
      </w:tblGrid>
      <w:tr>
        <w:trPr>
          <w:cantSplit/>
        </w:trPr>
        <w:tc>
          <w:tcPr>
            <w:tcW w:type="dxa" w:w="3024"/>
            <w:shd w:fill="F2F5EF"/>
            <w:tcBorders>
              <w:top w:val="single" w:sz="4" w:color="D9DED7"/>
              <w:left w:val="single" w:sz="4" w:color="D9DED7"/>
              <w:bottom w:val="single" w:sz="4" w:color="D9DED7"/>
              <w:right w:val="single" w:sz="4" w:color="D9DED7"/>
            </w:tcBorders>
            <w:tcMar>
              <w:top w:w="60" w:type="dxa"/>
              <w:start w:w="90" w:type="dxa"/>
              <w:bottom w:w="60" w:type="dxa"/>
              <w:end w:w="90" w:type="dxa"/>
            </w:tcMar>
            <w:vAlign w:val="top"/>
          </w:tcPr>
          <w:p>
            <w:pPr>
              <w:spacing w:before="0" w:after="0" w:line="252" w:lineRule="auto"/>
            </w:pPr>
            <w:r>
              <w:rPr>
                <w:rFonts w:ascii="Liberation Sans" w:hAnsi="Liberation Sans"/>
                <w:b/>
                <w:i w:val="0"/>
                <w:color w:val="3F5B3A"/>
                <w:sz w:val="17"/>
              </w:rPr>
              <w:t>Project Owner and Executor</w:t>
            </w:r>
          </w:p>
        </w:tc>
        <w:tc>
          <w:tcPr>
            <w:tcW w:type="dxa" w:w="6552"/>
            <w:shd w:fill="FFFFFF"/>
            <w:tcBorders>
              <w:top w:val="single" w:sz="4" w:color="D9DED7"/>
              <w:left w:val="single" w:sz="4" w:color="D9DED7"/>
              <w:bottom w:val="single" w:sz="4" w:color="D9DED7"/>
              <w:right w:val="single" w:sz="4" w:color="D9DED7"/>
            </w:tcBorders>
            <w:tcMar>
              <w:top w:w="60" w:type="dxa"/>
              <w:start w:w="90" w:type="dxa"/>
              <w:bottom w:w="60" w:type="dxa"/>
              <w:end w:w="90" w:type="dxa"/>
            </w:tcMar>
            <w:vAlign w:val="top"/>
          </w:tcPr>
          <w:p>
            <w:pPr>
              <w:spacing w:before="0" w:after="0" w:line="252" w:lineRule="auto"/>
            </w:pPr>
            <w:r>
              <w:rPr>
                <w:rFonts w:ascii="Liberation Sans" w:hAnsi="Liberation Sans"/>
                <w:b w:val="0"/>
                <w:i w:val="0"/>
                <w:color w:val="1F2A24"/>
                <w:sz w:val="18"/>
              </w:rPr>
              <w:t>John Mark</w:t>
            </w:r>
          </w:p>
        </w:tc>
      </w:tr>
      <w:tr>
        <w:trPr>
          <w:cantSplit/>
        </w:trPr>
        <w:tc>
          <w:tcPr>
            <w:tcW w:type="dxa" w:w="3024"/>
            <w:shd w:fill="F2F5EF"/>
            <w:tcBorders>
              <w:top w:val="single" w:sz="4" w:color="D9DED7"/>
              <w:left w:val="single" w:sz="4" w:color="D9DED7"/>
              <w:bottom w:val="single" w:sz="4" w:color="D9DED7"/>
              <w:right w:val="single" w:sz="4" w:color="D9DED7"/>
            </w:tcBorders>
            <w:tcMar>
              <w:top w:w="60" w:type="dxa"/>
              <w:start w:w="90" w:type="dxa"/>
              <w:bottom w:w="60" w:type="dxa"/>
              <w:end w:w="90" w:type="dxa"/>
            </w:tcMar>
            <w:vAlign w:val="top"/>
          </w:tcPr>
          <w:p>
            <w:pPr>
              <w:spacing w:before="0" w:after="0" w:line="252" w:lineRule="auto"/>
            </w:pPr>
            <w:r>
              <w:rPr>
                <w:rFonts w:ascii="Liberation Sans" w:hAnsi="Liberation Sans"/>
                <w:b/>
                <w:i w:val="0"/>
                <w:color w:val="3F5B3A"/>
                <w:sz w:val="17"/>
              </w:rPr>
              <w:t>Product and Operations Manager</w:t>
            </w:r>
          </w:p>
        </w:tc>
        <w:tc>
          <w:tcPr>
            <w:tcW w:type="dxa" w:w="6552"/>
            <w:shd w:fill="FFFFFF"/>
            <w:tcBorders>
              <w:top w:val="single" w:sz="4" w:color="D9DED7"/>
              <w:left w:val="single" w:sz="4" w:color="D9DED7"/>
              <w:bottom w:val="single" w:sz="4" w:color="D9DED7"/>
              <w:right w:val="single" w:sz="4" w:color="D9DED7"/>
            </w:tcBorders>
            <w:tcMar>
              <w:top w:w="60" w:type="dxa"/>
              <w:start w:w="90" w:type="dxa"/>
              <w:bottom w:w="60" w:type="dxa"/>
              <w:end w:w="90" w:type="dxa"/>
            </w:tcMar>
            <w:vAlign w:val="top"/>
          </w:tcPr>
          <w:p>
            <w:pPr>
              <w:spacing w:before="0" w:after="0" w:line="252" w:lineRule="auto"/>
            </w:pPr>
            <w:r>
              <w:rPr>
                <w:rFonts w:ascii="Liberation Sans" w:hAnsi="Liberation Sans"/>
                <w:b w:val="0"/>
                <w:i w:val="0"/>
                <w:color w:val="1F2A24"/>
                <w:sz w:val="18"/>
              </w:rPr>
              <w:t>Destine</w:t>
            </w:r>
          </w:p>
        </w:tc>
      </w:tr>
      <w:tr>
        <w:trPr>
          <w:cantSplit/>
        </w:trPr>
        <w:tc>
          <w:tcPr>
            <w:tcW w:type="dxa" w:w="3024"/>
            <w:shd w:fill="F2F5EF"/>
            <w:tcBorders>
              <w:top w:val="single" w:sz="4" w:color="D9DED7"/>
              <w:left w:val="single" w:sz="4" w:color="D9DED7"/>
              <w:bottom w:val="single" w:sz="4" w:color="D9DED7"/>
              <w:right w:val="single" w:sz="4" w:color="D9DED7"/>
            </w:tcBorders>
            <w:tcMar>
              <w:top w:w="60" w:type="dxa"/>
              <w:start w:w="90" w:type="dxa"/>
              <w:bottom w:w="60" w:type="dxa"/>
              <w:end w:w="90" w:type="dxa"/>
            </w:tcMar>
            <w:vAlign w:val="top"/>
          </w:tcPr>
          <w:p>
            <w:pPr>
              <w:spacing w:before="0" w:after="0" w:line="252" w:lineRule="auto"/>
            </w:pPr>
            <w:r>
              <w:rPr>
                <w:rFonts w:ascii="Liberation Sans" w:hAnsi="Liberation Sans"/>
                <w:b/>
                <w:i w:val="0"/>
                <w:color w:val="3F5B3A"/>
                <w:sz w:val="17"/>
              </w:rPr>
              <w:t>Vision and Final Direction</w:t>
            </w:r>
          </w:p>
        </w:tc>
        <w:tc>
          <w:tcPr>
            <w:tcW w:type="dxa" w:w="6552"/>
            <w:shd w:fill="FFFFFF"/>
            <w:tcBorders>
              <w:top w:val="single" w:sz="4" w:color="D9DED7"/>
              <w:left w:val="single" w:sz="4" w:color="D9DED7"/>
              <w:bottom w:val="single" w:sz="4" w:color="D9DED7"/>
              <w:right w:val="single" w:sz="4" w:color="D9DED7"/>
            </w:tcBorders>
            <w:tcMar>
              <w:top w:w="60" w:type="dxa"/>
              <w:start w:w="90" w:type="dxa"/>
              <w:bottom w:w="60" w:type="dxa"/>
              <w:end w:w="90" w:type="dxa"/>
            </w:tcMar>
            <w:vAlign w:val="top"/>
          </w:tcPr>
          <w:p>
            <w:pPr>
              <w:spacing w:before="0" w:after="0" w:line="252" w:lineRule="auto"/>
            </w:pPr>
            <w:r>
              <w:rPr>
                <w:rFonts w:ascii="Liberation Sans" w:hAnsi="Liberation Sans"/>
                <w:b w:val="0"/>
                <w:i w:val="0"/>
                <w:color w:val="1F2A24"/>
                <w:sz w:val="18"/>
              </w:rPr>
              <w:t>Skyler</w:t>
            </w:r>
          </w:p>
        </w:tc>
      </w:tr>
      <w:tr>
        <w:trPr>
          <w:cantSplit/>
        </w:trPr>
        <w:tc>
          <w:tcPr>
            <w:tcW w:type="dxa" w:w="3024"/>
            <w:shd w:fill="F2F5EF"/>
            <w:tcBorders>
              <w:top w:val="single" w:sz="4" w:color="D9DED7"/>
              <w:left w:val="single" w:sz="4" w:color="D9DED7"/>
              <w:bottom w:val="single" w:sz="4" w:color="D9DED7"/>
              <w:right w:val="single" w:sz="4" w:color="D9DED7"/>
            </w:tcBorders>
            <w:tcMar>
              <w:top w:w="60" w:type="dxa"/>
              <w:start w:w="90" w:type="dxa"/>
              <w:bottom w:w="60" w:type="dxa"/>
              <w:end w:w="90" w:type="dxa"/>
            </w:tcMar>
            <w:vAlign w:val="top"/>
          </w:tcPr>
          <w:p>
            <w:pPr>
              <w:spacing w:before="0" w:after="0" w:line="252" w:lineRule="auto"/>
            </w:pPr>
            <w:r>
              <w:rPr>
                <w:rFonts w:ascii="Liberation Sans" w:hAnsi="Liberation Sans"/>
                <w:b/>
                <w:i w:val="0"/>
                <w:color w:val="3F5B3A"/>
                <w:sz w:val="17"/>
              </w:rPr>
              <w:t>Project Stage</w:t>
            </w:r>
          </w:p>
        </w:tc>
        <w:tc>
          <w:tcPr>
            <w:tcW w:type="dxa" w:w="6552"/>
            <w:shd w:fill="FFFFFF"/>
            <w:tcBorders>
              <w:top w:val="single" w:sz="4" w:color="D9DED7"/>
              <w:left w:val="single" w:sz="4" w:color="D9DED7"/>
              <w:bottom w:val="single" w:sz="4" w:color="D9DED7"/>
              <w:right w:val="single" w:sz="4" w:color="D9DED7"/>
            </w:tcBorders>
            <w:tcMar>
              <w:top w:w="60" w:type="dxa"/>
              <w:start w:w="90" w:type="dxa"/>
              <w:bottom w:w="60" w:type="dxa"/>
              <w:end w:w="90" w:type="dxa"/>
            </w:tcMar>
            <w:vAlign w:val="top"/>
          </w:tcPr>
          <w:p>
            <w:pPr>
              <w:spacing w:before="0" w:after="0" w:line="252" w:lineRule="auto"/>
            </w:pPr>
            <w:r>
              <w:rPr>
                <w:rFonts w:ascii="Liberation Sans" w:hAnsi="Liberation Sans"/>
                <w:b w:val="0"/>
                <w:i w:val="0"/>
                <w:color w:val="1F2A24"/>
                <w:sz w:val="18"/>
              </w:rPr>
              <w:t>Research, structure, and low-fidelity planning</w:t>
            </w:r>
          </w:p>
        </w:tc>
      </w:tr>
      <w:tr>
        <w:trPr>
          <w:cantSplit/>
        </w:trPr>
        <w:tc>
          <w:tcPr>
            <w:tcW w:type="dxa" w:w="3024"/>
            <w:shd w:fill="F2F5EF"/>
            <w:tcBorders>
              <w:top w:val="single" w:sz="4" w:color="D9DED7"/>
              <w:left w:val="single" w:sz="4" w:color="D9DED7"/>
              <w:bottom w:val="single" w:sz="4" w:color="D9DED7"/>
              <w:right w:val="single" w:sz="4" w:color="D9DED7"/>
            </w:tcBorders>
            <w:tcMar>
              <w:top w:w="60" w:type="dxa"/>
              <w:start w:w="90" w:type="dxa"/>
              <w:bottom w:w="60" w:type="dxa"/>
              <w:end w:w="90" w:type="dxa"/>
            </w:tcMar>
            <w:vAlign w:val="top"/>
          </w:tcPr>
          <w:p>
            <w:pPr>
              <w:spacing w:before="0" w:after="0" w:line="252" w:lineRule="auto"/>
            </w:pPr>
            <w:r>
              <w:rPr>
                <w:rFonts w:ascii="Liberation Sans" w:hAnsi="Liberation Sans"/>
                <w:b/>
                <w:i w:val="0"/>
                <w:color w:val="3F5B3A"/>
                <w:sz w:val="17"/>
              </w:rPr>
              <w:t>Review Gate</w:t>
            </w:r>
          </w:p>
        </w:tc>
        <w:tc>
          <w:tcPr>
            <w:tcW w:type="dxa" w:w="6552"/>
            <w:shd w:fill="FFFFFF"/>
            <w:tcBorders>
              <w:top w:val="single" w:sz="4" w:color="D9DED7"/>
              <w:left w:val="single" w:sz="4" w:color="D9DED7"/>
              <w:bottom w:val="single" w:sz="4" w:color="D9DED7"/>
              <w:right w:val="single" w:sz="4" w:color="D9DED7"/>
            </w:tcBorders>
            <w:tcMar>
              <w:top w:w="60" w:type="dxa"/>
              <w:start w:w="90" w:type="dxa"/>
              <w:bottom w:w="60" w:type="dxa"/>
              <w:end w:w="90" w:type="dxa"/>
            </w:tcMar>
            <w:vAlign w:val="top"/>
          </w:tcPr>
          <w:p>
            <w:pPr>
              <w:spacing w:before="0" w:after="0" w:line="252" w:lineRule="auto"/>
            </w:pPr>
            <w:r>
              <w:rPr>
                <w:rFonts w:ascii="Liberation Sans" w:hAnsi="Liberation Sans"/>
                <w:b w:val="0"/>
                <w:i w:val="0"/>
                <w:color w:val="1F2A24"/>
                <w:sz w:val="18"/>
              </w:rPr>
              <w:t>Gate 2 - Ecosystem and audience approval</w:t>
            </w:r>
          </w:p>
        </w:tc>
      </w:tr>
      <w:tr>
        <w:trPr>
          <w:cantSplit/>
        </w:trPr>
        <w:tc>
          <w:tcPr>
            <w:tcW w:type="dxa" w:w="3024"/>
            <w:shd w:fill="F2F5EF"/>
            <w:tcBorders>
              <w:top w:val="single" w:sz="4" w:color="D9DED7"/>
              <w:left w:val="single" w:sz="4" w:color="D9DED7"/>
              <w:bottom w:val="single" w:sz="4" w:color="D9DED7"/>
              <w:right w:val="single" w:sz="4" w:color="D9DED7"/>
            </w:tcBorders>
            <w:tcMar>
              <w:top w:w="60" w:type="dxa"/>
              <w:start w:w="90" w:type="dxa"/>
              <w:bottom w:w="60" w:type="dxa"/>
              <w:end w:w="90" w:type="dxa"/>
            </w:tcMar>
            <w:vAlign w:val="top"/>
          </w:tcPr>
          <w:p>
            <w:pPr>
              <w:spacing w:before="0" w:after="0" w:line="252" w:lineRule="auto"/>
            </w:pPr>
            <w:r>
              <w:rPr>
                <w:rFonts w:ascii="Liberation Sans" w:hAnsi="Liberation Sans"/>
                <w:b/>
                <w:i w:val="0"/>
                <w:color w:val="3F5B3A"/>
                <w:sz w:val="17"/>
              </w:rPr>
              <w:t>Status</w:t>
            </w:r>
          </w:p>
        </w:tc>
        <w:tc>
          <w:tcPr>
            <w:tcW w:type="dxa" w:w="6552"/>
            <w:shd w:fill="FFFFFF"/>
            <w:tcBorders>
              <w:top w:val="single" w:sz="4" w:color="D9DED7"/>
              <w:left w:val="single" w:sz="4" w:color="D9DED7"/>
              <w:bottom w:val="single" w:sz="4" w:color="D9DED7"/>
              <w:right w:val="single" w:sz="4" w:color="D9DED7"/>
            </w:tcBorders>
            <w:tcMar>
              <w:top w:w="60" w:type="dxa"/>
              <w:start w:w="90" w:type="dxa"/>
              <w:bottom w:w="60" w:type="dxa"/>
              <w:end w:w="90" w:type="dxa"/>
            </w:tcMar>
            <w:vAlign w:val="top"/>
          </w:tcPr>
          <w:p>
            <w:pPr>
              <w:spacing w:before="0" w:after="0" w:line="252" w:lineRule="auto"/>
            </w:pPr>
            <w:r>
              <w:rPr>
                <w:rFonts w:ascii="Liberation Sans" w:hAnsi="Liberation Sans"/>
                <w:b w:val="0"/>
                <w:i w:val="0"/>
                <w:color w:val="1F2A24"/>
                <w:sz w:val="18"/>
              </w:rPr>
              <w:t>Working recommendation; requires Destine review and selected Skyler decisions</w:t>
            </w:r>
          </w:p>
        </w:tc>
      </w:tr>
      <w:tr>
        <w:trPr>
          <w:cantSplit/>
        </w:trPr>
        <w:tc>
          <w:tcPr>
            <w:tcW w:type="dxa" w:w="3024"/>
            <w:shd w:fill="F2F5EF"/>
            <w:tcBorders>
              <w:top w:val="single" w:sz="4" w:color="D9DED7"/>
              <w:left w:val="single" w:sz="4" w:color="D9DED7"/>
              <w:bottom w:val="single" w:sz="4" w:color="D9DED7"/>
              <w:right w:val="single" w:sz="4" w:color="D9DED7"/>
            </w:tcBorders>
            <w:tcMar>
              <w:top w:w="60" w:type="dxa"/>
              <w:start w:w="90" w:type="dxa"/>
              <w:bottom w:w="60" w:type="dxa"/>
              <w:end w:w="90" w:type="dxa"/>
            </w:tcMar>
            <w:vAlign w:val="top"/>
          </w:tcPr>
          <w:p>
            <w:pPr>
              <w:spacing w:before="0" w:after="0" w:line="252" w:lineRule="auto"/>
            </w:pPr>
            <w:r>
              <w:rPr>
                <w:rFonts w:ascii="Liberation Sans" w:hAnsi="Liberation Sans"/>
                <w:b/>
                <w:i w:val="0"/>
                <w:color w:val="3F5B3A"/>
                <w:sz w:val="17"/>
              </w:rPr>
              <w:t>Date</w:t>
            </w:r>
          </w:p>
        </w:tc>
        <w:tc>
          <w:tcPr>
            <w:tcW w:type="dxa" w:w="6552"/>
            <w:shd w:fill="FFFFFF"/>
            <w:tcBorders>
              <w:top w:val="single" w:sz="4" w:color="D9DED7"/>
              <w:left w:val="single" w:sz="4" w:color="D9DED7"/>
              <w:bottom w:val="single" w:sz="4" w:color="D9DED7"/>
              <w:right w:val="single" w:sz="4" w:color="D9DED7"/>
            </w:tcBorders>
            <w:tcMar>
              <w:top w:w="60" w:type="dxa"/>
              <w:start w:w="90" w:type="dxa"/>
              <w:bottom w:w="60" w:type="dxa"/>
              <w:end w:w="90" w:type="dxa"/>
            </w:tcMar>
            <w:vAlign w:val="top"/>
          </w:tcPr>
          <w:p>
            <w:pPr>
              <w:spacing w:before="0" w:after="0" w:line="252" w:lineRule="auto"/>
            </w:pPr>
            <w:r>
              <w:rPr>
                <w:rFonts w:ascii="Liberation Sans" w:hAnsi="Liberation Sans"/>
                <w:b w:val="0"/>
                <w:i w:val="0"/>
                <w:color w:val="1F2A24"/>
                <w:sz w:val="18"/>
              </w:rPr>
              <w:t>3 August 2026</w:t>
            </w:r>
          </w:p>
        </w:tc>
      </w:tr>
    </w:tbl>
    <w:p>
      <w:pPr>
        <w:spacing w:before="320" w:after="0" w:line="252" w:lineRule="auto"/>
      </w:pPr>
      <w:r>
        <w:rPr>
          <w:rFonts w:ascii="Liberation Sans" w:hAnsi="Liberation Sans"/>
          <w:b/>
          <w:i w:val="0"/>
          <w:color w:val="B2873E"/>
          <w:sz w:val="17"/>
        </w:rPr>
        <w:t xml:space="preserve">Research basis: </w:t>
      </w:r>
      <w:r>
        <w:rPr>
          <w:rFonts w:ascii="Liberation Sans" w:hAnsi="Liberation Sans"/>
          <w:b w:val="0"/>
          <w:i w:val="0"/>
          <w:color w:val="6E766F"/>
          <w:sz w:val="17"/>
        </w:rPr>
        <w:t>Deliverable 1 benchmark research and the approved project brief. Benchmark patterns are treated as evidence and design options, not automatic decisions.</w:t>
      </w:r>
    </w:p>
    <w:p>
      <w:r>
        <w:br w:type="page"/>
      </w:r>
    </w:p>
    <w:p>
      <w:pPr>
        <w:keepNext/>
        <w:spacing w:before="160" w:after="80" w:line="240" w:lineRule="auto"/>
      </w:pPr>
      <w:r>
        <w:rPr>
          <w:rFonts w:ascii="Liberation Serif" w:hAnsi="Liberation Serif"/>
          <w:b/>
          <w:i w:val="0"/>
          <w:color w:val="B2873E"/>
          <w:sz w:val="32"/>
        </w:rPr>
        <w:t xml:space="preserve">1. </w:t>
      </w:r>
      <w:r>
        <w:rPr>
          <w:rFonts w:ascii="Liberation Serif" w:hAnsi="Liberation Serif"/>
          <w:b/>
          <w:i w:val="0"/>
          <w:color w:val="1F2A24"/>
          <w:sz w:val="32"/>
        </w:rPr>
        <w:t>Executive Summary</w:t>
      </w:r>
    </w:p>
    <w:p>
      <w:pPr>
        <w:spacing w:before="0" w:after="160" w:line="259" w:lineRule="auto"/>
      </w:pPr>
      <w:r>
        <w:rPr>
          <w:rFonts w:ascii="Liberation Sans" w:hAnsi="Liberation Sans"/>
          <w:b w:val="0"/>
          <w:i/>
          <w:color w:val="6E766F"/>
          <w:sz w:val="19"/>
        </w:rPr>
        <w:t>The five public audiences and the trust logic that should guide the website.</w:t>
      </w:r>
    </w:p>
    <w:p>
      <w:pPr>
        <w:spacing w:before="0" w:after="100" w:line="264" w:lineRule="auto"/>
      </w:pPr>
      <w:r>
        <w:rPr>
          <w:rFonts w:ascii="Liberation Sans" w:hAnsi="Liberation Sans"/>
          <w:b w:val="0"/>
          <w:i w:val="0"/>
          <w:color w:val="1F2A24"/>
          <w:sz w:val="19"/>
        </w:rPr>
        <w:t>The website should function as one trusted public front door while giving each visitor a clear path based on what brings them to the ecosystem. The five intended public audiences are: organizations seeking support, potential builders, potential Liberation Network participants, strategic partners or resource providers, and general learners. Each audience requires different evidence, different safeguards, and a different level of commitment before taking the next step.</w:t>
      </w:r>
    </w:p>
    <w:tbl>
      <w:tblPr>
        <w:tblW w:type="auto" w:w="0"/>
        <w:jc w:val="center"/>
        <w:tblLayout w:type="fixed"/>
        <w:tblLook w:firstColumn="1" w:firstRow="1" w:lastColumn="0" w:lastRow="0" w:noHBand="0" w:noVBand="1" w:val="04A0"/>
      </w:tblPr>
      <w:tblGrid>
        <w:gridCol w:w="259"/>
        <w:gridCol w:w="9648"/>
      </w:tblGrid>
      <w:tr>
        <w:tc>
          <w:tcPr>
            <w:tcW w:type="dxa" w:w="5083"/>
            <w:shd w:fill="44627C"/>
            <w:tcBorders>
              <w:top w:val="single" w:sz="4" w:color="EAF0F6"/>
              <w:left w:val="single" w:sz="4" w:color="EAF0F6"/>
              <w:bottom w:val="single" w:sz="4" w:color="EAF0F6"/>
              <w:right w:val="single" w:sz="4" w:color="EAF0F6"/>
            </w:tcBorders>
            <w:vAlign w:val="top"/>
          </w:tcPr>
          <w:p/>
        </w:tc>
        <w:tc>
          <w:tcPr>
            <w:tcW w:type="dxa" w:w="5083"/>
            <w:shd w:fill="EAF0F6"/>
            <w:tcBorders>
              <w:top w:val="single" w:sz="4" w:color="EAF0F6"/>
              <w:left w:val="single" w:sz="4" w:color="EAF0F6"/>
              <w:bottom w:val="single" w:sz="4" w:color="EAF0F6"/>
              <w:right w:val="single" w:sz="4" w:color="EAF0F6"/>
            </w:tcBorders>
            <w:tcMar>
              <w:top w:w="90" w:type="dxa"/>
              <w:start w:w="130" w:type="dxa"/>
              <w:bottom w:w="90" w:type="dxa"/>
              <w:end w:w="130" w:type="dxa"/>
            </w:tcMar>
            <w:vAlign w:val="top"/>
          </w:tcPr>
          <w:p>
            <w:pPr>
              <w:spacing w:before="0" w:after="40" w:line="252" w:lineRule="auto"/>
            </w:pPr>
            <w:r>
              <w:rPr>
                <w:rFonts w:ascii="Liberation Sans" w:hAnsi="Liberation Sans"/>
                <w:b/>
                <w:i w:val="0"/>
                <w:color w:val="44627C"/>
                <w:sz w:val="21"/>
              </w:rPr>
              <w:t>Core routing recommendation</w:t>
            </w:r>
          </w:p>
          <w:p>
            <w:pPr>
              <w:spacing w:before="0" w:after="0" w:line="259" w:lineRule="auto"/>
            </w:pPr>
            <w:r>
              <w:rPr>
                <w:rFonts w:ascii="Liberation Sans" w:hAnsi="Liberation Sans"/>
                <w:b w:val="0"/>
                <w:i w:val="0"/>
                <w:color w:val="1F2A24"/>
                <w:sz w:val="19"/>
              </w:rPr>
              <w:t>Ask visitors what brings them to the site before asking them to understand the complete organizational structure. The Start Here page should route each person to a short, relevant pathway rather than one large application form.</w:t>
            </w:r>
          </w:p>
        </w:tc>
      </w:tr>
    </w:tbl>
    <w:p>
      <w:pPr>
        <w:keepNext/>
        <w:spacing w:before="140" w:after="60" w:line="240" w:lineRule="auto"/>
      </w:pPr>
      <w:r>
        <w:rPr>
          <w:rFonts w:ascii="Liberation Serif" w:hAnsi="Liberation Serif"/>
          <w:b/>
          <w:i w:val="0"/>
          <w:color w:val="3F5B3A"/>
          <w:sz w:val="26"/>
        </w:rPr>
        <w:t>Cross-audience principles</w:t>
      </w:r>
    </w:p>
    <w:p>
      <w:pPr>
        <w:pStyle w:val="ListBullet"/>
        <w:spacing w:before="0" w:after="40" w:line="259" w:lineRule="auto"/>
      </w:pPr>
      <w:r>
        <w:rPr>
          <w:rFonts w:ascii="Liberation Sans" w:hAnsi="Liberation Sans"/>
          <w:b w:val="0"/>
          <w:i w:val="0"/>
          <w:color w:val="1F2A24"/>
          <w:sz w:val="19"/>
        </w:rPr>
        <w:t>Use one clear next action for each audience; do not ask everyone to join the same community or complete the same form.</w:t>
      </w:r>
    </w:p>
    <w:p>
      <w:pPr>
        <w:pStyle w:val="ListBullet"/>
        <w:spacing w:before="0" w:after="40" w:line="259" w:lineRule="auto"/>
      </w:pPr>
      <w:r>
        <w:rPr>
          <w:rFonts w:ascii="Liberation Sans" w:hAnsi="Liberation Sans"/>
          <w:b w:val="0"/>
          <w:i w:val="0"/>
          <w:color w:val="1F2A24"/>
          <w:sz w:val="19"/>
        </w:rPr>
        <w:t>Show real work, process, safeguards, and limitations before making broad philosophical or impact claims.</w:t>
      </w:r>
    </w:p>
    <w:p>
      <w:pPr>
        <w:pStyle w:val="ListBullet"/>
        <w:spacing w:before="0" w:after="40" w:line="259" w:lineRule="auto"/>
      </w:pPr>
      <w:r>
        <w:rPr>
          <w:rFonts w:ascii="Liberation Sans" w:hAnsi="Liberation Sans"/>
          <w:b w:val="0"/>
          <w:i w:val="0"/>
          <w:color w:val="1F2A24"/>
          <w:sz w:val="19"/>
        </w:rPr>
        <w:t>Match the amount of preparation and review to the sensitivity or resource intensity of the opportunity.</w:t>
      </w:r>
    </w:p>
    <w:p>
      <w:pPr>
        <w:pStyle w:val="ListBullet"/>
        <w:spacing w:before="0" w:after="40" w:line="259" w:lineRule="auto"/>
      </w:pPr>
      <w:r>
        <w:rPr>
          <w:rFonts w:ascii="Liberation Sans" w:hAnsi="Liberation Sans"/>
          <w:b w:val="0"/>
          <w:i w:val="0"/>
          <w:color w:val="1F2A24"/>
          <w:sz w:val="19"/>
        </w:rPr>
        <w:t>Place privacy, compensation, conduct, consent, and no-guarantee information close to the relevant form or opportunity.</w:t>
      </w:r>
    </w:p>
    <w:p>
      <w:pPr>
        <w:pStyle w:val="ListBullet"/>
        <w:spacing w:before="0" w:after="40" w:line="259" w:lineRule="auto"/>
      </w:pPr>
      <w:r>
        <w:rPr>
          <w:rFonts w:ascii="Liberation Sans" w:hAnsi="Liberation Sans"/>
          <w:b w:val="0"/>
          <w:i w:val="0"/>
          <w:color w:val="1F2A24"/>
          <w:sz w:val="19"/>
        </w:rPr>
        <w:t>Separate community participation, professional contribution, organizational services, and strategic partnerships so none is mistaken for another.</w:t>
      </w:r>
    </w:p>
    <w:p>
      <w:pPr>
        <w:pStyle w:val="ListBullet"/>
        <w:spacing w:before="0" w:after="40" w:line="259" w:lineRule="auto"/>
      </w:pPr>
      <w:r>
        <w:rPr>
          <w:rFonts w:ascii="Liberation Sans" w:hAnsi="Liberation Sans"/>
          <w:b w:val="0"/>
          <w:i w:val="0"/>
          <w:color w:val="1F2A24"/>
          <w:sz w:val="19"/>
        </w:rPr>
        <w:t>Allow public learning without pressure to join, apply, purchase, donate, or disclose sensitive information.</w:t>
      </w:r>
    </w:p>
    <w:p>
      <w:pPr>
        <w:keepNext/>
        <w:spacing w:before="140" w:after="60" w:line="240" w:lineRule="auto"/>
      </w:pPr>
      <w:r>
        <w:rPr>
          <w:rFonts w:ascii="Liberation Serif" w:hAnsi="Liberation Serif"/>
          <w:b/>
          <w:i w:val="0"/>
          <w:color w:val="3F5B3A"/>
          <w:sz w:val="26"/>
        </w:rPr>
        <w:t>Deliverable status labels</w:t>
      </w:r>
    </w:p>
    <w:tbl>
      <w:tblPr>
        <w:tblW w:type="auto" w:w="0"/>
        <w:jc w:val="center"/>
        <w:tblLayout w:type="fixed"/>
        <w:tblLook w:firstColumn="1" w:firstRow="1" w:lastColumn="0" w:lastRow="0" w:noHBand="0" w:noVBand="1" w:val="04A0"/>
      </w:tblPr>
      <w:tblGrid>
        <w:gridCol w:w="2952"/>
        <w:gridCol w:w="6696"/>
      </w:tblGrid>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Confirmed in the brief</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The five audience pathways, the need for visible safeguards, the unified parent website, and the requirement that each audience has one clear action.</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Research-informed recommendation</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The specific trust signals, fears, sequencing, and content requirements proposed in this document.</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Needs Destine approval</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Service boundaries, free or paid work boundaries, reviewer ownership, response expectations, form fields, and builder project rules.</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Needs Skyler approval</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Public names, philosophy, eligibility language, network selectivity, public relationship claims, and sensitive values language.</w:t>
            </w:r>
          </w:p>
        </w:tc>
      </w:tr>
    </w:tbl>
    <w:p>
      <w:pPr>
        <w:sectPr>
          <w:footerReference w:type="default" r:id="rId9"/>
          <w:pgSz w:w="12240" w:h="15840"/>
          <w:pgMar w:top="936" w:right="1037" w:bottom="936" w:left="1037" w:header="720" w:footer="720" w:gutter="0"/>
          <w:cols w:space="720"/>
          <w:docGrid w:linePitch="360"/>
        </w:sectPr>
      </w:pPr>
    </w:p>
    <w:p>
      <w:pPr>
        <w:keepNext/>
        <w:spacing w:before="160" w:after="80" w:line="240" w:lineRule="auto"/>
      </w:pPr>
      <w:r>
        <w:rPr>
          <w:rFonts w:ascii="Liberation Serif" w:hAnsi="Liberation Serif"/>
          <w:b/>
          <w:i w:val="0"/>
          <w:color w:val="B2873E"/>
          <w:sz w:val="32"/>
        </w:rPr>
        <w:t xml:space="preserve">2. </w:t>
      </w:r>
      <w:r>
        <w:rPr>
          <w:rFonts w:ascii="Liberation Serif" w:hAnsi="Liberation Serif"/>
          <w:b/>
          <w:i w:val="0"/>
          <w:color w:val="1F2A24"/>
          <w:sz w:val="32"/>
        </w:rPr>
        <w:t>Audience and Trust Map</w:t>
      </w:r>
    </w:p>
    <w:p>
      <w:pPr>
        <w:spacing w:before="0" w:after="160" w:line="259" w:lineRule="auto"/>
      </w:pPr>
      <w:r>
        <w:rPr>
          <w:rFonts w:ascii="Liberation Sans" w:hAnsi="Liberation Sans"/>
          <w:b w:val="0"/>
          <w:i/>
          <w:color w:val="6E766F"/>
          <w:sz w:val="19"/>
        </w:rPr>
        <w:t>Central overview: audience, need, fear, evidence, action, and pathway.</w:t>
      </w:r>
    </w:p>
    <w:tbl>
      <w:tblPr>
        <w:tblW w:type="auto" w:w="0"/>
        <w:jc w:val="center"/>
        <w:tblLayout w:type="fixed"/>
        <w:tblLook w:firstColumn="1" w:firstRow="1" w:lastColumn="0" w:lastRow="0" w:noHBand="0" w:noVBand="1" w:val="04A0"/>
      </w:tblPr>
      <w:tblGrid>
        <w:gridCol w:w="2232"/>
        <w:gridCol w:w="2952"/>
        <w:gridCol w:w="3168"/>
        <w:gridCol w:w="3528"/>
        <w:gridCol w:w="2520"/>
        <w:gridCol w:w="2808"/>
      </w:tblGrid>
      <w:tr>
        <w:trPr>
          <w:tblHeader w:val="true"/>
        </w:trPr>
        <w:tc>
          <w:tcPr>
            <w:tcW w:type="dxa" w:w="2424"/>
            <w:shd w:fill="3F5B3A"/>
            <w:tcMar>
              <w:top w:w="60" w:type="dxa"/>
              <w:start w:w="65" w:type="dxa"/>
              <w:bottom w:w="60" w:type="dxa"/>
              <w:end w:w="65" w:type="dxa"/>
            </w:tcMar>
            <w:tcBorders>
              <w:top w:val="single" w:sz="4" w:color="3F5B3A"/>
              <w:left w:val="single" w:sz="4" w:color="3F5B3A"/>
              <w:bottom w:val="single" w:sz="4" w:color="3F5B3A"/>
              <w:right w:val="single" w:sz="4" w:color="3F5B3A"/>
            </w:tcBorders>
            <w:vAlign w:val="top"/>
          </w:tcPr>
          <w:p>
            <w:pPr>
              <w:spacing w:before="0" w:after="0" w:line="240" w:lineRule="auto"/>
            </w:pPr>
            <w:r>
              <w:rPr>
                <w:rFonts w:ascii="Liberation Sans" w:hAnsi="Liberation Sans"/>
                <w:b/>
                <w:i w:val="0"/>
                <w:color w:val="FFFFFF"/>
                <w:sz w:val="16"/>
              </w:rPr>
              <w:t>Audience</w:t>
            </w:r>
          </w:p>
        </w:tc>
        <w:tc>
          <w:tcPr>
            <w:tcW w:type="dxa" w:w="2424"/>
            <w:shd w:fill="3F5B3A"/>
            <w:tcMar>
              <w:top w:w="60" w:type="dxa"/>
              <w:start w:w="65" w:type="dxa"/>
              <w:bottom w:w="60" w:type="dxa"/>
              <w:end w:w="65" w:type="dxa"/>
            </w:tcMar>
            <w:tcBorders>
              <w:top w:val="single" w:sz="4" w:color="3F5B3A"/>
              <w:left w:val="single" w:sz="4" w:color="3F5B3A"/>
              <w:bottom w:val="single" w:sz="4" w:color="3F5B3A"/>
              <w:right w:val="single" w:sz="4" w:color="3F5B3A"/>
            </w:tcBorders>
            <w:vAlign w:val="top"/>
          </w:tcPr>
          <w:p>
            <w:pPr>
              <w:spacing w:before="0" w:after="0" w:line="240" w:lineRule="auto"/>
            </w:pPr>
            <w:r>
              <w:rPr>
                <w:rFonts w:ascii="Liberation Sans" w:hAnsi="Liberation Sans"/>
                <w:b/>
                <w:i w:val="0"/>
                <w:color w:val="FFFFFF"/>
                <w:sz w:val="16"/>
              </w:rPr>
              <w:t>What they need</w:t>
            </w:r>
          </w:p>
        </w:tc>
        <w:tc>
          <w:tcPr>
            <w:tcW w:type="dxa" w:w="2424"/>
            <w:shd w:fill="3F5B3A"/>
            <w:tcMar>
              <w:top w:w="60" w:type="dxa"/>
              <w:start w:w="65" w:type="dxa"/>
              <w:bottom w:w="60" w:type="dxa"/>
              <w:end w:w="65" w:type="dxa"/>
            </w:tcMar>
            <w:tcBorders>
              <w:top w:val="single" w:sz="4" w:color="3F5B3A"/>
              <w:left w:val="single" w:sz="4" w:color="3F5B3A"/>
              <w:bottom w:val="single" w:sz="4" w:color="3F5B3A"/>
              <w:right w:val="single" w:sz="4" w:color="3F5B3A"/>
            </w:tcBorders>
            <w:vAlign w:val="top"/>
          </w:tcPr>
          <w:p>
            <w:pPr>
              <w:spacing w:before="0" w:after="0" w:line="240" w:lineRule="auto"/>
            </w:pPr>
            <w:r>
              <w:rPr>
                <w:rFonts w:ascii="Liberation Sans" w:hAnsi="Liberation Sans"/>
                <w:b/>
                <w:i w:val="0"/>
                <w:color w:val="FFFFFF"/>
                <w:sz w:val="16"/>
              </w:rPr>
              <w:t>What they may fear</w:t>
            </w:r>
          </w:p>
        </w:tc>
        <w:tc>
          <w:tcPr>
            <w:tcW w:type="dxa" w:w="2424"/>
            <w:shd w:fill="3F5B3A"/>
            <w:tcMar>
              <w:top w:w="60" w:type="dxa"/>
              <w:start w:w="65" w:type="dxa"/>
              <w:bottom w:w="60" w:type="dxa"/>
              <w:end w:w="65" w:type="dxa"/>
            </w:tcMar>
            <w:tcBorders>
              <w:top w:val="single" w:sz="4" w:color="3F5B3A"/>
              <w:left w:val="single" w:sz="4" w:color="3F5B3A"/>
              <w:bottom w:val="single" w:sz="4" w:color="3F5B3A"/>
              <w:right w:val="single" w:sz="4" w:color="3F5B3A"/>
            </w:tcBorders>
            <w:vAlign w:val="top"/>
          </w:tcPr>
          <w:p>
            <w:pPr>
              <w:spacing w:before="0" w:after="0" w:line="240" w:lineRule="auto"/>
            </w:pPr>
            <w:r>
              <w:rPr>
                <w:rFonts w:ascii="Liberation Sans" w:hAnsi="Liberation Sans"/>
                <w:b/>
                <w:i w:val="0"/>
                <w:color w:val="FFFFFF"/>
                <w:sz w:val="16"/>
              </w:rPr>
              <w:t>Evidence that creates trust</w:t>
            </w:r>
          </w:p>
        </w:tc>
        <w:tc>
          <w:tcPr>
            <w:tcW w:type="dxa" w:w="2424"/>
            <w:shd w:fill="3F5B3A"/>
            <w:tcMar>
              <w:top w:w="60" w:type="dxa"/>
              <w:start w:w="65" w:type="dxa"/>
              <w:bottom w:w="60" w:type="dxa"/>
              <w:end w:w="65" w:type="dxa"/>
            </w:tcMar>
            <w:tcBorders>
              <w:top w:val="single" w:sz="4" w:color="3F5B3A"/>
              <w:left w:val="single" w:sz="4" w:color="3F5B3A"/>
              <w:bottom w:val="single" w:sz="4" w:color="3F5B3A"/>
              <w:right w:val="single" w:sz="4" w:color="3F5B3A"/>
            </w:tcBorders>
            <w:vAlign w:val="top"/>
          </w:tcPr>
          <w:p>
            <w:pPr>
              <w:spacing w:before="0" w:after="0" w:line="240" w:lineRule="auto"/>
            </w:pPr>
            <w:r>
              <w:rPr>
                <w:rFonts w:ascii="Liberation Sans" w:hAnsi="Liberation Sans"/>
                <w:b/>
                <w:i w:val="0"/>
                <w:color w:val="FFFFFF"/>
                <w:sz w:val="16"/>
              </w:rPr>
              <w:t>Primary action</w:t>
            </w:r>
          </w:p>
        </w:tc>
        <w:tc>
          <w:tcPr>
            <w:tcW w:type="dxa" w:w="2424"/>
            <w:shd w:fill="3F5B3A"/>
            <w:tcMar>
              <w:top w:w="60" w:type="dxa"/>
              <w:start w:w="65" w:type="dxa"/>
              <w:bottom w:w="60" w:type="dxa"/>
              <w:end w:w="65" w:type="dxa"/>
            </w:tcMar>
            <w:tcBorders>
              <w:top w:val="single" w:sz="4" w:color="3F5B3A"/>
              <w:left w:val="single" w:sz="4" w:color="3F5B3A"/>
              <w:bottom w:val="single" w:sz="4" w:color="3F5B3A"/>
              <w:right w:val="single" w:sz="4" w:color="3F5B3A"/>
            </w:tcBorders>
            <w:vAlign w:val="top"/>
          </w:tcPr>
          <w:p>
            <w:pPr>
              <w:spacing w:before="0" w:after="0" w:line="240" w:lineRule="auto"/>
            </w:pPr>
            <w:r>
              <w:rPr>
                <w:rFonts w:ascii="Liberation Sans" w:hAnsi="Liberation Sans"/>
                <w:b/>
                <w:i w:val="0"/>
                <w:color w:val="FFFFFF"/>
                <w:sz w:val="16"/>
              </w:rPr>
              <w:t>Recommended pathway</w:t>
            </w:r>
          </w:p>
        </w:tc>
      </w:tr>
      <w:tr>
        <w:trPr>
          <w:cantSplit/>
        </w:trPr>
        <w:tc>
          <w:tcPr>
            <w:tcW w:type="dxa" w:w="2232"/>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i w:val="0"/>
                <w:color w:val="3F5B3A"/>
                <w:sz w:val="15"/>
              </w:rPr>
              <w:t>Organizations seeking support</w:t>
            </w:r>
          </w:p>
        </w:tc>
        <w:tc>
          <w:tcPr>
            <w:tcW w:type="dxa" w:w="2952"/>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A clear explanation of current capabilities, process, scope, privacy, expected response, and realistic outcomes.</w:t>
            </w:r>
          </w:p>
        </w:tc>
        <w:tc>
          <w:tcPr>
            <w:tcW w:type="dxa" w:w="3168"/>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Vague promises; weak delivery capacity; sensitive information mishandled; hidden costs or open-ended free work; reputational risk.</w:t>
            </w:r>
          </w:p>
        </w:tc>
        <w:tc>
          <w:tcPr>
            <w:tcW w:type="dxa" w:w="3528"/>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Real approved work; service boundaries; named process owner; ethical collaboration model; privacy warning; scope and no-guarantee statements.</w:t>
            </w:r>
          </w:p>
        </w:tc>
        <w:tc>
          <w:tcPr>
            <w:tcW w:type="dxa" w:w="2520"/>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Submit a challenge or request an introductory conversation.</w:t>
            </w:r>
          </w:p>
        </w:tc>
        <w:tc>
          <w:tcPr>
            <w:tcW w:type="dxa" w:w="2808"/>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Start Here → For Organizations → Challenge / Conversation</w:t>
            </w:r>
          </w:p>
        </w:tc>
      </w:tr>
      <w:tr>
        <w:trPr>
          <w:cantSplit/>
        </w:trPr>
        <w:tc>
          <w:tcPr>
            <w:tcW w:type="dxa" w:w="2232"/>
            <w:shd w:fill="F2F5E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i w:val="0"/>
                <w:color w:val="3F5B3A"/>
                <w:sz w:val="15"/>
              </w:rPr>
              <w:t>Potential builders</w:t>
            </w:r>
          </w:p>
        </w:tc>
        <w:tc>
          <w:tcPr>
            <w:tcW w:type="dxa" w:w="2952"/>
            <w:shd w:fill="F2F5E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A fair, understandable contribution pathway with clear scope, compensation, expectations, supervision, ownership, and feedback.</w:t>
            </w:r>
          </w:p>
        </w:tc>
        <w:tc>
          <w:tcPr>
            <w:tcW w:type="dxa" w:w="3168"/>
            <w:shd w:fill="F2F5E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Unpaid speculative work; extractive outsourcing; unclear employment promises; scope creep; unsafe clients; work used without consent.</w:t>
            </w:r>
          </w:p>
        </w:tc>
        <w:tc>
          <w:tcPr>
            <w:tcW w:type="dxa" w:w="3528"/>
            <w:shd w:fill="F2F5E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Ethical Work page; written project terms; compensation before work; named reviewer; feedback process; consent and safe-exit rules.</w:t>
            </w:r>
          </w:p>
        </w:tc>
        <w:tc>
          <w:tcPr>
            <w:tcW w:type="dxa" w:w="2520"/>
            <w:shd w:fill="F2F5E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Review expectations and submit an expression of interest.</w:t>
            </w:r>
          </w:p>
        </w:tc>
        <w:tc>
          <w:tcPr>
            <w:tcW w:type="dxa" w:w="2808"/>
            <w:shd w:fill="F2F5E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Start Here → For Builders → Ethical Work → Interest</w:t>
            </w:r>
          </w:p>
        </w:tc>
      </w:tr>
      <w:tr>
        <w:trPr>
          <w:cantSplit/>
        </w:trPr>
        <w:tc>
          <w:tcPr>
            <w:tcW w:type="dxa" w:w="2232"/>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i w:val="0"/>
                <w:color w:val="3F5B3A"/>
                <w:sz w:val="15"/>
              </w:rPr>
              <w:t>Potential Liberation Network participants</w:t>
            </w:r>
          </w:p>
        </w:tc>
        <w:tc>
          <w:tcPr>
            <w:tcW w:type="dxa" w:w="2952"/>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A clear vision, participation layers, what may be contributed or received, one-on-one purpose, voluntary exchange, and relationship to DoGoodie.</w:t>
            </w:r>
          </w:p>
        </w:tc>
        <w:tc>
          <w:tcPr>
            <w:tcW w:type="dxa" w:w="3168"/>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Ideological purity testing; transactional networking; privacy loss; pressure to spend, refer, or work; unbounded requests; exclusionary language.</w:t>
            </w:r>
          </w:p>
        </w:tc>
        <w:tc>
          <w:tcPr>
            <w:tcW w:type="dxa" w:w="3528"/>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Participation layers; community standards; consent and privacy; bounded one-on-one process; voluntary exchange; explicit non-guarantees.</w:t>
            </w:r>
          </w:p>
        </w:tc>
        <w:tc>
          <w:tcPr>
            <w:tcW w:type="dxa" w:w="2520"/>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Explore the network and express interest or accept a referral.</w:t>
            </w:r>
          </w:p>
        </w:tc>
        <w:tc>
          <w:tcPr>
            <w:tcW w:type="dxa" w:w="2808"/>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Start Here → Liberation → How It Works → Interest / Conversation</w:t>
            </w:r>
          </w:p>
        </w:tc>
      </w:tr>
      <w:tr>
        <w:trPr>
          <w:cantSplit/>
        </w:trPr>
        <w:tc>
          <w:tcPr>
            <w:tcW w:type="dxa" w:w="2232"/>
            <w:shd w:fill="F2F5E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i w:val="0"/>
                <w:color w:val="3F5B3A"/>
                <w:sz w:val="15"/>
              </w:rPr>
              <w:t>Strategic partners and resource providers</w:t>
            </w:r>
          </w:p>
        </w:tc>
        <w:tc>
          <w:tcPr>
            <w:tcW w:type="dxa" w:w="2952"/>
            <w:shd w:fill="F2F5E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Clear partnership types, mutual value, standards, decision ownership, public-display rules, and realistic collaboration boundaries.</w:t>
            </w:r>
          </w:p>
        </w:tc>
        <w:tc>
          <w:tcPr>
            <w:tcW w:type="dxa" w:w="3168"/>
            <w:shd w:fill="F2F5E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Reputational risk; vague asks; logo or name misuse; hidden commitments; weak governance; premature endorsement or exaggerated claims.</w:t>
            </w:r>
          </w:p>
        </w:tc>
        <w:tc>
          <w:tcPr>
            <w:tcW w:type="dxa" w:w="3528"/>
            <w:shd w:fill="F2F5E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Approved case studies; named responsibilities; governance and methodology; partnership standards; consent before public listing; written scope.</w:t>
            </w:r>
          </w:p>
        </w:tc>
        <w:tc>
          <w:tcPr>
            <w:tcW w:type="dxa" w:w="2520"/>
            <w:shd w:fill="F2F5E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Propose a resource, service, project, or collaboration.</w:t>
            </w:r>
          </w:p>
        </w:tc>
        <w:tc>
          <w:tcPr>
            <w:tcW w:type="dxa" w:w="2808"/>
            <w:shd w:fill="F2F5E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Start Here → Work &amp; Partners → Partnership Inquiry</w:t>
            </w:r>
          </w:p>
        </w:tc>
      </w:tr>
      <w:tr>
        <w:trPr>
          <w:cantSplit/>
        </w:trPr>
        <w:tc>
          <w:tcPr>
            <w:tcW w:type="dxa" w:w="2232"/>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i w:val="0"/>
                <w:color w:val="3F5B3A"/>
                <w:sz w:val="15"/>
              </w:rPr>
              <w:t>General learners</w:t>
            </w:r>
          </w:p>
        </w:tc>
        <w:tc>
          <w:tcPr>
            <w:tcW w:type="dxa" w:w="2952"/>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Useful public resources, plain-language orientation, a no-pressure learning path, and an easy way to choose a deeper pathway later.</w:t>
            </w:r>
          </w:p>
        </w:tc>
        <w:tc>
          <w:tcPr>
            <w:tcW w:type="dxa" w:w="3168"/>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Jargon; ecosystem complexity; pressure to join; ideological recruitment; unnecessary data collection; unclear next steps.</w:t>
            </w:r>
          </w:p>
        </w:tc>
        <w:tc>
          <w:tcPr>
            <w:tcW w:type="dxa" w:w="3528"/>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Free public resources; transparent authors and sources; accessible language; privacy; current-stage limitations; no-pressure messaging.</w:t>
            </w:r>
          </w:p>
        </w:tc>
        <w:tc>
          <w:tcPr>
            <w:tcW w:type="dxa" w:w="2520"/>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Browse resources and choose a deeper path only when ready.</w:t>
            </w:r>
          </w:p>
        </w:tc>
        <w:tc>
          <w:tcPr>
            <w:tcW w:type="dxa" w:w="2808"/>
            <w:shd w:fill="FFFFFF"/>
            <w:tcMar>
              <w:top w:w="55" w:type="dxa"/>
              <w:start w:w="60" w:type="dxa"/>
              <w:bottom w:w="55" w:type="dxa"/>
              <w:end w:w="60" w:type="dxa"/>
            </w:tcMar>
            <w:tcBorders>
              <w:top w:val="single" w:sz="3" w:color="D8DDD6"/>
              <w:left w:val="single" w:sz="3" w:color="D8DDD6"/>
              <w:bottom w:val="single" w:sz="3" w:color="D8DDD6"/>
              <w:right w:val="single" w:sz="3" w:color="D8DDD6"/>
            </w:tcBorders>
            <w:vAlign w:val="top"/>
          </w:tcPr>
          <w:p>
            <w:pPr>
              <w:spacing w:before="0" w:after="0" w:line="247" w:lineRule="auto"/>
            </w:pPr>
            <w:r>
              <w:rPr>
                <w:rFonts w:ascii="Liberation Sans" w:hAnsi="Liberation Sans"/>
                <w:b w:val="0"/>
                <w:i w:val="0"/>
                <w:color w:val="1F2A24"/>
                <w:sz w:val="15"/>
              </w:rPr>
              <w:t>Resources → Learn → Optional Start Here pathway</w:t>
            </w:r>
          </w:p>
        </w:tc>
      </w:tr>
    </w:tbl>
    <w:p>
      <w:pPr>
        <w:spacing w:before="140" w:after="0" w:line="252" w:lineRule="auto"/>
      </w:pPr>
      <w:r>
        <w:rPr>
          <w:rFonts w:ascii="Liberation Sans" w:hAnsi="Liberation Sans"/>
          <w:b/>
          <w:i w:val="0"/>
          <w:color w:val="B2873E"/>
          <w:sz w:val="16"/>
        </w:rPr>
        <w:t xml:space="preserve">Interpretation note: </w:t>
      </w:r>
      <w:r>
        <w:rPr>
          <w:rFonts w:ascii="Liberation Sans" w:hAnsi="Liberation Sans"/>
          <w:b w:val="0"/>
          <w:i w:val="0"/>
          <w:color w:val="6E766F"/>
          <w:sz w:val="16"/>
        </w:rPr>
        <w:t>The “fears” column identifies likely barriers the website must address. It does not claim that every visitor holds the same concern.</w:t>
      </w:r>
    </w:p>
    <w:p>
      <w:pPr>
        <w:sectPr>
          <w:footerReference w:type="default" r:id="rId10"/>
          <w:pgSz w:w="15840" w:h="12240" w:orient="landscape"/>
          <w:pgMar w:top="792" w:right="648" w:bottom="792" w:left="648" w:header="720" w:footer="720" w:gutter="0"/>
          <w:cols w:space="720"/>
          <w:docGrid w:linePitch="360"/>
        </w:sectPr>
      </w:pPr>
    </w:p>
    <w:tbl>
      <w:tblPr>
        <w:tblW w:type="auto" w:w="0"/>
        <w:jc w:val="left"/>
        <w:tblLayout w:type="fixed"/>
        <w:tblLook w:firstColumn="1" w:firstRow="1" w:lastColumn="0" w:lastRow="0" w:noHBand="0" w:noVBand="1" w:val="04A0"/>
      </w:tblPr>
      <w:tblGrid>
        <w:gridCol w:w="10166"/>
      </w:tblGrid>
      <w:tr>
        <w:tc>
          <w:tcPr>
            <w:tcW w:type="dxa" w:w="10166"/>
            <w:shd w:fill="EAF0E6"/>
            <w:tcBorders>
              <w:top w:val="single" w:sz="4" w:color="EAF0E6"/>
              <w:left w:val="single" w:sz="4" w:color="EAF0E6"/>
              <w:bottom w:val="single" w:sz="4" w:color="EAF0E6"/>
              <w:right w:val="single" w:sz="4" w:color="EAF0E6"/>
            </w:tcBorders>
            <w:tcMar>
              <w:top w:w="45" w:type="dxa"/>
              <w:start w:w="85" w:type="dxa"/>
              <w:bottom w:w="45" w:type="dxa"/>
              <w:end w:w="85" w:type="dxa"/>
            </w:tcMar>
            <w:vAlign w:val="top"/>
          </w:tcPr>
          <w:p>
            <w:pPr>
              <w:spacing w:before="0" w:after="0" w:line="252" w:lineRule="auto"/>
            </w:pPr>
            <w:r>
              <w:rPr>
                <w:rFonts w:ascii="Liberation Sans" w:hAnsi="Liberation Sans"/>
                <w:b/>
                <w:i w:val="0"/>
                <w:color w:val="3F5B3A"/>
                <w:sz w:val="17"/>
              </w:rPr>
              <w:t>AUDIENCE 1</w:t>
            </w:r>
          </w:p>
        </w:tc>
      </w:tr>
    </w:tbl>
    <w:p>
      <w:pPr>
        <w:keepNext/>
        <w:spacing w:before="60" w:after="20" w:line="240" w:lineRule="auto"/>
      </w:pPr>
      <w:r>
        <w:rPr>
          <w:rFonts w:ascii="Liberation Serif" w:hAnsi="Liberation Serif"/>
          <w:b/>
          <w:i w:val="0"/>
          <w:color w:val="1F2A24"/>
          <w:sz w:val="38"/>
        </w:rPr>
        <w:t>Organizations Seeking Support</w:t>
      </w:r>
    </w:p>
    <w:p>
      <w:pPr>
        <w:spacing w:before="0" w:after="100" w:line="245" w:lineRule="auto"/>
      </w:pPr>
      <w:r>
        <w:rPr>
          <w:rFonts w:ascii="Liberation Sans" w:hAnsi="Liberation Sans"/>
          <w:b/>
          <w:i w:val="0"/>
          <w:color w:val="B2873E"/>
          <w:sz w:val="17"/>
        </w:rPr>
        <w:t xml:space="preserve">Included subaudiences: </w:t>
      </w:r>
      <w:r>
        <w:rPr>
          <w:rFonts w:ascii="Liberation Sans" w:hAnsi="Liberation Sans"/>
          <w:b w:val="0"/>
          <w:i w:val="0"/>
          <w:color w:val="6E766F"/>
          <w:sz w:val="17"/>
        </w:rPr>
        <w:t>Nonprofits, ethical businesses, advocacy groups, researchers, founders, community organizations, and trusted contacts introduced by Skyler.</w:t>
      </w:r>
    </w:p>
    <w:tbl>
      <w:tblPr>
        <w:tblW w:type="auto" w:w="0"/>
        <w:jc w:val="center"/>
        <w:tblLayout w:type="fixed"/>
        <w:tblLook w:firstColumn="1" w:firstRow="1" w:lastColumn="0" w:lastRow="0" w:noHBand="0" w:noVBand="1" w:val="04A0"/>
      </w:tblPr>
      <w:tblGrid>
        <w:gridCol w:w="2952"/>
        <w:gridCol w:w="6696"/>
      </w:tblGrid>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What they need</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Understand what problems DoGoodie may currently help with and which requests remain out of scope.</w:t>
            </w:r>
          </w:p>
          <w:p>
            <w:pPr>
              <w:pStyle w:val="ListBullet"/>
              <w:spacing w:before="0" w:after="20" w:line="252" w:lineRule="auto"/>
            </w:pPr>
            <w:r>
              <w:rPr>
                <w:rFonts w:ascii="Liberation Sans" w:hAnsi="Liberation Sans"/>
                <w:b w:val="0"/>
                <w:i w:val="0"/>
                <w:color w:val="1F2A24"/>
                <w:sz w:val="17"/>
              </w:rPr>
              <w:t>See the consultation, scoping, proposal, review, delivery, and closure process in plain language.</w:t>
            </w:r>
          </w:p>
          <w:p>
            <w:pPr>
              <w:pStyle w:val="ListBullet"/>
              <w:spacing w:before="0" w:after="20" w:line="252" w:lineRule="auto"/>
            </w:pPr>
            <w:r>
              <w:rPr>
                <w:rFonts w:ascii="Liberation Sans" w:hAnsi="Liberation Sans"/>
                <w:b w:val="0"/>
                <w:i w:val="0"/>
                <w:color w:val="1F2A24"/>
                <w:sz w:val="17"/>
              </w:rPr>
              <w:t>Know what information is safe to submit and what should never be placed in a general intake form.</w:t>
            </w:r>
          </w:p>
          <w:p>
            <w:pPr>
              <w:pStyle w:val="ListBullet"/>
              <w:spacing w:before="0" w:after="20" w:line="252" w:lineRule="auto"/>
            </w:pPr>
            <w:r>
              <w:rPr>
                <w:rFonts w:ascii="Liberation Sans" w:hAnsi="Liberation Sans"/>
                <w:b w:val="0"/>
                <w:i w:val="0"/>
                <w:color w:val="1F2A24"/>
                <w:sz w:val="17"/>
              </w:rPr>
              <w:t>Understand the difference between a limited pilot, paid work, ongoing support, and a referral or decline.</w:t>
            </w:r>
          </w:p>
          <w:p>
            <w:pPr>
              <w:pStyle w:val="ListBullet"/>
              <w:spacing w:before="0" w:after="20" w:line="252" w:lineRule="auto"/>
            </w:pPr>
            <w:r>
              <w:rPr>
                <w:rFonts w:ascii="Liberation Sans" w:hAnsi="Liberation Sans"/>
                <w:b w:val="0"/>
                <w:i w:val="0"/>
                <w:color w:val="1F2A24"/>
                <w:sz w:val="17"/>
              </w:rPr>
              <w:t>See credible examples without inflated claims or unauthorized partner names.</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What they may fear</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The offer is too broad, experimental, or unclear to trust.</w:t>
            </w:r>
          </w:p>
          <w:p>
            <w:pPr>
              <w:pStyle w:val="ListBullet"/>
              <w:spacing w:before="0" w:after="20" w:line="252" w:lineRule="auto"/>
            </w:pPr>
            <w:r>
              <w:rPr>
                <w:rFonts w:ascii="Liberation Sans" w:hAnsi="Liberation Sans"/>
                <w:b w:val="0"/>
                <w:i w:val="0"/>
                <w:color w:val="1F2A24"/>
                <w:sz w:val="17"/>
              </w:rPr>
              <w:t>The team may lack the capacity or ownership required to deliver.</w:t>
            </w:r>
          </w:p>
          <w:p>
            <w:pPr>
              <w:pStyle w:val="ListBullet"/>
              <w:spacing w:before="0" w:after="20" w:line="252" w:lineRule="auto"/>
            </w:pPr>
            <w:r>
              <w:rPr>
                <w:rFonts w:ascii="Liberation Sans" w:hAnsi="Liberation Sans"/>
                <w:b w:val="0"/>
                <w:i w:val="0"/>
                <w:color w:val="1F2A24"/>
                <w:sz w:val="17"/>
              </w:rPr>
              <w:t>Confidential, sensitive, or reputational information may be mishandled.</w:t>
            </w:r>
          </w:p>
          <w:p>
            <w:pPr>
              <w:pStyle w:val="ListBullet"/>
              <w:spacing w:before="0" w:after="20" w:line="252" w:lineRule="auto"/>
            </w:pPr>
            <w:r>
              <w:rPr>
                <w:rFonts w:ascii="Liberation Sans" w:hAnsi="Liberation Sans"/>
                <w:b w:val="0"/>
                <w:i w:val="0"/>
                <w:color w:val="1F2A24"/>
                <w:sz w:val="17"/>
              </w:rPr>
              <w:t>The project may expand without a clear boundary, cost, owner, or acceptance criterion.</w:t>
            </w:r>
          </w:p>
          <w:p>
            <w:pPr>
              <w:pStyle w:val="ListBullet"/>
              <w:spacing w:before="0" w:after="20" w:line="252" w:lineRule="auto"/>
            </w:pPr>
            <w:r>
              <w:rPr>
                <w:rFonts w:ascii="Liberation Sans" w:hAnsi="Liberation Sans"/>
                <w:b w:val="0"/>
                <w:i w:val="0"/>
                <w:color w:val="1F2A24"/>
                <w:sz w:val="17"/>
              </w:rPr>
              <w:t>Builders may be used unfairly or the organization may be exposed through public attribution without approval.</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Evidence that creates trust</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A precise current-capabilities list and a visible out-of-scope section.</w:t>
            </w:r>
          </w:p>
          <w:p>
            <w:pPr>
              <w:pStyle w:val="ListBullet"/>
              <w:spacing w:before="0" w:after="20" w:line="252" w:lineRule="auto"/>
            </w:pPr>
            <w:r>
              <w:rPr>
                <w:rFonts w:ascii="Liberation Sans" w:hAnsi="Liberation Sans"/>
                <w:b w:val="0"/>
                <w:i w:val="0"/>
                <w:color w:val="1F2A24"/>
                <w:sz w:val="17"/>
              </w:rPr>
              <w:t>A step-by-step process with named review and project ownership.</w:t>
            </w:r>
          </w:p>
          <w:p>
            <w:pPr>
              <w:pStyle w:val="ListBullet"/>
              <w:spacing w:before="0" w:after="20" w:line="252" w:lineRule="auto"/>
            </w:pPr>
            <w:r>
              <w:rPr>
                <w:rFonts w:ascii="Liberation Sans" w:hAnsi="Liberation Sans"/>
                <w:b w:val="0"/>
                <w:i w:val="0"/>
                <w:color w:val="1F2A24"/>
                <w:sz w:val="17"/>
              </w:rPr>
              <w:t>Approved work examples showing the problem, scope, output, result, and what remains unproven.</w:t>
            </w:r>
          </w:p>
          <w:p>
            <w:pPr>
              <w:pStyle w:val="ListBullet"/>
              <w:spacing w:before="0" w:after="20" w:line="252" w:lineRule="auto"/>
            </w:pPr>
            <w:r>
              <w:rPr>
                <w:rFonts w:ascii="Liberation Sans" w:hAnsi="Liberation Sans"/>
                <w:b w:val="0"/>
                <w:i w:val="0"/>
                <w:color w:val="1F2A24"/>
                <w:sz w:val="17"/>
              </w:rPr>
              <w:t>Ethical collaboration commitments covering builder protection, privacy, consent, review, and closure.</w:t>
            </w:r>
          </w:p>
          <w:p>
            <w:pPr>
              <w:pStyle w:val="ListBullet"/>
              <w:spacing w:before="0" w:after="20" w:line="252" w:lineRule="auto"/>
            </w:pPr>
            <w:r>
              <w:rPr>
                <w:rFonts w:ascii="Liberation Sans" w:hAnsi="Liberation Sans"/>
                <w:b w:val="0"/>
                <w:i w:val="0"/>
                <w:color w:val="1F2A24"/>
                <w:sz w:val="17"/>
              </w:rPr>
              <w:t>A structured challenge form with data-minimization guidance, response expectations, and a no-guarantee notice.</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Primary action</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Submit a suitable challenge or request an introductory conversation.</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Recommended pathway</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QR code or homepage → Start Here → “I represent an organization” → For Organizations → review services and ethical process → challenge form or conversation request.</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Primary website pages</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Home, Start Here, For Organizations, Ethical Work, Work &amp; Partners, Submit a Challenge, Privacy, Contact.</w:t>
            </w:r>
          </w:p>
        </w:tc>
      </w:tr>
      <w:tr>
        <w:trPr>
          <w:cantSplit/>
        </w:trPr>
        <w:tc>
          <w:tcPr>
            <w:tcW w:type="dxa" w:w="2952"/>
            <w:shd w:fill="F3DED7"/>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9A5B4A"/>
                <w:sz w:val="17"/>
              </w:rPr>
              <w:t>Do not promise</w:t>
            </w:r>
          </w:p>
        </w:tc>
        <w:tc>
          <w:tcPr>
            <w:tcW w:type="dxa" w:w="6696"/>
            <w:shd w:fill="F7ECE8"/>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Do not promise unlimited free work, guaranteed acceptance, guaranteed outcomes, formal certification, legal or clinical conclusions, or public recognition without permission.</w:t>
            </w:r>
          </w:p>
        </w:tc>
      </w:tr>
    </w:tbl>
    <w:p>
      <w:pPr>
        <w:keepNext/>
        <w:spacing w:before="140" w:after="60" w:line="240" w:lineRule="auto"/>
      </w:pPr>
      <w:r>
        <w:rPr>
          <w:rFonts w:ascii="Liberation Serif" w:hAnsi="Liberation Serif"/>
          <w:b/>
          <w:i w:val="0"/>
          <w:color w:val="3F5B3A"/>
          <w:sz w:val="26"/>
        </w:rPr>
        <w:t>Benchmark-informed rationale</w:t>
      </w:r>
    </w:p>
    <w:p>
      <w:pPr>
        <w:spacing w:before="0" w:after="0" w:line="264" w:lineRule="auto"/>
      </w:pPr>
      <w:r>
        <w:rPr>
          <w:rFonts w:ascii="Liberation Sans" w:hAnsi="Liberation Sans"/>
          <w:b w:val="0"/>
          <w:i w:val="0"/>
          <w:color w:val="1F2A24"/>
          <w:sz w:val="17"/>
        </w:rPr>
        <w:t>Impact Hub shows the value of separating organizational audiences and presenting programs and concrete work. B Lab and 80,000 Hours show that process, methodology, limitations, and evidence create more trust than aspiration alone. The appropriate application here is transparent scoping and proof, not certification-style bureaucracy.</w:t>
      </w:r>
    </w:p>
    <w:p>
      <w:r>
        <w:br w:type="page"/>
      </w:r>
    </w:p>
    <w:tbl>
      <w:tblPr>
        <w:tblW w:type="auto" w:w="0"/>
        <w:jc w:val="left"/>
        <w:tblLayout w:type="fixed"/>
        <w:tblLook w:firstColumn="1" w:firstRow="1" w:lastColumn="0" w:lastRow="0" w:noHBand="0" w:noVBand="1" w:val="04A0"/>
      </w:tblPr>
      <w:tblGrid>
        <w:gridCol w:w="10166"/>
      </w:tblGrid>
      <w:tr>
        <w:tc>
          <w:tcPr>
            <w:tcW w:type="dxa" w:w="10166"/>
            <w:shd w:fill="EAF0E6"/>
            <w:tcBorders>
              <w:top w:val="single" w:sz="4" w:color="EAF0E6"/>
              <w:left w:val="single" w:sz="4" w:color="EAF0E6"/>
              <w:bottom w:val="single" w:sz="4" w:color="EAF0E6"/>
              <w:right w:val="single" w:sz="4" w:color="EAF0E6"/>
            </w:tcBorders>
            <w:tcMar>
              <w:top w:w="45" w:type="dxa"/>
              <w:start w:w="85" w:type="dxa"/>
              <w:bottom w:w="45" w:type="dxa"/>
              <w:end w:w="85" w:type="dxa"/>
            </w:tcMar>
            <w:vAlign w:val="top"/>
          </w:tcPr>
          <w:p>
            <w:pPr>
              <w:spacing w:before="0" w:after="0" w:line="252" w:lineRule="auto"/>
            </w:pPr>
            <w:r>
              <w:rPr>
                <w:rFonts w:ascii="Liberation Sans" w:hAnsi="Liberation Sans"/>
                <w:b/>
                <w:i w:val="0"/>
                <w:color w:val="3F5B3A"/>
                <w:sz w:val="17"/>
              </w:rPr>
              <w:t>AUDIENCE 2</w:t>
            </w:r>
          </w:p>
        </w:tc>
      </w:tr>
    </w:tbl>
    <w:p>
      <w:pPr>
        <w:keepNext/>
        <w:spacing w:before="60" w:after="20" w:line="240" w:lineRule="auto"/>
      </w:pPr>
      <w:r>
        <w:rPr>
          <w:rFonts w:ascii="Liberation Serif" w:hAnsi="Liberation Serif"/>
          <w:b/>
          <w:i w:val="0"/>
          <w:color w:val="1F2A24"/>
          <w:sz w:val="38"/>
        </w:rPr>
        <w:t>Potential Builders</w:t>
      </w:r>
    </w:p>
    <w:p>
      <w:pPr>
        <w:spacing w:before="0" w:after="100" w:line="245" w:lineRule="auto"/>
      </w:pPr>
      <w:r>
        <w:rPr>
          <w:rFonts w:ascii="Liberation Sans" w:hAnsi="Liberation Sans"/>
          <w:b/>
          <w:i w:val="0"/>
          <w:color w:val="B2873E"/>
          <w:sz w:val="17"/>
        </w:rPr>
        <w:t xml:space="preserve">Included subaudiences: </w:t>
      </w:r>
      <w:r>
        <w:rPr>
          <w:rFonts w:ascii="Liberation Sans" w:hAnsi="Liberation Sans"/>
          <w:b w:val="0"/>
          <w:i w:val="0"/>
          <w:color w:val="6E766F"/>
          <w:sz w:val="17"/>
        </w:rPr>
        <w:t>Emerging Builders, Proven Builders, Core Builders, specialists, technical contributors, researchers, creatives, and operations contributors.</w:t>
      </w:r>
    </w:p>
    <w:tbl>
      <w:tblPr>
        <w:tblW w:type="auto" w:w="0"/>
        <w:jc w:val="center"/>
        <w:tblLayout w:type="fixed"/>
        <w:tblLook w:firstColumn="1" w:firstRow="1" w:lastColumn="0" w:lastRow="0" w:noHBand="0" w:noVBand="1" w:val="04A0"/>
      </w:tblPr>
      <w:tblGrid>
        <w:gridCol w:w="2952"/>
        <w:gridCol w:w="6696"/>
      </w:tblGrid>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What they need</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Understand what builders actually do and how Emerging, Proven, and Core pathways differ.</w:t>
            </w:r>
          </w:p>
          <w:p>
            <w:pPr>
              <w:pStyle w:val="ListBullet"/>
              <w:spacing w:before="0" w:after="20" w:line="252" w:lineRule="auto"/>
            </w:pPr>
            <w:r>
              <w:rPr>
                <w:rFonts w:ascii="Liberation Sans" w:hAnsi="Liberation Sans"/>
                <w:b w:val="0"/>
                <w:i w:val="0"/>
                <w:color w:val="1F2A24"/>
                <w:sz w:val="17"/>
              </w:rPr>
              <w:t>Know whether a specific opportunity is paid, voluntary, educational, or exploratory before committing.</w:t>
            </w:r>
          </w:p>
          <w:p>
            <w:pPr>
              <w:pStyle w:val="ListBullet"/>
              <w:spacing w:before="0" w:after="20" w:line="252" w:lineRule="auto"/>
            </w:pPr>
            <w:r>
              <w:rPr>
                <w:rFonts w:ascii="Liberation Sans" w:hAnsi="Liberation Sans"/>
                <w:b w:val="0"/>
                <w:i w:val="0"/>
                <w:color w:val="1F2A24"/>
                <w:sz w:val="17"/>
              </w:rPr>
              <w:t>See scope, compensation, timeline, access, ownership, confidentiality, output, feedback, and closure terms for every productive project.</w:t>
            </w:r>
          </w:p>
          <w:p>
            <w:pPr>
              <w:pStyle w:val="ListBullet"/>
              <w:spacing w:before="0" w:after="20" w:line="252" w:lineRule="auto"/>
            </w:pPr>
            <w:r>
              <w:rPr>
                <w:rFonts w:ascii="Liberation Sans" w:hAnsi="Liberation Sans"/>
                <w:b w:val="0"/>
                <w:i w:val="0"/>
                <w:color w:val="1F2A24"/>
                <w:sz w:val="17"/>
              </w:rPr>
              <w:t>Understand that builder participation is separate from employment and separate from Liberation Network membership.</w:t>
            </w:r>
          </w:p>
          <w:p>
            <w:pPr>
              <w:pStyle w:val="ListBullet"/>
              <w:spacing w:before="0" w:after="20" w:line="252" w:lineRule="auto"/>
            </w:pPr>
            <w:r>
              <w:rPr>
                <w:rFonts w:ascii="Liberation Sans" w:hAnsi="Liberation Sans"/>
                <w:b w:val="0"/>
                <w:i w:val="0"/>
                <w:color w:val="1F2A24"/>
                <w:sz w:val="17"/>
              </w:rPr>
              <w:t>Know how proof of work, review, supervision, and future opportunities are handled.</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What they may fear</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Unpaid speculative work or competitions that create usable output without compensation.</w:t>
            </w:r>
          </w:p>
          <w:p>
            <w:pPr>
              <w:pStyle w:val="ListBullet"/>
              <w:spacing w:before="0" w:after="20" w:line="252" w:lineRule="auto"/>
            </w:pPr>
            <w:r>
              <w:rPr>
                <w:rFonts w:ascii="Liberation Sans" w:hAnsi="Liberation Sans"/>
                <w:b w:val="0"/>
                <w:i w:val="0"/>
                <w:color w:val="1F2A24"/>
                <w:sz w:val="17"/>
              </w:rPr>
              <w:t>Extractive outsourcing, unfair wage differences, unclear bargaining power, or deceptive employment promises.</w:t>
            </w:r>
          </w:p>
          <w:p>
            <w:pPr>
              <w:pStyle w:val="ListBullet"/>
              <w:spacing w:before="0" w:after="20" w:line="252" w:lineRule="auto"/>
            </w:pPr>
            <w:r>
              <w:rPr>
                <w:rFonts w:ascii="Liberation Sans" w:hAnsi="Liberation Sans"/>
                <w:b w:val="0"/>
                <w:i w:val="0"/>
                <w:color w:val="1F2A24"/>
                <w:sz w:val="17"/>
              </w:rPr>
              <w:t>Scope creep, inadequate tools or access, unsafe clients, weak supervision, or no meaningful feedback.</w:t>
            </w:r>
          </w:p>
          <w:p>
            <w:pPr>
              <w:pStyle w:val="ListBullet"/>
              <w:spacing w:before="0" w:after="20" w:line="252" w:lineRule="auto"/>
            </w:pPr>
            <w:r>
              <w:rPr>
                <w:rFonts w:ascii="Liberation Sans" w:hAnsi="Liberation Sans"/>
                <w:b w:val="0"/>
                <w:i w:val="0"/>
                <w:color w:val="1F2A24"/>
                <w:sz w:val="17"/>
              </w:rPr>
              <w:t>Work being published, attributed, reused, or transferred without clear consent and ownership terms.</w:t>
            </w:r>
          </w:p>
          <w:p>
            <w:pPr>
              <w:pStyle w:val="ListBullet"/>
              <w:spacing w:before="0" w:after="20" w:line="252" w:lineRule="auto"/>
            </w:pPr>
            <w:r>
              <w:rPr>
                <w:rFonts w:ascii="Liberation Sans" w:hAnsi="Liberation Sans"/>
                <w:b w:val="0"/>
                <w:i w:val="0"/>
                <w:color w:val="1F2A24"/>
                <w:sz w:val="17"/>
              </w:rPr>
              <w:t>An expression of interest being mistaken for guaranteed work, payment, long-term access, or membership.</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Evidence that creates trust</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A prominent Ethical Work and Collaboration page placed before opportunity forms.</w:t>
            </w:r>
          </w:p>
          <w:p>
            <w:pPr>
              <w:pStyle w:val="ListBullet"/>
              <w:spacing w:before="0" w:after="20" w:line="252" w:lineRule="auto"/>
            </w:pPr>
            <w:r>
              <w:rPr>
                <w:rFonts w:ascii="Liberation Sans" w:hAnsi="Liberation Sans"/>
                <w:b w:val="0"/>
                <w:i w:val="0"/>
                <w:color w:val="1F2A24"/>
                <w:sz w:val="17"/>
              </w:rPr>
              <w:t>Written project terms communicated before work begins, including compensation and ownership.</w:t>
            </w:r>
          </w:p>
          <w:p>
            <w:pPr>
              <w:pStyle w:val="ListBullet"/>
              <w:spacing w:before="0" w:after="20" w:line="252" w:lineRule="auto"/>
            </w:pPr>
            <w:r>
              <w:rPr>
                <w:rFonts w:ascii="Liberation Sans" w:hAnsi="Liberation Sans"/>
                <w:b w:val="0"/>
                <w:i w:val="0"/>
                <w:color w:val="1F2A24"/>
                <w:sz w:val="17"/>
              </w:rPr>
              <w:t>Named project manager, supervision model, review checkpoints, and safe-exit or closure process.</w:t>
            </w:r>
          </w:p>
          <w:p>
            <w:pPr>
              <w:pStyle w:val="ListBullet"/>
              <w:spacing w:before="0" w:after="20" w:line="252" w:lineRule="auto"/>
            </w:pPr>
            <w:r>
              <w:rPr>
                <w:rFonts w:ascii="Liberation Sans" w:hAnsi="Liberation Sans"/>
                <w:b w:val="0"/>
                <w:i w:val="0"/>
                <w:color w:val="1F2A24"/>
                <w:sz w:val="17"/>
              </w:rPr>
              <w:t>Clear examples of acceptable project formats and evidence of completed work.</w:t>
            </w:r>
          </w:p>
          <w:p>
            <w:pPr>
              <w:pStyle w:val="ListBullet"/>
              <w:spacing w:before="0" w:after="20" w:line="252" w:lineRule="auto"/>
            </w:pPr>
            <w:r>
              <w:rPr>
                <w:rFonts w:ascii="Liberation Sans" w:hAnsi="Liberation Sans"/>
                <w:b w:val="0"/>
                <w:i w:val="0"/>
                <w:color w:val="1F2A24"/>
                <w:sz w:val="17"/>
              </w:rPr>
              <w:t>Explicit statements that interest, community participation, and project assignment are separate decisions.</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Primary action</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Review the builder pathway and safeguards, then submit an expression of interest for appropriate opportunities.</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Recommended pathway</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Educational or project content → For Builders → Ethical Work → pathway and opportunity review → expression of interest → separate human review.</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Primary website pages</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For Builders, Ethical Work, Work &amp; Partners, Resources, Start Here, Privacy, Contact.</w:t>
            </w:r>
          </w:p>
        </w:tc>
      </w:tr>
      <w:tr>
        <w:trPr>
          <w:cantSplit/>
        </w:trPr>
        <w:tc>
          <w:tcPr>
            <w:tcW w:type="dxa" w:w="2952"/>
            <w:shd w:fill="F3DED7"/>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9A5B4A"/>
                <w:sz w:val="17"/>
              </w:rPr>
              <w:t>Do not promise</w:t>
            </w:r>
          </w:p>
        </w:tc>
        <w:tc>
          <w:tcPr>
            <w:tcW w:type="dxa" w:w="6696"/>
            <w:shd w:fill="F7ECE8"/>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Do not promise employment, guaranteed payment, automatic project access, confidential access, long-term work, placement, or Liberation Network membership.</w:t>
            </w:r>
          </w:p>
        </w:tc>
      </w:tr>
    </w:tbl>
    <w:p>
      <w:pPr>
        <w:keepNext/>
        <w:spacing w:before="140" w:after="60" w:line="240" w:lineRule="auto"/>
      </w:pPr>
      <w:r>
        <w:rPr>
          <w:rFonts w:ascii="Liberation Serif" w:hAnsi="Liberation Serif"/>
          <w:b/>
          <w:i w:val="0"/>
          <w:color w:val="3F5B3A"/>
          <w:sz w:val="26"/>
        </w:rPr>
        <w:t>Benchmark-informed rationale</w:t>
      </w:r>
    </w:p>
    <w:p>
      <w:pPr>
        <w:spacing w:before="0" w:after="0" w:line="264" w:lineRule="auto"/>
      </w:pPr>
      <w:r>
        <w:rPr>
          <w:rFonts w:ascii="Liberation Sans" w:hAnsi="Liberation Sans"/>
          <w:b w:val="0"/>
          <w:i w:val="0"/>
          <w:color w:val="1F2A24"/>
          <w:sz w:val="17"/>
        </w:rPr>
        <w:t>Animal Advocacy Careers demonstrates the value of a clear bridge between learning and real opportunities, while 80,000 Hours shows that scarce support benefits from preparation and explicit expectations. The project should use proportional preparation rather than forcing every builder through the same course or gate.</w:t>
      </w:r>
    </w:p>
    <w:p>
      <w:r>
        <w:br w:type="page"/>
      </w:r>
    </w:p>
    <w:tbl>
      <w:tblPr>
        <w:tblW w:type="auto" w:w="0"/>
        <w:jc w:val="left"/>
        <w:tblLayout w:type="fixed"/>
        <w:tblLook w:firstColumn="1" w:firstRow="1" w:lastColumn="0" w:lastRow="0" w:noHBand="0" w:noVBand="1" w:val="04A0"/>
      </w:tblPr>
      <w:tblGrid>
        <w:gridCol w:w="10166"/>
      </w:tblGrid>
      <w:tr>
        <w:tc>
          <w:tcPr>
            <w:tcW w:type="dxa" w:w="10166"/>
            <w:shd w:fill="EAF0E6"/>
            <w:tcBorders>
              <w:top w:val="single" w:sz="4" w:color="EAF0E6"/>
              <w:left w:val="single" w:sz="4" w:color="EAF0E6"/>
              <w:bottom w:val="single" w:sz="4" w:color="EAF0E6"/>
              <w:right w:val="single" w:sz="4" w:color="EAF0E6"/>
            </w:tcBorders>
            <w:tcMar>
              <w:top w:w="45" w:type="dxa"/>
              <w:start w:w="85" w:type="dxa"/>
              <w:bottom w:w="45" w:type="dxa"/>
              <w:end w:w="85" w:type="dxa"/>
            </w:tcMar>
            <w:vAlign w:val="top"/>
          </w:tcPr>
          <w:p>
            <w:pPr>
              <w:spacing w:before="0" w:after="0" w:line="252" w:lineRule="auto"/>
            </w:pPr>
            <w:r>
              <w:rPr>
                <w:rFonts w:ascii="Liberation Sans" w:hAnsi="Liberation Sans"/>
                <w:b/>
                <w:i w:val="0"/>
                <w:color w:val="3F5B3A"/>
                <w:sz w:val="17"/>
              </w:rPr>
              <w:t>AUDIENCE 3</w:t>
            </w:r>
          </w:p>
        </w:tc>
      </w:tr>
    </w:tbl>
    <w:p>
      <w:pPr>
        <w:keepNext/>
        <w:spacing w:before="60" w:after="20" w:line="240" w:lineRule="auto"/>
      </w:pPr>
      <w:r>
        <w:rPr>
          <w:rFonts w:ascii="Liberation Serif" w:hAnsi="Liberation Serif"/>
          <w:b/>
          <w:i w:val="0"/>
          <w:color w:val="1F2A24"/>
          <w:sz w:val="38"/>
        </w:rPr>
        <w:t>Potential Liberation Network Participants</w:t>
      </w:r>
    </w:p>
    <w:p>
      <w:pPr>
        <w:spacing w:before="0" w:after="100" w:line="245" w:lineRule="auto"/>
      </w:pPr>
      <w:r>
        <w:rPr>
          <w:rFonts w:ascii="Liberation Sans" w:hAnsi="Liberation Sans"/>
          <w:b/>
          <w:i w:val="0"/>
          <w:color w:val="B2873E"/>
          <w:sz w:val="17"/>
        </w:rPr>
        <w:t xml:space="preserve">Included subaudiences: </w:t>
      </w:r>
      <w:r>
        <w:rPr>
          <w:rFonts w:ascii="Liberation Sans" w:hAnsi="Liberation Sans"/>
          <w:b w:val="0"/>
          <w:i w:val="0"/>
          <w:color w:val="6E766F"/>
          <w:sz w:val="17"/>
        </w:rPr>
        <w:t>Values-aligned people, organizers, builders, specialists, founders, collaborators, and people still developing toward the network’s values.</w:t>
      </w:r>
    </w:p>
    <w:tbl>
      <w:tblPr>
        <w:tblW w:type="auto" w:w="0"/>
        <w:jc w:val="center"/>
        <w:tblLayout w:type="fixed"/>
        <w:tblLook w:firstColumn="1" w:firstRow="1" w:lastColumn="0" w:lastRow="0" w:noHBand="0" w:noVBand="1" w:val="04A0"/>
      </w:tblPr>
      <w:tblGrid>
        <w:gridCol w:w="2952"/>
        <w:gridCol w:w="6696"/>
      </w:tblGrid>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What they need</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Understand the network’s vision, purpose, relationship to the parent and DoGoodie, and what remains separate.</w:t>
            </w:r>
          </w:p>
          <w:p>
            <w:pPr>
              <w:pStyle w:val="ListBullet"/>
              <w:spacing w:before="0" w:after="20" w:line="252" w:lineRule="auto"/>
            </w:pPr>
            <w:r>
              <w:rPr>
                <w:rFonts w:ascii="Liberation Sans" w:hAnsi="Liberation Sans"/>
                <w:b w:val="0"/>
                <w:i w:val="0"/>
                <w:color w:val="1F2A24"/>
                <w:sz w:val="17"/>
              </w:rPr>
              <w:t>See what participants may contribute and receive without implying guaranteed economic benefit.</w:t>
            </w:r>
          </w:p>
          <w:p>
            <w:pPr>
              <w:pStyle w:val="ListBullet"/>
              <w:spacing w:before="0" w:after="20" w:line="252" w:lineRule="auto"/>
            </w:pPr>
            <w:r>
              <w:rPr>
                <w:rFonts w:ascii="Liberation Sans" w:hAnsi="Liberation Sans"/>
                <w:b w:val="0"/>
                <w:i w:val="0"/>
                <w:color w:val="1F2A24"/>
                <w:sz w:val="17"/>
              </w:rPr>
              <w:t>Understand the participation layers: public learning, initial conversation, small collaboration, and trusted network.</w:t>
            </w:r>
          </w:p>
          <w:p>
            <w:pPr>
              <w:pStyle w:val="ListBullet"/>
              <w:spacing w:before="0" w:after="20" w:line="252" w:lineRule="auto"/>
            </w:pPr>
            <w:r>
              <w:rPr>
                <w:rFonts w:ascii="Liberation Sans" w:hAnsi="Liberation Sans"/>
                <w:b w:val="0"/>
                <w:i w:val="0"/>
                <w:color w:val="1F2A24"/>
                <w:sz w:val="17"/>
              </w:rPr>
              <w:t>Know the purpose, duration, boundaries, and possible outcomes of a one-on-one conversation.</w:t>
            </w:r>
          </w:p>
          <w:p>
            <w:pPr>
              <w:pStyle w:val="ListBullet"/>
              <w:spacing w:before="0" w:after="20" w:line="252" w:lineRule="auto"/>
            </w:pPr>
            <w:r>
              <w:rPr>
                <w:rFonts w:ascii="Liberation Sans" w:hAnsi="Liberation Sans"/>
                <w:b w:val="0"/>
                <w:i w:val="0"/>
                <w:color w:val="1F2A24"/>
                <w:sz w:val="17"/>
              </w:rPr>
              <w:t>See how trust, mutual fit, consent, and readiness affect deeper participation.</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What they may fear</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Being judged through an ideological purity test or exclusionary moral language.</w:t>
            </w:r>
          </w:p>
          <w:p>
            <w:pPr>
              <w:pStyle w:val="ListBullet"/>
              <w:spacing w:before="0" w:after="20" w:line="252" w:lineRule="auto"/>
            </w:pPr>
            <w:r>
              <w:rPr>
                <w:rFonts w:ascii="Liberation Sans" w:hAnsi="Liberation Sans"/>
                <w:b w:val="0"/>
                <w:i w:val="0"/>
                <w:color w:val="1F2A24"/>
                <w:sz w:val="17"/>
              </w:rPr>
              <w:t>The network being transactional, a business club, a recruiting funnel, or a mechanism based mainly on spending ability.</w:t>
            </w:r>
          </w:p>
          <w:p>
            <w:pPr>
              <w:pStyle w:val="ListBullet"/>
              <w:spacing w:before="0" w:after="20" w:line="252" w:lineRule="auto"/>
            </w:pPr>
            <w:r>
              <w:rPr>
                <w:rFonts w:ascii="Liberation Sans" w:hAnsi="Liberation Sans"/>
                <w:b w:val="0"/>
                <w:i w:val="0"/>
                <w:color w:val="1F2A24"/>
                <w:sz w:val="17"/>
              </w:rPr>
              <w:t>Pressure to provide work, money, referrals, emotional labor, or access to personal relationships.</w:t>
            </w:r>
          </w:p>
          <w:p>
            <w:pPr>
              <w:pStyle w:val="ListBullet"/>
              <w:spacing w:before="0" w:after="20" w:line="252" w:lineRule="auto"/>
            </w:pPr>
            <w:r>
              <w:rPr>
                <w:rFonts w:ascii="Liberation Sans" w:hAnsi="Liberation Sans"/>
                <w:b w:val="0"/>
                <w:i w:val="0"/>
                <w:color w:val="1F2A24"/>
                <w:sz w:val="17"/>
              </w:rPr>
              <w:t>Private values, needs, or relationship information being exposed or used outside the intended context.</w:t>
            </w:r>
          </w:p>
          <w:p>
            <w:pPr>
              <w:pStyle w:val="ListBullet"/>
              <w:spacing w:before="0" w:after="20" w:line="252" w:lineRule="auto"/>
            </w:pPr>
            <w:r>
              <w:rPr>
                <w:rFonts w:ascii="Liberation Sans" w:hAnsi="Liberation Sans"/>
                <w:b w:val="0"/>
                <w:i w:val="0"/>
                <w:color w:val="1F2A24"/>
                <w:sz w:val="17"/>
              </w:rPr>
              <w:t>Open-ended one-on-one requests, inappropriate solicitation, or expectations of guaranteed clients, income, or support.</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Evidence that creates trust</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An invitational public description that explains who the network may serve and what it is not.</w:t>
            </w:r>
          </w:p>
          <w:p>
            <w:pPr>
              <w:pStyle w:val="ListBullet"/>
              <w:spacing w:before="0" w:after="20" w:line="252" w:lineRule="auto"/>
            </w:pPr>
            <w:r>
              <w:rPr>
                <w:rFonts w:ascii="Liberation Sans" w:hAnsi="Liberation Sans"/>
                <w:b w:val="0"/>
                <w:i w:val="0"/>
                <w:color w:val="1F2A24"/>
                <w:sz w:val="17"/>
              </w:rPr>
              <w:t>Visible participation layers and a clear explanation of how trust develops over time.</w:t>
            </w:r>
          </w:p>
          <w:p>
            <w:pPr>
              <w:pStyle w:val="ListBullet"/>
              <w:spacing w:before="0" w:after="20" w:line="252" w:lineRule="auto"/>
            </w:pPr>
            <w:r>
              <w:rPr>
                <w:rFonts w:ascii="Liberation Sans" w:hAnsi="Liberation Sans"/>
                <w:b w:val="0"/>
                <w:i w:val="0"/>
                <w:color w:val="1F2A24"/>
                <w:sz w:val="17"/>
              </w:rPr>
              <w:t>Voluntary exchange, privacy, consent, community standards, reporting, and safe-exit guidance.</w:t>
            </w:r>
          </w:p>
          <w:p>
            <w:pPr>
              <w:pStyle w:val="ListBullet"/>
              <w:spacing w:before="0" w:after="20" w:line="252" w:lineRule="auto"/>
            </w:pPr>
            <w:r>
              <w:rPr>
                <w:rFonts w:ascii="Liberation Sans" w:hAnsi="Liberation Sans"/>
                <w:b w:val="0"/>
                <w:i w:val="0"/>
                <w:color w:val="1F2A24"/>
                <w:sz w:val="17"/>
              </w:rPr>
              <w:t>A bounded one-on-one conversation with stated purpose, preparation, duration, and small next step.</w:t>
            </w:r>
          </w:p>
          <w:p>
            <w:pPr>
              <w:pStyle w:val="ListBullet"/>
              <w:spacing w:before="0" w:after="20" w:line="252" w:lineRule="auto"/>
            </w:pPr>
            <w:r>
              <w:rPr>
                <w:rFonts w:ascii="Liberation Sans" w:hAnsi="Liberation Sans"/>
                <w:b w:val="0"/>
                <w:i w:val="0"/>
                <w:color w:val="1F2A24"/>
                <w:sz w:val="17"/>
              </w:rPr>
              <w:t>Explicit separation from DoGoodie employment, automatic business benefits, and guaranteed deeper access.</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Primary action</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Explore the network, then express interest or proceed through a trusted referral to an initial conversation.</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Recommended pathway</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Public content or referral → Liberation Network → How It Works → participation layers → interest or referral → one-on-one conversation → small voluntary next step.</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Primary website pages</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Liberation Network, How It Works, Resources, Ethical Work, Start Here, Community Standards, Privacy, Report a Concern.</w:t>
            </w:r>
          </w:p>
        </w:tc>
      </w:tr>
      <w:tr>
        <w:trPr>
          <w:cantSplit/>
        </w:trPr>
        <w:tc>
          <w:tcPr>
            <w:tcW w:type="dxa" w:w="2952"/>
            <w:shd w:fill="F3DED7"/>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9A5B4A"/>
                <w:sz w:val="17"/>
              </w:rPr>
              <w:t>Do not promise</w:t>
            </w:r>
          </w:p>
        </w:tc>
        <w:tc>
          <w:tcPr>
            <w:tcW w:type="dxa" w:w="6696"/>
            <w:shd w:fill="F7ECE8"/>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Do not promise referrals, purchases, clients, income, paid work, emotional support, material support, membership, or deeper access. Do not present the network as an elite moral class or require public disclosure of private beliefs.</w:t>
            </w:r>
          </w:p>
        </w:tc>
      </w:tr>
    </w:tbl>
    <w:p>
      <w:pPr>
        <w:keepNext/>
        <w:spacing w:before="140" w:after="60" w:line="240" w:lineRule="auto"/>
      </w:pPr>
      <w:r>
        <w:rPr>
          <w:rFonts w:ascii="Liberation Serif" w:hAnsi="Liberation Serif"/>
          <w:b/>
          <w:i w:val="0"/>
          <w:color w:val="3F5B3A"/>
          <w:sz w:val="26"/>
        </w:rPr>
        <w:t>Benchmark-informed rationale</w:t>
      </w:r>
    </w:p>
    <w:p>
      <w:pPr>
        <w:spacing w:before="0" w:after="0" w:line="264" w:lineRule="auto"/>
      </w:pPr>
      <w:r>
        <w:rPr>
          <w:rFonts w:ascii="Liberation Sans" w:hAnsi="Liberation Sans"/>
          <w:b w:val="0"/>
          <w:i w:val="0"/>
          <w:color w:val="1F2A24"/>
          <w:sz w:val="17"/>
        </w:rPr>
        <w:t>Plum Village provides a useful example of gradual participation and positively framed shared commitments, while OpenDoorClimate shows the need to define one-on-one purpose and time boundaries. Ashoka shows how public movement language can remain separate from deeper, selective participation. None of their religious, elite, or formal selection models should be copied directly.</w:t>
      </w:r>
    </w:p>
    <w:p>
      <w:r>
        <w:br w:type="page"/>
      </w:r>
    </w:p>
    <w:tbl>
      <w:tblPr>
        <w:tblW w:type="auto" w:w="0"/>
        <w:jc w:val="left"/>
        <w:tblLayout w:type="fixed"/>
        <w:tblLook w:firstColumn="1" w:firstRow="1" w:lastColumn="0" w:lastRow="0" w:noHBand="0" w:noVBand="1" w:val="04A0"/>
      </w:tblPr>
      <w:tblGrid>
        <w:gridCol w:w="10166"/>
      </w:tblGrid>
      <w:tr>
        <w:tc>
          <w:tcPr>
            <w:tcW w:type="dxa" w:w="10166"/>
            <w:shd w:fill="EAF0E6"/>
            <w:tcBorders>
              <w:top w:val="single" w:sz="4" w:color="EAF0E6"/>
              <w:left w:val="single" w:sz="4" w:color="EAF0E6"/>
              <w:bottom w:val="single" w:sz="4" w:color="EAF0E6"/>
              <w:right w:val="single" w:sz="4" w:color="EAF0E6"/>
            </w:tcBorders>
            <w:tcMar>
              <w:top w:w="45" w:type="dxa"/>
              <w:start w:w="85" w:type="dxa"/>
              <w:bottom w:w="45" w:type="dxa"/>
              <w:end w:w="85" w:type="dxa"/>
            </w:tcMar>
            <w:vAlign w:val="top"/>
          </w:tcPr>
          <w:p>
            <w:pPr>
              <w:spacing w:before="0" w:after="0" w:line="252" w:lineRule="auto"/>
            </w:pPr>
            <w:r>
              <w:rPr>
                <w:rFonts w:ascii="Liberation Sans" w:hAnsi="Liberation Sans"/>
                <w:b/>
                <w:i w:val="0"/>
                <w:color w:val="3F5B3A"/>
                <w:sz w:val="17"/>
              </w:rPr>
              <w:t>AUDIENCE 4</w:t>
            </w:r>
          </w:p>
        </w:tc>
      </w:tr>
    </w:tbl>
    <w:p>
      <w:pPr>
        <w:keepNext/>
        <w:spacing w:before="60" w:after="20" w:line="240" w:lineRule="auto"/>
      </w:pPr>
      <w:r>
        <w:rPr>
          <w:rFonts w:ascii="Liberation Serif" w:hAnsi="Liberation Serif"/>
          <w:b/>
          <w:i w:val="0"/>
          <w:color w:val="1F2A24"/>
          <w:sz w:val="38"/>
        </w:rPr>
        <w:t>Strategic Partners and Resource Providers</w:t>
      </w:r>
    </w:p>
    <w:p>
      <w:pPr>
        <w:spacing w:before="0" w:after="100" w:line="245" w:lineRule="auto"/>
      </w:pPr>
      <w:r>
        <w:rPr>
          <w:rFonts w:ascii="Liberation Sans" w:hAnsi="Liberation Sans"/>
          <w:b/>
          <w:i w:val="0"/>
          <w:color w:val="B2873E"/>
          <w:sz w:val="17"/>
        </w:rPr>
        <w:t xml:space="preserve">Included subaudiences: </w:t>
      </w:r>
      <w:r>
        <w:rPr>
          <w:rFonts w:ascii="Liberation Sans" w:hAnsi="Liberation Sans"/>
          <w:b w:val="0"/>
          <w:i w:val="0"/>
          <w:color w:val="6E766F"/>
          <w:sz w:val="17"/>
        </w:rPr>
        <w:t>Nonprofit partners, advocacy groups, ethical businesses, funders, researchers, technical partners, professional-service providers, community organizations, and future wellbeing-resource providers subject to review.</w:t>
      </w:r>
    </w:p>
    <w:tbl>
      <w:tblPr>
        <w:tblW w:type="auto" w:w="0"/>
        <w:jc w:val="center"/>
        <w:tblLayout w:type="fixed"/>
        <w:tblLook w:firstColumn="1" w:firstRow="1" w:lastColumn="0" w:lastRow="0" w:noHBand="0" w:noVBand="1" w:val="04A0"/>
      </w:tblPr>
      <w:tblGrid>
        <w:gridCol w:w="2952"/>
        <w:gridCol w:w="6696"/>
      </w:tblGrid>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What they need</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Understand the kinds of partnerships currently possible and the branch responsible for each relationship.</w:t>
            </w:r>
          </w:p>
          <w:p>
            <w:pPr>
              <w:pStyle w:val="ListBullet"/>
              <w:spacing w:before="0" w:after="20" w:line="252" w:lineRule="auto"/>
            </w:pPr>
            <w:r>
              <w:rPr>
                <w:rFonts w:ascii="Liberation Sans" w:hAnsi="Liberation Sans"/>
                <w:b w:val="0"/>
                <w:i w:val="0"/>
                <w:color w:val="1F2A24"/>
                <w:sz w:val="17"/>
              </w:rPr>
              <w:t>See the mutual value, responsibilities, boundaries, review process, and expected next step.</w:t>
            </w:r>
          </w:p>
          <w:p>
            <w:pPr>
              <w:pStyle w:val="ListBullet"/>
              <w:spacing w:before="0" w:after="20" w:line="252" w:lineRule="auto"/>
            </w:pPr>
            <w:r>
              <w:rPr>
                <w:rFonts w:ascii="Liberation Sans" w:hAnsi="Liberation Sans"/>
                <w:b w:val="0"/>
                <w:i w:val="0"/>
                <w:color w:val="1F2A24"/>
                <w:sz w:val="17"/>
              </w:rPr>
              <w:t>Know how names, logos, testimonials, resources, and partner claims may be displayed publicly.</w:t>
            </w:r>
          </w:p>
          <w:p>
            <w:pPr>
              <w:pStyle w:val="ListBullet"/>
              <w:spacing w:before="0" w:after="20" w:line="252" w:lineRule="auto"/>
            </w:pPr>
            <w:r>
              <w:rPr>
                <w:rFonts w:ascii="Liberation Sans" w:hAnsi="Liberation Sans"/>
                <w:b w:val="0"/>
                <w:i w:val="0"/>
                <w:color w:val="1F2A24"/>
                <w:sz w:val="17"/>
              </w:rPr>
              <w:t>Review the ecosystem’s safeguards, methodology, governance, limitations, and conflict-handling process.</w:t>
            </w:r>
          </w:p>
          <w:p>
            <w:pPr>
              <w:pStyle w:val="ListBullet"/>
              <w:spacing w:before="0" w:after="20" w:line="252" w:lineRule="auto"/>
            </w:pPr>
            <w:r>
              <w:rPr>
                <w:rFonts w:ascii="Liberation Sans" w:hAnsi="Liberation Sans"/>
                <w:b w:val="0"/>
                <w:i w:val="0"/>
                <w:color w:val="1F2A24"/>
                <w:sz w:val="17"/>
              </w:rPr>
              <w:t>Know whether the proposal is a resource offer, professional service, project, introduction, sponsorship, or broader collaboration.</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What they may fear</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Reputational association with unclear, exaggerated, or unapproved claims.</w:t>
            </w:r>
          </w:p>
          <w:p>
            <w:pPr>
              <w:pStyle w:val="ListBullet"/>
              <w:spacing w:before="0" w:after="20" w:line="252" w:lineRule="auto"/>
            </w:pPr>
            <w:r>
              <w:rPr>
                <w:rFonts w:ascii="Liberation Sans" w:hAnsi="Liberation Sans"/>
                <w:b w:val="0"/>
                <w:i w:val="0"/>
                <w:color w:val="1F2A24"/>
                <w:sz w:val="17"/>
              </w:rPr>
              <w:t>Vague requests, hidden obligations, unclear ownership, or no responsible contact.</w:t>
            </w:r>
          </w:p>
          <w:p>
            <w:pPr>
              <w:pStyle w:val="ListBullet"/>
              <w:spacing w:before="0" w:after="20" w:line="252" w:lineRule="auto"/>
            </w:pPr>
            <w:r>
              <w:rPr>
                <w:rFonts w:ascii="Liberation Sans" w:hAnsi="Liberation Sans"/>
                <w:b w:val="0"/>
                <w:i w:val="0"/>
                <w:color w:val="1F2A24"/>
                <w:sz w:val="17"/>
              </w:rPr>
              <w:t>Their name, logo, qualification, or relationship being displayed without consent.</w:t>
            </w:r>
          </w:p>
          <w:p>
            <w:pPr>
              <w:pStyle w:val="ListBullet"/>
              <w:spacing w:before="0" w:after="20" w:line="252" w:lineRule="auto"/>
            </w:pPr>
            <w:r>
              <w:rPr>
                <w:rFonts w:ascii="Liberation Sans" w:hAnsi="Liberation Sans"/>
                <w:b w:val="0"/>
                <w:i w:val="0"/>
                <w:color w:val="1F2A24"/>
                <w:sz w:val="17"/>
              </w:rPr>
              <w:t>Weak privacy, governance, safeguarding, or escalation procedures.</w:t>
            </w:r>
          </w:p>
          <w:p>
            <w:pPr>
              <w:pStyle w:val="ListBullet"/>
              <w:spacing w:before="0" w:after="20" w:line="252" w:lineRule="auto"/>
            </w:pPr>
            <w:r>
              <w:rPr>
                <w:rFonts w:ascii="Liberation Sans" w:hAnsi="Liberation Sans"/>
                <w:b w:val="0"/>
                <w:i w:val="0"/>
                <w:color w:val="1F2A24"/>
                <w:sz w:val="17"/>
              </w:rPr>
              <w:t>Being presented as an endorsed provider before qualifications, jurisdiction, standards, and boundaries are reviewed.</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Evidence that creates trust</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Approved case studies and partner listings with explicit permission.</w:t>
            </w:r>
          </w:p>
          <w:p>
            <w:pPr>
              <w:pStyle w:val="ListBullet"/>
              <w:spacing w:before="0" w:after="20" w:line="252" w:lineRule="auto"/>
            </w:pPr>
            <w:r>
              <w:rPr>
                <w:rFonts w:ascii="Liberation Sans" w:hAnsi="Liberation Sans"/>
                <w:b w:val="0"/>
                <w:i w:val="0"/>
                <w:color w:val="1F2A24"/>
                <w:sz w:val="17"/>
              </w:rPr>
              <w:t>Clear partnership types, standards, decision ownership, and contact process.</w:t>
            </w:r>
          </w:p>
          <w:p>
            <w:pPr>
              <w:pStyle w:val="ListBullet"/>
              <w:spacing w:before="0" w:after="20" w:line="252" w:lineRule="auto"/>
            </w:pPr>
            <w:r>
              <w:rPr>
                <w:rFonts w:ascii="Liberation Sans" w:hAnsi="Liberation Sans"/>
                <w:b w:val="0"/>
                <w:i w:val="0"/>
                <w:color w:val="1F2A24"/>
                <w:sz w:val="17"/>
              </w:rPr>
              <w:t>Parent-level governance, methodology, ethical commitments, conflicts, and limitations.</w:t>
            </w:r>
          </w:p>
          <w:p>
            <w:pPr>
              <w:pStyle w:val="ListBullet"/>
              <w:spacing w:before="0" w:after="20" w:line="252" w:lineRule="auto"/>
            </w:pPr>
            <w:r>
              <w:rPr>
                <w:rFonts w:ascii="Liberation Sans" w:hAnsi="Liberation Sans"/>
                <w:b w:val="0"/>
                <w:i w:val="0"/>
                <w:color w:val="1F2A24"/>
                <w:sz w:val="17"/>
              </w:rPr>
              <w:t>Written scope, responsibilities, public-display permissions, data handling, and closure terms.</w:t>
            </w:r>
          </w:p>
          <w:p>
            <w:pPr>
              <w:pStyle w:val="ListBullet"/>
              <w:spacing w:before="0" w:after="20" w:line="252" w:lineRule="auto"/>
            </w:pPr>
            <w:r>
              <w:rPr>
                <w:rFonts w:ascii="Liberation Sans" w:hAnsi="Liberation Sans"/>
                <w:b w:val="0"/>
                <w:i w:val="0"/>
                <w:color w:val="1F2A24"/>
                <w:sz w:val="17"/>
              </w:rPr>
              <w:t>Honest current-stage language and no manufactured scale, impact, or endorsement claims.</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Primary action</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Propose a resource, service, project, introduction, or strategic collaboration.</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Recommended pathway</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Credible work or referral → Work &amp; Partners → partnership types and standards → partnership inquiry → strategic human review → route to the appropriate branch.</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Primary website pages</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Work &amp; Partners, About &amp; Governance, Ethical Work, Start Here, Contact, Privacy, Report a Concern.</w:t>
            </w:r>
          </w:p>
        </w:tc>
      </w:tr>
      <w:tr>
        <w:trPr>
          <w:cantSplit/>
        </w:trPr>
        <w:tc>
          <w:tcPr>
            <w:tcW w:type="dxa" w:w="2952"/>
            <w:shd w:fill="F3DED7"/>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9A5B4A"/>
                <w:sz w:val="17"/>
              </w:rPr>
              <w:t>Do not promise</w:t>
            </w:r>
          </w:p>
        </w:tc>
        <w:tc>
          <w:tcPr>
            <w:tcW w:type="dxa" w:w="6696"/>
            <w:shd w:fill="F7ECE8"/>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Do not display partner logos, therapist or professional endorsements, certifications, investment claims, or formal alliances without consent, qualification review, and approved wording.</w:t>
            </w:r>
          </w:p>
        </w:tc>
      </w:tr>
    </w:tbl>
    <w:p>
      <w:pPr>
        <w:keepNext/>
        <w:spacing w:before="140" w:after="60" w:line="240" w:lineRule="auto"/>
      </w:pPr>
      <w:r>
        <w:rPr>
          <w:rFonts w:ascii="Liberation Serif" w:hAnsi="Liberation Serif"/>
          <w:b/>
          <w:i w:val="0"/>
          <w:color w:val="3F5B3A"/>
          <w:sz w:val="26"/>
        </w:rPr>
        <w:t>Benchmark-informed rationale</w:t>
      </w:r>
    </w:p>
    <w:p>
      <w:pPr>
        <w:spacing w:before="0" w:after="0" w:line="264" w:lineRule="auto"/>
      </w:pPr>
      <w:r>
        <w:rPr>
          <w:rFonts w:ascii="Liberation Sans" w:hAnsi="Liberation Sans"/>
          <w:b w:val="0"/>
          <w:i w:val="0"/>
          <w:color w:val="1F2A24"/>
          <w:sz w:val="17"/>
        </w:rPr>
        <w:t>Impact Hub and Ashoka demonstrate the value of giving partners a distinct pathway and supporting mission language with visible programs, people, and work. B Lab shows the importance of governance boundaries, but formal certification and auditing claims are not appropriate for this stage.</w:t>
      </w:r>
    </w:p>
    <w:p>
      <w:r>
        <w:br w:type="page"/>
      </w:r>
    </w:p>
    <w:tbl>
      <w:tblPr>
        <w:tblW w:type="auto" w:w="0"/>
        <w:jc w:val="left"/>
        <w:tblLayout w:type="fixed"/>
        <w:tblLook w:firstColumn="1" w:firstRow="1" w:lastColumn="0" w:lastRow="0" w:noHBand="0" w:noVBand="1" w:val="04A0"/>
      </w:tblPr>
      <w:tblGrid>
        <w:gridCol w:w="10166"/>
      </w:tblGrid>
      <w:tr>
        <w:tc>
          <w:tcPr>
            <w:tcW w:type="dxa" w:w="10166"/>
            <w:shd w:fill="EAF0E6"/>
            <w:tcBorders>
              <w:top w:val="single" w:sz="4" w:color="EAF0E6"/>
              <w:left w:val="single" w:sz="4" w:color="EAF0E6"/>
              <w:bottom w:val="single" w:sz="4" w:color="EAF0E6"/>
              <w:right w:val="single" w:sz="4" w:color="EAF0E6"/>
            </w:tcBorders>
            <w:tcMar>
              <w:top w:w="45" w:type="dxa"/>
              <w:start w:w="85" w:type="dxa"/>
              <w:bottom w:w="45" w:type="dxa"/>
              <w:end w:w="85" w:type="dxa"/>
            </w:tcMar>
            <w:vAlign w:val="top"/>
          </w:tcPr>
          <w:p>
            <w:pPr>
              <w:spacing w:before="0" w:after="0" w:line="252" w:lineRule="auto"/>
            </w:pPr>
            <w:r>
              <w:rPr>
                <w:rFonts w:ascii="Liberation Sans" w:hAnsi="Liberation Sans"/>
                <w:b/>
                <w:i w:val="0"/>
                <w:color w:val="3F5B3A"/>
                <w:sz w:val="17"/>
              </w:rPr>
              <w:t>AUDIENCE 5</w:t>
            </w:r>
          </w:p>
        </w:tc>
      </w:tr>
    </w:tbl>
    <w:p>
      <w:pPr>
        <w:keepNext/>
        <w:spacing w:before="60" w:after="20" w:line="240" w:lineRule="auto"/>
      </w:pPr>
      <w:r>
        <w:rPr>
          <w:rFonts w:ascii="Liberation Serif" w:hAnsi="Liberation Serif"/>
          <w:b/>
          <w:i w:val="0"/>
          <w:color w:val="1F2A24"/>
          <w:sz w:val="38"/>
        </w:rPr>
        <w:t>General Learners</w:t>
      </w:r>
    </w:p>
    <w:p>
      <w:pPr>
        <w:spacing w:before="0" w:after="100" w:line="245" w:lineRule="auto"/>
      </w:pPr>
      <w:r>
        <w:rPr>
          <w:rFonts w:ascii="Liberation Sans" w:hAnsi="Liberation Sans"/>
          <w:b/>
          <w:i w:val="0"/>
          <w:color w:val="B2873E"/>
          <w:sz w:val="17"/>
        </w:rPr>
        <w:t xml:space="preserve">Included subaudiences: </w:t>
      </w:r>
      <w:r>
        <w:rPr>
          <w:rFonts w:ascii="Liberation Sans" w:hAnsi="Liberation Sans"/>
          <w:b w:val="0"/>
          <w:i w:val="0"/>
          <w:color w:val="6E766F"/>
          <w:sz w:val="17"/>
        </w:rPr>
        <w:t>People who discover an article, video, guide, event reference, QR code, or shared link and are not yet seeking services, membership, work, or partnership.</w:t>
      </w:r>
    </w:p>
    <w:tbl>
      <w:tblPr>
        <w:tblW w:type="auto" w:w="0"/>
        <w:jc w:val="center"/>
        <w:tblLayout w:type="fixed"/>
        <w:tblLook w:firstColumn="1" w:firstRow="1" w:lastColumn="0" w:lastRow="0" w:noHBand="0" w:noVBand="1" w:val="04A0"/>
      </w:tblPr>
      <w:tblGrid>
        <w:gridCol w:w="2952"/>
        <w:gridCol w:w="6696"/>
      </w:tblGrid>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What they need</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Understand the ecosystem in plain language without needing prior knowledge of the internal structure.</w:t>
            </w:r>
          </w:p>
          <w:p>
            <w:pPr>
              <w:pStyle w:val="ListBullet"/>
              <w:spacing w:before="0" w:after="20" w:line="252" w:lineRule="auto"/>
            </w:pPr>
            <w:r>
              <w:rPr>
                <w:rFonts w:ascii="Liberation Sans" w:hAnsi="Liberation Sans"/>
                <w:b w:val="0"/>
                <w:i w:val="0"/>
                <w:color w:val="1F2A24"/>
                <w:sz w:val="17"/>
              </w:rPr>
              <w:t>Access useful public resources before deciding whether to engage more deeply.</w:t>
            </w:r>
          </w:p>
          <w:p>
            <w:pPr>
              <w:pStyle w:val="ListBullet"/>
              <w:spacing w:before="0" w:after="20" w:line="252" w:lineRule="auto"/>
            </w:pPr>
            <w:r>
              <w:rPr>
                <w:rFonts w:ascii="Liberation Sans" w:hAnsi="Liberation Sans"/>
                <w:b w:val="0"/>
                <w:i w:val="0"/>
                <w:color w:val="1F2A24"/>
                <w:sz w:val="17"/>
              </w:rPr>
              <w:t>See the difference among the parent, DoGoodie, and the Liberation Network.</w:t>
            </w:r>
          </w:p>
          <w:p>
            <w:pPr>
              <w:pStyle w:val="ListBullet"/>
              <w:spacing w:before="0" w:after="20" w:line="252" w:lineRule="auto"/>
            </w:pPr>
            <w:r>
              <w:rPr>
                <w:rFonts w:ascii="Liberation Sans" w:hAnsi="Liberation Sans"/>
                <w:b w:val="0"/>
                <w:i w:val="0"/>
                <w:color w:val="1F2A24"/>
                <w:sz w:val="17"/>
              </w:rPr>
              <w:t>Know that learning is available without pressure to apply, join, purchase, donate, or disclose personal information.</w:t>
            </w:r>
          </w:p>
          <w:p>
            <w:pPr>
              <w:pStyle w:val="ListBullet"/>
              <w:spacing w:before="0" w:after="20" w:line="252" w:lineRule="auto"/>
            </w:pPr>
            <w:r>
              <w:rPr>
                <w:rFonts w:ascii="Liberation Sans" w:hAnsi="Liberation Sans"/>
                <w:b w:val="0"/>
                <w:i w:val="0"/>
                <w:color w:val="1F2A24"/>
                <w:sz w:val="17"/>
              </w:rPr>
              <w:t>Find an easy path to organizations, builders, the network, or partnerships when their intent becomes clearer.</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What they may fear</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Dense jargon, ideological language, or an overwhelming explanation of the complete ecosystem.</w:t>
            </w:r>
          </w:p>
          <w:p>
            <w:pPr>
              <w:pStyle w:val="ListBullet"/>
              <w:spacing w:before="0" w:after="20" w:line="252" w:lineRule="auto"/>
            </w:pPr>
            <w:r>
              <w:rPr>
                <w:rFonts w:ascii="Liberation Sans" w:hAnsi="Liberation Sans"/>
                <w:b w:val="0"/>
                <w:i w:val="0"/>
                <w:color w:val="1F2A24"/>
                <w:sz w:val="17"/>
              </w:rPr>
              <w:t>Pressure to join a community, submit a form, or adopt an identity immediately.</w:t>
            </w:r>
          </w:p>
          <w:p>
            <w:pPr>
              <w:pStyle w:val="ListBullet"/>
              <w:spacing w:before="0" w:after="20" w:line="252" w:lineRule="auto"/>
            </w:pPr>
            <w:r>
              <w:rPr>
                <w:rFonts w:ascii="Liberation Sans" w:hAnsi="Liberation Sans"/>
                <w:b w:val="0"/>
                <w:i w:val="0"/>
                <w:color w:val="1F2A24"/>
                <w:sz w:val="17"/>
              </w:rPr>
              <w:t>Unclear motives, exaggerated impact claims, or an overly promotional experience.</w:t>
            </w:r>
          </w:p>
          <w:p>
            <w:pPr>
              <w:pStyle w:val="ListBullet"/>
              <w:spacing w:before="0" w:after="20" w:line="252" w:lineRule="auto"/>
            </w:pPr>
            <w:r>
              <w:rPr>
                <w:rFonts w:ascii="Liberation Sans" w:hAnsi="Liberation Sans"/>
                <w:b w:val="0"/>
                <w:i w:val="0"/>
                <w:color w:val="1F2A24"/>
                <w:sz w:val="17"/>
              </w:rPr>
              <w:t>Unnecessary tracking, data collection, or sensitive questions before value is provided.</w:t>
            </w:r>
          </w:p>
          <w:p>
            <w:pPr>
              <w:pStyle w:val="ListBullet"/>
              <w:spacing w:before="0" w:after="20" w:line="252" w:lineRule="auto"/>
            </w:pPr>
            <w:r>
              <w:rPr>
                <w:rFonts w:ascii="Liberation Sans" w:hAnsi="Liberation Sans"/>
                <w:b w:val="0"/>
                <w:i w:val="0"/>
                <w:color w:val="1F2A24"/>
                <w:sz w:val="17"/>
              </w:rPr>
              <w:t>Not knowing where to go after reading or which branch is relevant.</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Evidence that creates trust</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pStyle w:val="ListBullet"/>
              <w:spacing w:before="0" w:after="20" w:line="252" w:lineRule="auto"/>
            </w:pPr>
            <w:r>
              <w:rPr>
                <w:rFonts w:ascii="Liberation Sans" w:hAnsi="Liberation Sans"/>
                <w:b w:val="0"/>
                <w:i w:val="0"/>
                <w:color w:val="1F2A24"/>
                <w:sz w:val="17"/>
              </w:rPr>
              <w:t>Free public resources with named authors, sources, dates, and honest limitations.</w:t>
            </w:r>
          </w:p>
          <w:p>
            <w:pPr>
              <w:pStyle w:val="ListBullet"/>
              <w:spacing w:before="0" w:after="20" w:line="252" w:lineRule="auto"/>
            </w:pPr>
            <w:r>
              <w:rPr>
                <w:rFonts w:ascii="Liberation Sans" w:hAnsi="Liberation Sans"/>
                <w:b w:val="0"/>
                <w:i w:val="0"/>
                <w:color w:val="1F2A24"/>
                <w:sz w:val="17"/>
              </w:rPr>
              <w:t>A concise ecosystem overview and role-based or need-based Start Here page.</w:t>
            </w:r>
          </w:p>
          <w:p>
            <w:pPr>
              <w:pStyle w:val="ListBullet"/>
              <w:spacing w:before="0" w:after="20" w:line="252" w:lineRule="auto"/>
            </w:pPr>
            <w:r>
              <w:rPr>
                <w:rFonts w:ascii="Liberation Sans" w:hAnsi="Liberation Sans"/>
                <w:b w:val="0"/>
                <w:i w:val="0"/>
                <w:color w:val="1F2A24"/>
                <w:sz w:val="17"/>
              </w:rPr>
              <w:t>Accessible language, visible privacy information, and no-pressure participation messaging.</w:t>
            </w:r>
          </w:p>
          <w:p>
            <w:pPr>
              <w:pStyle w:val="ListBullet"/>
              <w:spacing w:before="0" w:after="20" w:line="252" w:lineRule="auto"/>
            </w:pPr>
            <w:r>
              <w:rPr>
                <w:rFonts w:ascii="Liberation Sans" w:hAnsi="Liberation Sans"/>
                <w:b w:val="0"/>
                <w:i w:val="0"/>
                <w:color w:val="1F2A24"/>
                <w:sz w:val="17"/>
              </w:rPr>
              <w:t>Real work, approved partners, transparent methods, and current-stage limitations.</w:t>
            </w:r>
          </w:p>
          <w:p>
            <w:pPr>
              <w:pStyle w:val="ListBullet"/>
              <w:spacing w:before="0" w:after="20" w:line="252" w:lineRule="auto"/>
            </w:pPr>
            <w:r>
              <w:rPr>
                <w:rFonts w:ascii="Liberation Sans" w:hAnsi="Liberation Sans"/>
                <w:b w:val="0"/>
                <w:i w:val="0"/>
                <w:color w:val="1F2A24"/>
                <w:sz w:val="17"/>
              </w:rPr>
              <w:t>Clear next-step links without requiring one universal application.</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Primary action</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Browse resources and choose a deeper pathway only when ready.</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Recommended pathway</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Public article, video, or QR code → Resources or Home → learn without pressure → optional Start Here pathway.</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Primary website pages</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Home, Resources, Ecosystem Overview, Start Here, About &amp; Governance, Privacy, Contact.</w:t>
            </w:r>
          </w:p>
        </w:tc>
      </w:tr>
      <w:tr>
        <w:trPr>
          <w:cantSplit/>
        </w:trPr>
        <w:tc>
          <w:tcPr>
            <w:tcW w:type="dxa" w:w="2952"/>
            <w:shd w:fill="F3DED7"/>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9A5B4A"/>
                <w:sz w:val="17"/>
              </w:rPr>
              <w:t>Do not promise</w:t>
            </w:r>
          </w:p>
        </w:tc>
        <w:tc>
          <w:tcPr>
            <w:tcW w:type="dxa" w:w="6696"/>
            <w:shd w:fill="F7ECE8"/>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Do not imply that reading creates membership, that public learning requires ideological agreement, or that visitors must disclose sensitive information to access basic resources.</w:t>
            </w:r>
          </w:p>
        </w:tc>
      </w:tr>
    </w:tbl>
    <w:p>
      <w:pPr>
        <w:keepNext/>
        <w:spacing w:before="140" w:after="60" w:line="240" w:lineRule="auto"/>
      </w:pPr>
      <w:r>
        <w:rPr>
          <w:rFonts w:ascii="Liberation Serif" w:hAnsi="Liberation Serif"/>
          <w:b/>
          <w:i w:val="0"/>
          <w:color w:val="3F5B3A"/>
          <w:sz w:val="26"/>
        </w:rPr>
        <w:t>Benchmark-informed rationale</w:t>
      </w:r>
    </w:p>
    <w:p>
      <w:pPr>
        <w:spacing w:before="0" w:after="0" w:line="264" w:lineRule="auto"/>
      </w:pPr>
      <w:r>
        <w:rPr>
          <w:rFonts w:ascii="Liberation Sans" w:hAnsi="Liberation Sans"/>
          <w:b w:val="0"/>
          <w:i w:val="0"/>
          <w:color w:val="1F2A24"/>
          <w:sz w:val="17"/>
        </w:rPr>
        <w:t>80,000 Hours and Plum Village both demonstrate that public learning can exist before deeper participation. The useful lesson is not to impose mandatory learning on every visitor, but to give people enough value and context to make an informed next choice.</w:t>
      </w:r>
    </w:p>
    <w:p>
      <w:r>
        <w:br w:type="page"/>
      </w:r>
    </w:p>
    <w:p>
      <w:pPr>
        <w:keepNext/>
        <w:spacing w:before="160" w:after="80" w:line="240" w:lineRule="auto"/>
      </w:pPr>
      <w:r>
        <w:rPr>
          <w:rFonts w:ascii="Liberation Serif" w:hAnsi="Liberation Serif"/>
          <w:b/>
          <w:i w:val="0"/>
          <w:color w:val="B2873E"/>
          <w:sz w:val="32"/>
        </w:rPr>
        <w:t xml:space="preserve">3. </w:t>
      </w:r>
      <w:r>
        <w:rPr>
          <w:rFonts w:ascii="Liberation Serif" w:hAnsi="Liberation Serif"/>
          <w:b/>
          <w:i w:val="0"/>
          <w:color w:val="1F2A24"/>
          <w:sz w:val="32"/>
        </w:rPr>
        <w:t>Cross-Audience Trust Architecture</w:t>
      </w:r>
    </w:p>
    <w:p>
      <w:pPr>
        <w:spacing w:before="0" w:after="160" w:line="259" w:lineRule="auto"/>
      </w:pPr>
      <w:r>
        <w:rPr>
          <w:rFonts w:ascii="Liberation Sans" w:hAnsi="Liberation Sans"/>
          <w:b w:val="0"/>
          <w:i/>
          <w:color w:val="6E766F"/>
          <w:sz w:val="19"/>
        </w:rPr>
        <w:t>What the public website must prove, where it should appear, and what should wait.</w:t>
      </w:r>
    </w:p>
    <w:p>
      <w:pPr>
        <w:keepNext/>
        <w:spacing w:before="140" w:after="60" w:line="240" w:lineRule="auto"/>
      </w:pPr>
      <w:r>
        <w:rPr>
          <w:rFonts w:ascii="Liberation Serif" w:hAnsi="Liberation Serif"/>
          <w:b/>
          <w:i w:val="0"/>
          <w:color w:val="3F5B3A"/>
          <w:sz w:val="26"/>
        </w:rPr>
        <w:t>Five forms of trust</w:t>
      </w:r>
    </w:p>
    <w:tbl>
      <w:tblPr>
        <w:tblW w:type="auto" w:w="0"/>
        <w:jc w:val="center"/>
        <w:tblLayout w:type="fixed"/>
        <w:tblLook w:firstColumn="1" w:firstRow="1" w:lastColumn="0" w:lastRow="0" w:noHBand="0" w:noVBand="1" w:val="04A0"/>
      </w:tblPr>
      <w:tblGrid>
        <w:gridCol w:w="2952"/>
        <w:gridCol w:w="6696"/>
      </w:tblGrid>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Clarity trust</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Visitors can distinguish the parent, DoGoodie, and the Liberation Network and know which path is relevant.</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Institutional trust</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The parent explains governance, methodology, ethical safeguards, decision responsibility, conflicts, and limitations.</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Operational trust</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DoGoodie explains current capabilities, process, scope, ownership, delivery boundaries, and review.</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Relational trust</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The Liberation Network explains consent, voluntary exchange, participation layers, one-on-one boundaries, and mutual fit.</w:t>
            </w:r>
          </w:p>
        </w:tc>
      </w:tr>
      <w:tr>
        <w:trPr>
          <w:cantSplit/>
        </w:trPr>
        <w:tc>
          <w:tcPr>
            <w:tcW w:type="dxa" w:w="2952"/>
            <w:shd w:fill="F2F5E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2" w:lineRule="auto"/>
            </w:pPr>
            <w:r>
              <w:rPr>
                <w:rFonts w:ascii="Liberation Sans" w:hAnsi="Liberation Sans"/>
                <w:b/>
                <w:i w:val="0"/>
                <w:color w:val="3F5B3A"/>
                <w:sz w:val="17"/>
              </w:rPr>
              <w:t>Evidence trust</w:t>
            </w:r>
          </w:p>
        </w:tc>
        <w:tc>
          <w:tcPr>
            <w:tcW w:type="dxa" w:w="6696"/>
            <w:shd w:fill="FFFFFF"/>
            <w:tcBorders>
              <w:top w:val="single" w:sz="4" w:color="D9DED7"/>
              <w:left w:val="single" w:sz="4" w:color="D9DED7"/>
              <w:bottom w:val="single" w:sz="4" w:color="D9DED7"/>
              <w:right w:val="single" w:sz="4" w:color="D9DED7"/>
            </w:tcBorders>
            <w:tcMar>
              <w:top w:w="70" w:type="dxa"/>
              <w:start w:w="90" w:type="dxa"/>
              <w:bottom w:w="70" w:type="dxa"/>
              <w:end w:w="90" w:type="dxa"/>
            </w:tcMar>
            <w:vAlign w:val="top"/>
          </w:tcPr>
          <w:p>
            <w:pPr>
              <w:spacing w:before="0" w:after="0" w:line="259" w:lineRule="auto"/>
            </w:pPr>
            <w:r>
              <w:rPr>
                <w:rFonts w:ascii="Liberation Sans" w:hAnsi="Liberation Sans"/>
                <w:b w:val="0"/>
                <w:i w:val="0"/>
                <w:color w:val="1F2A24"/>
                <w:sz w:val="17"/>
              </w:rPr>
              <w:t>The site uses approved work, sources, case studies, partner permissions, and honest limitations rather than unsupported scale or impact claims.</w:t>
            </w:r>
          </w:p>
        </w:tc>
      </w:tr>
    </w:tbl>
    <w:p>
      <w:pPr>
        <w:keepNext/>
        <w:spacing w:before="140" w:after="60" w:line="240" w:lineRule="auto"/>
      </w:pPr>
      <w:r>
        <w:rPr>
          <w:rFonts w:ascii="Liberation Serif" w:hAnsi="Liberation Serif"/>
          <w:b/>
          <w:i w:val="0"/>
          <w:color w:val="3F5B3A"/>
          <w:sz w:val="26"/>
        </w:rPr>
        <w:t>Minimum evidence needed for the MVP</w:t>
      </w:r>
    </w:p>
    <w:p>
      <w:pPr>
        <w:pStyle w:val="ListBullet"/>
        <w:spacing w:before="0" w:after="40" w:line="259" w:lineRule="auto"/>
      </w:pPr>
      <w:r>
        <w:rPr>
          <w:rFonts w:ascii="Liberation Sans" w:hAnsi="Liberation Sans"/>
          <w:b w:val="0"/>
          <w:i w:val="0"/>
          <w:color w:val="1F2A24"/>
          <w:sz w:val="19"/>
        </w:rPr>
        <w:t>A simple ecosystem diagram and a page explaining what remains separate.</w:t>
      </w:r>
    </w:p>
    <w:p>
      <w:pPr>
        <w:pStyle w:val="ListBullet"/>
        <w:spacing w:before="0" w:after="40" w:line="259" w:lineRule="auto"/>
      </w:pPr>
      <w:r>
        <w:rPr>
          <w:rFonts w:ascii="Liberation Sans" w:hAnsi="Liberation Sans"/>
          <w:b w:val="0"/>
          <w:i w:val="0"/>
          <w:color w:val="1F2A24"/>
          <w:sz w:val="19"/>
        </w:rPr>
        <w:t>Named team roles and a clear contact or escalation route.</w:t>
      </w:r>
    </w:p>
    <w:p>
      <w:pPr>
        <w:pStyle w:val="ListBullet"/>
        <w:spacing w:before="0" w:after="40" w:line="259" w:lineRule="auto"/>
      </w:pPr>
      <w:r>
        <w:rPr>
          <w:rFonts w:ascii="Liberation Sans" w:hAnsi="Liberation Sans"/>
          <w:b w:val="0"/>
          <w:i w:val="0"/>
          <w:color w:val="1F2A24"/>
          <w:sz w:val="19"/>
        </w:rPr>
        <w:t>A reviewed list of currently authorized DoGoodie capabilities and explicit out-of-scope work.</w:t>
      </w:r>
    </w:p>
    <w:p>
      <w:pPr>
        <w:pStyle w:val="ListBullet"/>
        <w:spacing w:before="0" w:after="40" w:line="259" w:lineRule="auto"/>
      </w:pPr>
      <w:r>
        <w:rPr>
          <w:rFonts w:ascii="Liberation Sans" w:hAnsi="Liberation Sans"/>
          <w:b w:val="0"/>
          <w:i w:val="0"/>
          <w:color w:val="1F2A24"/>
          <w:sz w:val="19"/>
        </w:rPr>
        <w:t>A plain-language inquiry, review, scoping, proposal, delivery, and closure process.</w:t>
      </w:r>
    </w:p>
    <w:p>
      <w:pPr>
        <w:pStyle w:val="ListBullet"/>
        <w:spacing w:before="0" w:after="40" w:line="259" w:lineRule="auto"/>
      </w:pPr>
      <w:r>
        <w:rPr>
          <w:rFonts w:ascii="Liberation Sans" w:hAnsi="Liberation Sans"/>
          <w:b w:val="0"/>
          <w:i w:val="0"/>
          <w:color w:val="1F2A24"/>
          <w:sz w:val="19"/>
        </w:rPr>
        <w:t>Ethical collaboration principles covering compensation, consent, privacy, attribution, confidentiality, feedback, and safe exit.</w:t>
      </w:r>
    </w:p>
    <w:p>
      <w:pPr>
        <w:pStyle w:val="ListBullet"/>
        <w:spacing w:before="0" w:after="40" w:line="259" w:lineRule="auto"/>
      </w:pPr>
      <w:r>
        <w:rPr>
          <w:rFonts w:ascii="Liberation Sans" w:hAnsi="Liberation Sans"/>
          <w:b w:val="0"/>
          <w:i w:val="0"/>
          <w:color w:val="1F2A24"/>
          <w:sz w:val="19"/>
        </w:rPr>
        <w:t>Participation layers and one-on-one boundaries for the Liberation Network.</w:t>
      </w:r>
    </w:p>
    <w:p>
      <w:pPr>
        <w:pStyle w:val="ListBullet"/>
        <w:spacing w:before="0" w:after="40" w:line="259" w:lineRule="auto"/>
      </w:pPr>
      <w:r>
        <w:rPr>
          <w:rFonts w:ascii="Liberation Sans" w:hAnsi="Liberation Sans"/>
          <w:b w:val="0"/>
          <w:i w:val="0"/>
          <w:color w:val="1F2A24"/>
          <w:sz w:val="19"/>
        </w:rPr>
        <w:t>At least a small set of genuine, approved outputs or case studies, including what remains unproven.</w:t>
      </w:r>
    </w:p>
    <w:p>
      <w:pPr>
        <w:pStyle w:val="ListBullet"/>
        <w:spacing w:before="0" w:after="40" w:line="259" w:lineRule="auto"/>
      </w:pPr>
      <w:r>
        <w:rPr>
          <w:rFonts w:ascii="Liberation Sans" w:hAnsi="Liberation Sans"/>
          <w:b w:val="0"/>
          <w:i w:val="0"/>
          <w:color w:val="1F2A24"/>
          <w:sz w:val="19"/>
        </w:rPr>
        <w:t>Privacy, Terms, Accessibility, Community Standards, and Report a Concern links near relevant actions.</w:t>
      </w:r>
    </w:p>
    <w:p>
      <w:pPr>
        <w:pStyle w:val="ListBullet"/>
        <w:spacing w:before="0" w:after="40" w:line="259" w:lineRule="auto"/>
      </w:pPr>
      <w:r>
        <w:rPr>
          <w:rFonts w:ascii="Liberation Sans" w:hAnsi="Liberation Sans"/>
          <w:b w:val="0"/>
          <w:i w:val="0"/>
          <w:color w:val="1F2A24"/>
          <w:sz w:val="19"/>
        </w:rPr>
        <w:t>No-guarantee statements beside project, builder, partnership, and network forms.</w:t>
      </w:r>
    </w:p>
    <w:p>
      <w:pPr>
        <w:keepNext/>
        <w:spacing w:before="140" w:after="60" w:line="240" w:lineRule="auto"/>
      </w:pPr>
      <w:r>
        <w:rPr>
          <w:rFonts w:ascii="Liberation Serif" w:hAnsi="Liberation Serif"/>
          <w:b/>
          <w:i w:val="0"/>
          <w:color w:val="3F5B3A"/>
          <w:sz w:val="26"/>
        </w:rPr>
        <w:t>Evidence that should wait until it exists</w:t>
      </w:r>
    </w:p>
    <w:p>
      <w:pPr>
        <w:pStyle w:val="ListBullet"/>
        <w:spacing w:before="0" w:after="40" w:line="259" w:lineRule="auto"/>
      </w:pPr>
      <w:r>
        <w:rPr>
          <w:rFonts w:ascii="Liberation Sans" w:hAnsi="Liberation Sans"/>
          <w:b w:val="0"/>
          <w:i w:val="0"/>
          <w:color w:val="1F2A24"/>
          <w:sz w:val="19"/>
        </w:rPr>
        <w:t>Quantified impact metrics, time saved, funds raised, placement rates, or network-scale claims without consistent internal tracking.</w:t>
      </w:r>
    </w:p>
    <w:p>
      <w:pPr>
        <w:pStyle w:val="ListBullet"/>
        <w:spacing w:before="0" w:after="40" w:line="259" w:lineRule="auto"/>
      </w:pPr>
      <w:r>
        <w:rPr>
          <w:rFonts w:ascii="Liberation Sans" w:hAnsi="Liberation Sans"/>
          <w:b w:val="0"/>
          <w:i w:val="0"/>
          <w:color w:val="1F2A24"/>
          <w:sz w:val="19"/>
        </w:rPr>
        <w:t>Partner logos, testimonials, named relationships, or professional endorsements without explicit permission.</w:t>
      </w:r>
    </w:p>
    <w:p>
      <w:pPr>
        <w:pStyle w:val="ListBullet"/>
        <w:spacing w:before="0" w:after="40" w:line="259" w:lineRule="auto"/>
      </w:pPr>
      <w:r>
        <w:rPr>
          <w:rFonts w:ascii="Liberation Sans" w:hAnsi="Liberation Sans"/>
          <w:b w:val="0"/>
          <w:i w:val="0"/>
          <w:color w:val="1F2A24"/>
          <w:sz w:val="19"/>
        </w:rPr>
        <w:t>Formal advisory-board, independent-governance, certification, audit, or standards-enforcement claims before review and establishment.</w:t>
      </w:r>
    </w:p>
    <w:p>
      <w:pPr>
        <w:pStyle w:val="ListBullet"/>
        <w:spacing w:before="0" w:after="40" w:line="259" w:lineRule="auto"/>
      </w:pPr>
      <w:r>
        <w:rPr>
          <w:rFonts w:ascii="Liberation Sans" w:hAnsi="Liberation Sans"/>
          <w:b w:val="0"/>
          <w:i w:val="0"/>
          <w:color w:val="1F2A24"/>
          <w:sz w:val="19"/>
        </w:rPr>
        <w:t>Public member directories, recommendation systems, matching systems, or private-network commerce before consent, moderation, and privacy capacity exist.</w:t>
      </w:r>
    </w:p>
    <w:tbl>
      <w:tblPr>
        <w:tblW w:type="auto" w:w="0"/>
        <w:jc w:val="center"/>
        <w:tblLayout w:type="fixed"/>
        <w:tblLook w:firstColumn="1" w:firstRow="1" w:lastColumn="0" w:lastRow="0" w:noHBand="0" w:noVBand="1" w:val="04A0"/>
      </w:tblPr>
      <w:tblGrid>
        <w:gridCol w:w="259"/>
        <w:gridCol w:w="9648"/>
      </w:tblGrid>
      <w:tr>
        <w:tc>
          <w:tcPr>
            <w:tcW w:type="dxa" w:w="5083"/>
            <w:shd w:fill="44627C"/>
            <w:tcBorders>
              <w:top w:val="single" w:sz="4" w:color="EAF0F6"/>
              <w:left w:val="single" w:sz="4" w:color="EAF0F6"/>
              <w:bottom w:val="single" w:sz="4" w:color="EAF0F6"/>
              <w:right w:val="single" w:sz="4" w:color="EAF0F6"/>
            </w:tcBorders>
            <w:vAlign w:val="top"/>
          </w:tcPr>
          <w:p/>
        </w:tc>
        <w:tc>
          <w:tcPr>
            <w:tcW w:type="dxa" w:w="5083"/>
            <w:shd w:fill="EAF0F6"/>
            <w:tcBorders>
              <w:top w:val="single" w:sz="4" w:color="EAF0F6"/>
              <w:left w:val="single" w:sz="4" w:color="EAF0F6"/>
              <w:bottom w:val="single" w:sz="4" w:color="EAF0F6"/>
              <w:right w:val="single" w:sz="4" w:color="EAF0F6"/>
            </w:tcBorders>
            <w:tcMar>
              <w:top w:w="90" w:type="dxa"/>
              <w:start w:w="130" w:type="dxa"/>
              <w:bottom w:w="90" w:type="dxa"/>
              <w:end w:w="130" w:type="dxa"/>
            </w:tcMar>
            <w:vAlign w:val="top"/>
          </w:tcPr>
          <w:p>
            <w:pPr>
              <w:spacing w:before="0" w:after="40" w:line="252" w:lineRule="auto"/>
            </w:pPr>
            <w:r>
              <w:rPr>
                <w:rFonts w:ascii="Liberation Sans" w:hAnsi="Liberation Sans"/>
                <w:b/>
                <w:i w:val="0"/>
                <w:color w:val="44627C"/>
                <w:sz w:val="21"/>
              </w:rPr>
              <w:t>Trust rule</w:t>
            </w:r>
          </w:p>
          <w:p>
            <w:pPr>
              <w:spacing w:before="0" w:after="0" w:line="259" w:lineRule="auto"/>
            </w:pPr>
            <w:r>
              <w:rPr>
                <w:rFonts w:ascii="Liberation Sans" w:hAnsi="Liberation Sans"/>
                <w:b w:val="0"/>
                <w:i w:val="0"/>
                <w:color w:val="1F2A24"/>
                <w:sz w:val="19"/>
              </w:rPr>
              <w:t>Place the evidence and safeguard closest to the decision it supports. Builder compensation belongs near opportunities; one-on-one boundaries belong before the conversation; privacy warnings belong before submission; partner-display rules belong before public listing.</w:t>
            </w:r>
          </w:p>
        </w:tc>
      </w:tr>
    </w:tbl>
    <w:p>
      <w:r>
        <w:br w:type="page"/>
      </w:r>
    </w:p>
    <w:p>
      <w:pPr>
        <w:keepNext/>
        <w:spacing w:before="160" w:after="80" w:line="240" w:lineRule="auto"/>
      </w:pPr>
      <w:r>
        <w:rPr>
          <w:rFonts w:ascii="Liberation Serif" w:hAnsi="Liberation Serif"/>
          <w:b/>
          <w:i w:val="0"/>
          <w:color w:val="B2873E"/>
          <w:sz w:val="32"/>
        </w:rPr>
        <w:t xml:space="preserve">4. </w:t>
      </w:r>
      <w:r>
        <w:rPr>
          <w:rFonts w:ascii="Liberation Serif" w:hAnsi="Liberation Serif"/>
          <w:b/>
          <w:i w:val="0"/>
          <w:color w:val="1F2A24"/>
          <w:sz w:val="32"/>
        </w:rPr>
        <w:t>CTA and Routing Map</w:t>
      </w:r>
    </w:p>
    <w:p>
      <w:pPr>
        <w:spacing w:before="0" w:after="160" w:line="259" w:lineRule="auto"/>
      </w:pPr>
      <w:r>
        <w:rPr>
          <w:rFonts w:ascii="Liberation Sans" w:hAnsi="Liberation Sans"/>
          <w:b w:val="0"/>
          <w:i/>
          <w:color w:val="6E766F"/>
          <w:sz w:val="19"/>
        </w:rPr>
        <w:t>One audience, one primary next action, with deeper steps introduced only when relevant.</w:t>
      </w:r>
    </w:p>
    <w:tbl>
      <w:tblPr>
        <w:tblW w:type="auto" w:w="0"/>
        <w:jc w:val="center"/>
        <w:tblLayout w:type="fixed"/>
        <w:tblLook w:firstColumn="1" w:firstRow="1" w:lastColumn="0" w:lastRow="0" w:noHBand="0" w:noVBand="1" w:val="04A0"/>
      </w:tblPr>
      <w:tblGrid>
        <w:gridCol w:w="2088"/>
        <w:gridCol w:w="2232"/>
        <w:gridCol w:w="2232"/>
        <w:gridCol w:w="2736"/>
        <w:gridCol w:w="2376"/>
      </w:tblGrid>
      <w:tr>
        <w:trPr>
          <w:tblHeader w:val="true"/>
        </w:trPr>
        <w:tc>
          <w:tcPr>
            <w:tcW w:type="dxa" w:w="2033"/>
            <w:shd w:fill="3F5B3A"/>
            <w:tcMar>
              <w:top w:w="60" w:type="dxa"/>
              <w:start w:w="70" w:type="dxa"/>
              <w:bottom w:w="60" w:type="dxa"/>
              <w:end w:w="70" w:type="dxa"/>
            </w:tcMar>
            <w:tcBorders>
              <w:top w:val="single" w:sz="4" w:color="3F5B3A"/>
              <w:left w:val="single" w:sz="4" w:color="3F5B3A"/>
              <w:bottom w:val="single" w:sz="4" w:color="3F5B3A"/>
              <w:right w:val="single" w:sz="4" w:color="3F5B3A"/>
            </w:tcBorders>
            <w:vAlign w:val="top"/>
          </w:tcPr>
          <w:p>
            <w:pPr>
              <w:spacing w:before="0" w:after="0" w:line="252" w:lineRule="auto"/>
            </w:pPr>
            <w:r>
              <w:rPr>
                <w:rFonts w:ascii="Liberation Sans" w:hAnsi="Liberation Sans"/>
                <w:b/>
                <w:i w:val="0"/>
                <w:color w:val="FFFFFF"/>
                <w:sz w:val="16"/>
              </w:rPr>
              <w:t>Audience</w:t>
            </w:r>
          </w:p>
        </w:tc>
        <w:tc>
          <w:tcPr>
            <w:tcW w:type="dxa" w:w="2033"/>
            <w:shd w:fill="3F5B3A"/>
            <w:tcMar>
              <w:top w:w="60" w:type="dxa"/>
              <w:start w:w="70" w:type="dxa"/>
              <w:bottom w:w="60" w:type="dxa"/>
              <w:end w:w="70" w:type="dxa"/>
            </w:tcMar>
            <w:tcBorders>
              <w:top w:val="single" w:sz="4" w:color="3F5B3A"/>
              <w:left w:val="single" w:sz="4" w:color="3F5B3A"/>
              <w:bottom w:val="single" w:sz="4" w:color="3F5B3A"/>
              <w:right w:val="single" w:sz="4" w:color="3F5B3A"/>
            </w:tcBorders>
            <w:vAlign w:val="top"/>
          </w:tcPr>
          <w:p>
            <w:pPr>
              <w:spacing w:before="0" w:after="0" w:line="252" w:lineRule="auto"/>
            </w:pPr>
            <w:r>
              <w:rPr>
                <w:rFonts w:ascii="Liberation Sans" w:hAnsi="Liberation Sans"/>
                <w:b/>
                <w:i w:val="0"/>
                <w:color w:val="FFFFFF"/>
                <w:sz w:val="16"/>
              </w:rPr>
              <w:t>Start Here choice</w:t>
            </w:r>
          </w:p>
        </w:tc>
        <w:tc>
          <w:tcPr>
            <w:tcW w:type="dxa" w:w="2033"/>
            <w:shd w:fill="3F5B3A"/>
            <w:tcMar>
              <w:top w:w="60" w:type="dxa"/>
              <w:start w:w="70" w:type="dxa"/>
              <w:bottom w:w="60" w:type="dxa"/>
              <w:end w:w="70" w:type="dxa"/>
            </w:tcMar>
            <w:tcBorders>
              <w:top w:val="single" w:sz="4" w:color="3F5B3A"/>
              <w:left w:val="single" w:sz="4" w:color="3F5B3A"/>
              <w:bottom w:val="single" w:sz="4" w:color="3F5B3A"/>
              <w:right w:val="single" w:sz="4" w:color="3F5B3A"/>
            </w:tcBorders>
            <w:vAlign w:val="top"/>
          </w:tcPr>
          <w:p>
            <w:pPr>
              <w:spacing w:before="0" w:after="0" w:line="252" w:lineRule="auto"/>
            </w:pPr>
            <w:r>
              <w:rPr>
                <w:rFonts w:ascii="Liberation Sans" w:hAnsi="Liberation Sans"/>
                <w:b/>
                <w:i w:val="0"/>
                <w:color w:val="FFFFFF"/>
                <w:sz w:val="16"/>
              </w:rPr>
              <w:t>Destination</w:t>
            </w:r>
          </w:p>
        </w:tc>
        <w:tc>
          <w:tcPr>
            <w:tcW w:type="dxa" w:w="2033"/>
            <w:shd w:fill="3F5B3A"/>
            <w:tcMar>
              <w:top w:w="60" w:type="dxa"/>
              <w:start w:w="70" w:type="dxa"/>
              <w:bottom w:w="60" w:type="dxa"/>
              <w:end w:w="70" w:type="dxa"/>
            </w:tcMar>
            <w:tcBorders>
              <w:top w:val="single" w:sz="4" w:color="3F5B3A"/>
              <w:left w:val="single" w:sz="4" w:color="3F5B3A"/>
              <w:bottom w:val="single" w:sz="4" w:color="3F5B3A"/>
              <w:right w:val="single" w:sz="4" w:color="3F5B3A"/>
            </w:tcBorders>
            <w:vAlign w:val="top"/>
          </w:tcPr>
          <w:p>
            <w:pPr>
              <w:spacing w:before="0" w:after="0" w:line="252" w:lineRule="auto"/>
            </w:pPr>
            <w:r>
              <w:rPr>
                <w:rFonts w:ascii="Liberation Sans" w:hAnsi="Liberation Sans"/>
                <w:b/>
                <w:i w:val="0"/>
                <w:color w:val="FFFFFF"/>
                <w:sz w:val="16"/>
              </w:rPr>
              <w:t>Primary CTA</w:t>
            </w:r>
          </w:p>
        </w:tc>
        <w:tc>
          <w:tcPr>
            <w:tcW w:type="dxa" w:w="2033"/>
            <w:shd w:fill="3F5B3A"/>
            <w:tcMar>
              <w:top w:w="60" w:type="dxa"/>
              <w:start w:w="70" w:type="dxa"/>
              <w:bottom w:w="60" w:type="dxa"/>
              <w:end w:w="70" w:type="dxa"/>
            </w:tcMar>
            <w:tcBorders>
              <w:top w:val="single" w:sz="4" w:color="3F5B3A"/>
              <w:left w:val="single" w:sz="4" w:color="3F5B3A"/>
              <w:bottom w:val="single" w:sz="4" w:color="3F5B3A"/>
              <w:right w:val="single" w:sz="4" w:color="3F5B3A"/>
            </w:tcBorders>
            <w:vAlign w:val="top"/>
          </w:tcPr>
          <w:p>
            <w:pPr>
              <w:spacing w:before="0" w:after="0" w:line="252" w:lineRule="auto"/>
            </w:pPr>
            <w:r>
              <w:rPr>
                <w:rFonts w:ascii="Liberation Sans" w:hAnsi="Liberation Sans"/>
                <w:b/>
                <w:i w:val="0"/>
                <w:color w:val="FFFFFF"/>
                <w:sz w:val="16"/>
              </w:rPr>
              <w:t>What happens next</w:t>
            </w:r>
          </w:p>
        </w:tc>
      </w:tr>
      <w:tr>
        <w:trPr>
          <w:cantSplit/>
        </w:trPr>
        <w:tc>
          <w:tcPr>
            <w:tcW w:type="dxa" w:w="2088"/>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i w:val="0"/>
                <w:color w:val="3F5B3A"/>
                <w:sz w:val="16"/>
              </w:rPr>
              <w:t>Organization met by Skyler</w:t>
            </w:r>
          </w:p>
        </w:tc>
        <w:tc>
          <w:tcPr>
            <w:tcW w:type="dxa" w:w="2232"/>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I represent an organization</w:t>
            </w:r>
          </w:p>
        </w:tc>
        <w:tc>
          <w:tcPr>
            <w:tcW w:type="dxa" w:w="2232"/>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For Organizations</w:t>
            </w:r>
          </w:p>
        </w:tc>
        <w:tc>
          <w:tcPr>
            <w:tcW w:type="dxa" w:w="2736"/>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Submit a challenge or request a conversation</w:t>
            </w:r>
          </w:p>
        </w:tc>
        <w:tc>
          <w:tcPr>
            <w:tcW w:type="dxa" w:w="2376"/>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Human review and response</w:t>
            </w:r>
          </w:p>
        </w:tc>
      </w:tr>
      <w:tr>
        <w:trPr>
          <w:cantSplit/>
        </w:trPr>
        <w:tc>
          <w:tcPr>
            <w:tcW w:type="dxa" w:w="2088"/>
            <w:shd w:fill="F2F5E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i w:val="0"/>
                <w:color w:val="3F5B3A"/>
                <w:sz w:val="16"/>
              </w:rPr>
              <w:t>Potential builder</w:t>
            </w:r>
          </w:p>
        </w:tc>
        <w:tc>
          <w:tcPr>
            <w:tcW w:type="dxa" w:w="2232"/>
            <w:shd w:fill="F2F5E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I want to build or contribute</w:t>
            </w:r>
          </w:p>
        </w:tc>
        <w:tc>
          <w:tcPr>
            <w:tcW w:type="dxa" w:w="2232"/>
            <w:shd w:fill="F2F5E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For Builders + Ethical Work</w:t>
            </w:r>
          </w:p>
        </w:tc>
        <w:tc>
          <w:tcPr>
            <w:tcW w:type="dxa" w:w="2736"/>
            <w:shd w:fill="F2F5E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Submit an expression of interest</w:t>
            </w:r>
          </w:p>
        </w:tc>
        <w:tc>
          <w:tcPr>
            <w:tcW w:type="dxa" w:w="2376"/>
            <w:shd w:fill="F2F5E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Separate opportunity and fit review</w:t>
            </w:r>
          </w:p>
        </w:tc>
      </w:tr>
      <w:tr>
        <w:trPr>
          <w:cantSplit/>
        </w:trPr>
        <w:tc>
          <w:tcPr>
            <w:tcW w:type="dxa" w:w="2088"/>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i w:val="0"/>
                <w:color w:val="3F5B3A"/>
                <w:sz w:val="16"/>
              </w:rPr>
              <w:t>Potential Liberation participant</w:t>
            </w:r>
          </w:p>
        </w:tc>
        <w:tc>
          <w:tcPr>
            <w:tcW w:type="dxa" w:w="2232"/>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I want to explore the Liberation Network</w:t>
            </w:r>
          </w:p>
        </w:tc>
        <w:tc>
          <w:tcPr>
            <w:tcW w:type="dxa" w:w="2232"/>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Liberation + How It Works</w:t>
            </w:r>
          </w:p>
        </w:tc>
        <w:tc>
          <w:tcPr>
            <w:tcW w:type="dxa" w:w="2736"/>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Express interest or accept a referral</w:t>
            </w:r>
          </w:p>
        </w:tc>
        <w:tc>
          <w:tcPr>
            <w:tcW w:type="dxa" w:w="2376"/>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One-on-one conversation and small next step</w:t>
            </w:r>
          </w:p>
        </w:tc>
      </w:tr>
      <w:tr>
        <w:trPr>
          <w:cantSplit/>
        </w:trPr>
        <w:tc>
          <w:tcPr>
            <w:tcW w:type="dxa" w:w="2088"/>
            <w:shd w:fill="F2F5E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i w:val="0"/>
                <w:color w:val="3F5B3A"/>
                <w:sz w:val="16"/>
              </w:rPr>
              <w:t>Potential partner</w:t>
            </w:r>
          </w:p>
        </w:tc>
        <w:tc>
          <w:tcPr>
            <w:tcW w:type="dxa" w:w="2232"/>
            <w:shd w:fill="F2F5E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I want to partner or provide a resource</w:t>
            </w:r>
          </w:p>
        </w:tc>
        <w:tc>
          <w:tcPr>
            <w:tcW w:type="dxa" w:w="2232"/>
            <w:shd w:fill="F2F5E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Work &amp; Partners</w:t>
            </w:r>
          </w:p>
        </w:tc>
        <w:tc>
          <w:tcPr>
            <w:tcW w:type="dxa" w:w="2736"/>
            <w:shd w:fill="F2F5E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Propose a resource, service, project, or collaboration</w:t>
            </w:r>
          </w:p>
        </w:tc>
        <w:tc>
          <w:tcPr>
            <w:tcW w:type="dxa" w:w="2376"/>
            <w:shd w:fill="F2F5E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Strategic review and branch routing</w:t>
            </w:r>
          </w:p>
        </w:tc>
      </w:tr>
      <w:tr>
        <w:trPr>
          <w:cantSplit/>
        </w:trPr>
        <w:tc>
          <w:tcPr>
            <w:tcW w:type="dxa" w:w="2088"/>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i w:val="0"/>
                <w:color w:val="3F5B3A"/>
                <w:sz w:val="16"/>
              </w:rPr>
              <w:t>General learner</w:t>
            </w:r>
          </w:p>
        </w:tc>
        <w:tc>
          <w:tcPr>
            <w:tcW w:type="dxa" w:w="2232"/>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I want to learn</w:t>
            </w:r>
          </w:p>
        </w:tc>
        <w:tc>
          <w:tcPr>
            <w:tcW w:type="dxa" w:w="2232"/>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Resources</w:t>
            </w:r>
          </w:p>
        </w:tc>
        <w:tc>
          <w:tcPr>
            <w:tcW w:type="dxa" w:w="2736"/>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Read, watch, or explore</w:t>
            </w:r>
          </w:p>
        </w:tc>
        <w:tc>
          <w:tcPr>
            <w:tcW w:type="dxa" w:w="2376"/>
            <w:shd w:fill="FFFFFF"/>
            <w:tcMar>
              <w:top w:w="60" w:type="dxa"/>
              <w:start w:w="70" w:type="dxa"/>
              <w:bottom w:w="60" w:type="dxa"/>
              <w:end w:w="70" w:type="dxa"/>
            </w:tcMar>
            <w:tcBorders>
              <w:top w:val="single" w:sz="3" w:color="D8DDD6"/>
              <w:left w:val="single" w:sz="3" w:color="D8DDD6"/>
              <w:bottom w:val="single" w:sz="3" w:color="D8DDD6"/>
              <w:right w:val="single" w:sz="3" w:color="D8DDD6"/>
            </w:tcBorders>
            <w:vAlign w:val="top"/>
          </w:tcPr>
          <w:p>
            <w:pPr>
              <w:spacing w:before="0" w:after="0" w:line="252" w:lineRule="auto"/>
            </w:pPr>
            <w:r>
              <w:rPr>
                <w:rFonts w:ascii="Liberation Sans" w:hAnsi="Liberation Sans"/>
                <w:b w:val="0"/>
                <w:i w:val="0"/>
                <w:color w:val="1F2A24"/>
                <w:sz w:val="16"/>
              </w:rPr>
              <w:t>Optional deeper pathway later</w:t>
            </w:r>
          </w:p>
        </w:tc>
      </w:tr>
    </w:tbl>
    <w:p>
      <w:pPr>
        <w:keepNext/>
        <w:spacing w:before="140" w:after="60" w:line="240" w:lineRule="auto"/>
      </w:pPr>
      <w:r>
        <w:rPr>
          <w:rFonts w:ascii="Liberation Serif" w:hAnsi="Liberation Serif"/>
          <w:b/>
          <w:i w:val="0"/>
          <w:color w:val="3F5B3A"/>
          <w:sz w:val="26"/>
        </w:rPr>
        <w:t>Shared routing safeguards</w:t>
      </w:r>
    </w:p>
    <w:p>
      <w:pPr>
        <w:pStyle w:val="ListBullet"/>
        <w:spacing w:before="0" w:after="40" w:line="259" w:lineRule="auto"/>
      </w:pPr>
      <w:r>
        <w:rPr>
          <w:rFonts w:ascii="Liberation Sans" w:hAnsi="Liberation Sans"/>
          <w:b w:val="0"/>
          <w:i w:val="0"/>
          <w:color w:val="1F2A24"/>
          <w:sz w:val="19"/>
        </w:rPr>
        <w:t>Do not place all audiences into one giant application form.</w:t>
      </w:r>
    </w:p>
    <w:p>
      <w:pPr>
        <w:pStyle w:val="ListBullet"/>
        <w:spacing w:before="0" w:after="40" w:line="259" w:lineRule="auto"/>
      </w:pPr>
      <w:r>
        <w:rPr>
          <w:rFonts w:ascii="Liberation Sans" w:hAnsi="Liberation Sans"/>
          <w:b w:val="0"/>
          <w:i w:val="0"/>
          <w:color w:val="1F2A24"/>
          <w:sz w:val="19"/>
        </w:rPr>
        <w:t>Collect only information needed for the immediate next decision.</w:t>
      </w:r>
    </w:p>
    <w:p>
      <w:pPr>
        <w:pStyle w:val="ListBullet"/>
        <w:spacing w:before="0" w:after="40" w:line="259" w:lineRule="auto"/>
      </w:pPr>
      <w:r>
        <w:rPr>
          <w:rFonts w:ascii="Liberation Sans" w:hAnsi="Liberation Sans"/>
          <w:b w:val="0"/>
          <w:i w:val="0"/>
          <w:color w:val="1F2A24"/>
          <w:sz w:val="19"/>
        </w:rPr>
        <w:t>Explain who reviews the submission and what response the visitor should expect.</w:t>
      </w:r>
    </w:p>
    <w:p>
      <w:pPr>
        <w:pStyle w:val="ListBullet"/>
        <w:spacing w:before="0" w:after="40" w:line="259" w:lineRule="auto"/>
      </w:pPr>
      <w:r>
        <w:rPr>
          <w:rFonts w:ascii="Liberation Sans" w:hAnsi="Liberation Sans"/>
          <w:b w:val="0"/>
          <w:i w:val="0"/>
          <w:color w:val="1F2A24"/>
          <w:sz w:val="19"/>
        </w:rPr>
        <w:t>Do not route sensitive health, legal, political, financial-account, therapy, password, or confidential evidence through a general form.</w:t>
      </w:r>
    </w:p>
    <w:p>
      <w:pPr>
        <w:pStyle w:val="ListBullet"/>
        <w:spacing w:before="0" w:after="40" w:line="259" w:lineRule="auto"/>
      </w:pPr>
      <w:r>
        <w:rPr>
          <w:rFonts w:ascii="Liberation Sans" w:hAnsi="Liberation Sans"/>
          <w:b w:val="0"/>
          <w:i w:val="0"/>
          <w:color w:val="1F2A24"/>
          <w:sz w:val="19"/>
        </w:rPr>
        <w:t>Keep public submissions, private notes, client materials, contributor records, and relationship judgments separate.</w:t>
      </w:r>
    </w:p>
    <w:p>
      <w:pPr>
        <w:keepNext/>
        <w:spacing w:before="160" w:after="80" w:line="240" w:lineRule="auto"/>
      </w:pPr>
      <w:r>
        <w:rPr>
          <w:rFonts w:ascii="Liberation Serif" w:hAnsi="Liberation Serif"/>
          <w:b/>
          <w:i w:val="0"/>
          <w:color w:val="B2873E"/>
          <w:sz w:val="32"/>
        </w:rPr>
        <w:t xml:space="preserve">5. </w:t>
      </w:r>
      <w:r>
        <w:rPr>
          <w:rFonts w:ascii="Liberation Serif" w:hAnsi="Liberation Serif"/>
          <w:b/>
          <w:i w:val="0"/>
          <w:color w:val="1F2A24"/>
          <w:sz w:val="32"/>
        </w:rPr>
        <w:t>Trust Risks and Mitigations</w:t>
      </w:r>
    </w:p>
    <w:p>
      <w:pPr>
        <w:spacing w:before="0" w:after="160" w:line="259" w:lineRule="auto"/>
      </w:pPr>
      <w:r>
        <w:rPr>
          <w:rFonts w:ascii="Liberation Sans" w:hAnsi="Liberation Sans"/>
          <w:b w:val="0"/>
          <w:i/>
          <w:color w:val="6E766F"/>
          <w:sz w:val="19"/>
        </w:rPr>
        <w:t>Risks that affect more than one audience and should shape later sitemap and content decisions.</w:t>
      </w:r>
    </w:p>
    <w:tbl>
      <w:tblPr>
        <w:tblW w:type="auto" w:w="0"/>
        <w:jc w:val="center"/>
        <w:tblLayout w:type="fixed"/>
        <w:tblLook w:firstColumn="1" w:firstRow="1" w:lastColumn="0" w:lastRow="0" w:noHBand="0" w:noVBand="1" w:val="04A0"/>
      </w:tblPr>
      <w:tblGrid>
        <w:gridCol w:w="2160"/>
        <w:gridCol w:w="3528"/>
        <w:gridCol w:w="3816"/>
      </w:tblGrid>
      <w:tr>
        <w:trPr>
          <w:tblHeader w:val="true"/>
        </w:trPr>
        <w:tc>
          <w:tcPr>
            <w:tcW w:type="dxa" w:w="3389"/>
            <w:shd w:fill="3F5B3A"/>
            <w:tcMar>
              <w:top w:w="60" w:type="dxa"/>
              <w:start w:w="80" w:type="dxa"/>
              <w:bottom w:w="60" w:type="dxa"/>
              <w:end w:w="80" w:type="dxa"/>
            </w:tcMar>
            <w:tcBorders>
              <w:top w:val="single" w:sz="4" w:color="3F5B3A"/>
              <w:left w:val="single" w:sz="4" w:color="3F5B3A"/>
              <w:bottom w:val="single" w:sz="4" w:color="3F5B3A"/>
              <w:right w:val="single" w:sz="4" w:color="3F5B3A"/>
            </w:tcBorders>
            <w:vAlign w:val="top"/>
          </w:tcPr>
          <w:p>
            <w:pPr>
              <w:spacing w:before="0" w:after="0" w:line="252" w:lineRule="auto"/>
            </w:pPr>
            <w:r>
              <w:rPr>
                <w:rFonts w:ascii="Liberation Sans" w:hAnsi="Liberation Sans"/>
                <w:b/>
                <w:i w:val="0"/>
                <w:color w:val="FFFFFF"/>
                <w:sz w:val="17"/>
              </w:rPr>
              <w:t>Risk</w:t>
            </w:r>
          </w:p>
        </w:tc>
        <w:tc>
          <w:tcPr>
            <w:tcW w:type="dxa" w:w="3389"/>
            <w:shd w:fill="3F5B3A"/>
            <w:tcMar>
              <w:top w:w="60" w:type="dxa"/>
              <w:start w:w="80" w:type="dxa"/>
              <w:bottom w:w="60" w:type="dxa"/>
              <w:end w:w="80" w:type="dxa"/>
            </w:tcMar>
            <w:tcBorders>
              <w:top w:val="single" w:sz="4" w:color="3F5B3A"/>
              <w:left w:val="single" w:sz="4" w:color="3F5B3A"/>
              <w:bottom w:val="single" w:sz="4" w:color="3F5B3A"/>
              <w:right w:val="single" w:sz="4" w:color="3F5B3A"/>
            </w:tcBorders>
            <w:vAlign w:val="top"/>
          </w:tcPr>
          <w:p>
            <w:pPr>
              <w:spacing w:before="0" w:after="0" w:line="252" w:lineRule="auto"/>
            </w:pPr>
            <w:r>
              <w:rPr>
                <w:rFonts w:ascii="Liberation Sans" w:hAnsi="Liberation Sans"/>
                <w:b/>
                <w:i w:val="0"/>
                <w:color w:val="FFFFFF"/>
                <w:sz w:val="17"/>
              </w:rPr>
              <w:t>Why it matters</w:t>
            </w:r>
          </w:p>
        </w:tc>
        <w:tc>
          <w:tcPr>
            <w:tcW w:type="dxa" w:w="3389"/>
            <w:shd w:fill="3F5B3A"/>
            <w:tcMar>
              <w:top w:w="60" w:type="dxa"/>
              <w:start w:w="80" w:type="dxa"/>
              <w:bottom w:w="60" w:type="dxa"/>
              <w:end w:w="80" w:type="dxa"/>
            </w:tcMar>
            <w:tcBorders>
              <w:top w:val="single" w:sz="4" w:color="3F5B3A"/>
              <w:left w:val="single" w:sz="4" w:color="3F5B3A"/>
              <w:bottom w:val="single" w:sz="4" w:color="3F5B3A"/>
              <w:right w:val="single" w:sz="4" w:color="3F5B3A"/>
            </w:tcBorders>
            <w:vAlign w:val="top"/>
          </w:tcPr>
          <w:p>
            <w:pPr>
              <w:spacing w:before="0" w:after="0" w:line="252" w:lineRule="auto"/>
            </w:pPr>
            <w:r>
              <w:rPr>
                <w:rFonts w:ascii="Liberation Sans" w:hAnsi="Liberation Sans"/>
                <w:b/>
                <w:i w:val="0"/>
                <w:color w:val="FFFFFF"/>
                <w:sz w:val="17"/>
              </w:rPr>
              <w:t>Recommended mitigation</w:t>
            </w:r>
          </w:p>
        </w:tc>
      </w:tr>
      <w:tr>
        <w:trPr>
          <w:cantSplit/>
        </w:trPr>
        <w:tc>
          <w:tcPr>
            <w:tcW w:type="dxa" w:w="2160"/>
            <w:shd w:fill="FFFFF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i w:val="0"/>
                <w:color w:val="3F5B3A"/>
                <w:sz w:val="17"/>
              </w:rPr>
              <w:t>Branch confusion</w:t>
            </w:r>
          </w:p>
        </w:tc>
        <w:tc>
          <w:tcPr>
            <w:tcW w:type="dxa" w:w="3528"/>
            <w:shd w:fill="FFFFF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Visitors may assume all builders belong to the network, all network participants work for DoGoodie, or the parent guarantees every activity.</w:t>
            </w:r>
          </w:p>
        </w:tc>
        <w:tc>
          <w:tcPr>
            <w:tcW w:type="dxa" w:w="3816"/>
            <w:shd w:fill="FFFFF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Use a concise ecosystem overview, audience routing, and a “what remains separate” section.</w:t>
            </w:r>
          </w:p>
        </w:tc>
      </w:tr>
      <w:tr>
        <w:trPr>
          <w:cantSplit/>
        </w:trPr>
        <w:tc>
          <w:tcPr>
            <w:tcW w:type="dxa" w:w="2160"/>
            <w:shd w:fill="F2F5E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i w:val="0"/>
                <w:color w:val="3F5B3A"/>
                <w:sz w:val="17"/>
              </w:rPr>
              <w:t>Overpromising</w:t>
            </w:r>
          </w:p>
        </w:tc>
        <w:tc>
          <w:tcPr>
            <w:tcW w:type="dxa" w:w="3528"/>
            <w:shd w:fill="F2F5E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Early-stage ambition may be mistaken for proven scale, mature governance, guaranteed delivery, or guaranteed economic benefit.</w:t>
            </w:r>
          </w:p>
        </w:tc>
        <w:tc>
          <w:tcPr>
            <w:tcW w:type="dxa" w:w="3816"/>
            <w:shd w:fill="F2F5E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Use current-stage language, approved evidence, explicit limitations, and no-guarantee statements.</w:t>
            </w:r>
          </w:p>
        </w:tc>
      </w:tr>
      <w:tr>
        <w:trPr>
          <w:cantSplit/>
        </w:trPr>
        <w:tc>
          <w:tcPr>
            <w:tcW w:type="dxa" w:w="2160"/>
            <w:shd w:fill="FFFFF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i w:val="0"/>
                <w:color w:val="3F5B3A"/>
                <w:sz w:val="17"/>
              </w:rPr>
              <w:t>Safeguards hidden in the footer</w:t>
            </w:r>
          </w:p>
        </w:tc>
        <w:tc>
          <w:tcPr>
            <w:tcW w:type="dxa" w:w="3528"/>
            <w:shd w:fill="FFFFF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Visitors may not see privacy, compensation, conduct, consent, or reporting information before making a decision.</w:t>
            </w:r>
          </w:p>
        </w:tc>
        <w:tc>
          <w:tcPr>
            <w:tcW w:type="dxa" w:w="3816"/>
            <w:shd w:fill="FFFFF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Place relevant safeguards beside forms, opportunities, one-on-one conversations, and public listings.</w:t>
            </w:r>
          </w:p>
        </w:tc>
      </w:tr>
      <w:tr>
        <w:trPr>
          <w:cantSplit/>
        </w:trPr>
        <w:tc>
          <w:tcPr>
            <w:tcW w:type="dxa" w:w="2160"/>
            <w:shd w:fill="F2F5E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i w:val="0"/>
                <w:color w:val="3F5B3A"/>
                <w:sz w:val="17"/>
              </w:rPr>
              <w:t>Unbounded human support</w:t>
            </w:r>
          </w:p>
        </w:tc>
        <w:tc>
          <w:tcPr>
            <w:tcW w:type="dxa" w:w="3528"/>
            <w:shd w:fill="F2F5E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Open-ended consultations or introductions may consume capacity and create mismatched expectations.</w:t>
            </w:r>
          </w:p>
        </w:tc>
        <w:tc>
          <w:tcPr>
            <w:tcW w:type="dxa" w:w="3816"/>
            <w:shd w:fill="F2F5E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State purpose, preparation, duration, reviewer, possible outcomes, and next step before scheduling.</w:t>
            </w:r>
          </w:p>
        </w:tc>
      </w:tr>
      <w:tr>
        <w:trPr>
          <w:cantSplit/>
        </w:trPr>
        <w:tc>
          <w:tcPr>
            <w:tcW w:type="dxa" w:w="2160"/>
            <w:shd w:fill="FFFFF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i w:val="0"/>
                <w:color w:val="3F5B3A"/>
                <w:sz w:val="17"/>
              </w:rPr>
              <w:t>Community becomes transactional</w:t>
            </w:r>
          </w:p>
        </w:tc>
        <w:tc>
          <w:tcPr>
            <w:tcW w:type="dxa" w:w="3528"/>
            <w:shd w:fill="FFFFF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The Liberation Network may appear to be a job funnel, business club, or source of automatic clients and purchases.</w:t>
            </w:r>
          </w:p>
        </w:tc>
        <w:tc>
          <w:tcPr>
            <w:tcW w:type="dxa" w:w="3816"/>
            <w:shd w:fill="FFFFF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Explain voluntary exchange, layered trust, no guaranteed benefit, and the network’s broader relational purpose.</w:t>
            </w:r>
          </w:p>
        </w:tc>
      </w:tr>
      <w:tr>
        <w:trPr>
          <w:cantSplit/>
        </w:trPr>
        <w:tc>
          <w:tcPr>
            <w:tcW w:type="dxa" w:w="2160"/>
            <w:shd w:fill="F2F5E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i w:val="0"/>
                <w:color w:val="3F5B3A"/>
                <w:sz w:val="17"/>
              </w:rPr>
              <w:t>Builder exploitation</w:t>
            </w:r>
          </w:p>
        </w:tc>
        <w:tc>
          <w:tcPr>
            <w:tcW w:type="dxa" w:w="3528"/>
            <w:shd w:fill="F2F5E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Productive work may occur without fair compensation, clear ownership, equipment, feedback, or exit conditions.</w:t>
            </w:r>
          </w:p>
        </w:tc>
        <w:tc>
          <w:tcPr>
            <w:tcW w:type="dxa" w:w="3816"/>
            <w:shd w:fill="F2F5E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Require written scope, compensation, access, ownership, review, feedback, and closure terms.</w:t>
            </w:r>
          </w:p>
        </w:tc>
      </w:tr>
      <w:tr>
        <w:trPr>
          <w:cantSplit/>
        </w:trPr>
        <w:tc>
          <w:tcPr>
            <w:tcW w:type="dxa" w:w="2160"/>
            <w:shd w:fill="FFFFF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i w:val="0"/>
                <w:color w:val="3F5B3A"/>
                <w:sz w:val="17"/>
              </w:rPr>
              <w:t>Partner or provider misrepresentation</w:t>
            </w:r>
          </w:p>
        </w:tc>
        <w:tc>
          <w:tcPr>
            <w:tcW w:type="dxa" w:w="3528"/>
            <w:shd w:fill="FFFFF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Names, logos, qualifications, or relationships may imply endorsement beyond what was approved.</w:t>
            </w:r>
          </w:p>
        </w:tc>
        <w:tc>
          <w:tcPr>
            <w:tcW w:type="dxa" w:w="3816"/>
            <w:shd w:fill="FFFFF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Use explicit display consent, qualification review, jurisdiction boundaries, and carefully approved wording.</w:t>
            </w:r>
          </w:p>
        </w:tc>
      </w:tr>
      <w:tr>
        <w:trPr>
          <w:cantSplit/>
        </w:trPr>
        <w:tc>
          <w:tcPr>
            <w:tcW w:type="dxa" w:w="2160"/>
            <w:shd w:fill="F2F5E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i w:val="0"/>
                <w:color w:val="3F5B3A"/>
                <w:sz w:val="17"/>
              </w:rPr>
              <w:t>Sensitive data exposure</w:t>
            </w:r>
          </w:p>
        </w:tc>
        <w:tc>
          <w:tcPr>
            <w:tcW w:type="dxa" w:w="3528"/>
            <w:shd w:fill="F2F5E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Forms or internal notes may collect more information than necessary or expose private relationship judgments.</w:t>
            </w:r>
          </w:p>
        </w:tc>
        <w:tc>
          <w:tcPr>
            <w:tcW w:type="dxa" w:w="3816"/>
            <w:shd w:fill="F2F5EF"/>
            <w:tcMar>
              <w:top w:w="60" w:type="dxa"/>
              <w:start w:w="80" w:type="dxa"/>
              <w:bottom w:w="60" w:type="dxa"/>
              <w:end w:w="80" w:type="dxa"/>
            </w:tcMar>
            <w:tcBorders>
              <w:top w:val="single" w:sz="3" w:color="D8DDD6"/>
              <w:left w:val="single" w:sz="3" w:color="D8DDD6"/>
              <w:bottom w:val="single" w:sz="3" w:color="D8DDD6"/>
              <w:right w:val="single" w:sz="3" w:color="D8DDD6"/>
            </w:tcBorders>
            <w:vAlign w:val="top"/>
          </w:tcPr>
          <w:p>
            <w:pPr>
              <w:spacing w:before="0" w:after="0" w:line="254" w:lineRule="auto"/>
            </w:pPr>
            <w:r>
              <w:rPr>
                <w:rFonts w:ascii="Liberation Sans" w:hAnsi="Liberation Sans"/>
                <w:b w:val="0"/>
                <w:i w:val="0"/>
                <w:color w:val="1F2A24"/>
                <w:sz w:val="17"/>
              </w:rPr>
              <w:t>Apply data minimization, separate records, role-based access, retention rules, and human privacy review.</w:t>
            </w:r>
          </w:p>
        </w:tc>
      </w:tr>
    </w:tbl>
    <w:p>
      <w:r>
        <w:br w:type="page"/>
      </w:r>
    </w:p>
    <w:p>
      <w:pPr>
        <w:keepNext/>
        <w:spacing w:before="160" w:after="80" w:line="240" w:lineRule="auto"/>
      </w:pPr>
      <w:r>
        <w:rPr>
          <w:rFonts w:ascii="Liberation Serif" w:hAnsi="Liberation Serif"/>
          <w:b/>
          <w:i w:val="0"/>
          <w:color w:val="B2873E"/>
          <w:sz w:val="32"/>
        </w:rPr>
        <w:t xml:space="preserve">6. </w:t>
      </w:r>
      <w:r>
        <w:rPr>
          <w:rFonts w:ascii="Liberation Serif" w:hAnsi="Liberation Serif"/>
          <w:b/>
          <w:i w:val="0"/>
          <w:color w:val="1F2A24"/>
          <w:sz w:val="32"/>
        </w:rPr>
        <w:t>Decisions Required Before Approval</w:t>
      </w:r>
    </w:p>
    <w:p>
      <w:pPr>
        <w:spacing w:before="0" w:after="160" w:line="259" w:lineRule="auto"/>
      </w:pPr>
      <w:r>
        <w:rPr>
          <w:rFonts w:ascii="Liberation Sans" w:hAnsi="Liberation Sans"/>
          <w:b w:val="0"/>
          <w:i/>
          <w:color w:val="6E766F"/>
          <w:sz w:val="19"/>
        </w:rPr>
        <w:t>The audience map can guide the sitemap, but these decisions must not be silently invented.</w:t>
      </w:r>
    </w:p>
    <w:p>
      <w:pPr>
        <w:keepNext/>
        <w:spacing w:before="140" w:after="60" w:line="240" w:lineRule="auto"/>
      </w:pPr>
      <w:r>
        <w:rPr>
          <w:rFonts w:ascii="Liberation Serif" w:hAnsi="Liberation Serif"/>
          <w:b/>
          <w:i w:val="0"/>
          <w:color w:val="3F5B3A"/>
          <w:sz w:val="26"/>
        </w:rPr>
        <w:t>Destine approval</w:t>
      </w:r>
    </w:p>
    <w:p>
      <w:pPr>
        <w:pStyle w:val="ListBullet"/>
        <w:spacing w:before="0" w:after="40" w:line="259" w:lineRule="auto"/>
      </w:pPr>
      <w:r>
        <w:rPr>
          <w:rFonts w:ascii="Liberation Sans" w:hAnsi="Liberation Sans"/>
          <w:b w:val="0"/>
          <w:i w:val="0"/>
          <w:color w:val="1F2A24"/>
          <w:sz w:val="19"/>
        </w:rPr>
        <w:t>Which DoGoodie capabilities are currently authorized and deliverable on the public website?</w:t>
      </w:r>
    </w:p>
    <w:p>
      <w:pPr>
        <w:pStyle w:val="ListBullet"/>
        <w:spacing w:before="0" w:after="40" w:line="259" w:lineRule="auto"/>
      </w:pPr>
      <w:r>
        <w:rPr>
          <w:rFonts w:ascii="Liberation Sans" w:hAnsi="Liberation Sans"/>
          <w:b w:val="0"/>
          <w:i w:val="0"/>
          <w:color w:val="1F2A24"/>
          <w:sz w:val="19"/>
        </w:rPr>
        <w:t>What are the boundaries among free, give-first, paid trial, pilot, consulting, and ongoing work?</w:t>
      </w:r>
    </w:p>
    <w:p>
      <w:pPr>
        <w:pStyle w:val="ListBullet"/>
        <w:spacing w:before="0" w:after="40" w:line="259" w:lineRule="auto"/>
      </w:pPr>
      <w:r>
        <w:rPr>
          <w:rFonts w:ascii="Liberation Sans" w:hAnsi="Liberation Sans"/>
          <w:b w:val="0"/>
          <w:i w:val="0"/>
          <w:color w:val="1F2A24"/>
          <w:sz w:val="19"/>
        </w:rPr>
        <w:t>Who reviews organization, builder, partnership, and Liberation inquiries?</w:t>
      </w:r>
    </w:p>
    <w:p>
      <w:pPr>
        <w:pStyle w:val="ListBullet"/>
        <w:spacing w:before="0" w:after="40" w:line="259" w:lineRule="auto"/>
      </w:pPr>
      <w:r>
        <w:rPr>
          <w:rFonts w:ascii="Liberation Sans" w:hAnsi="Liberation Sans"/>
          <w:b w:val="0"/>
          <w:i w:val="0"/>
          <w:color w:val="1F2A24"/>
          <w:sz w:val="19"/>
        </w:rPr>
        <w:t>What response time or follow-up expectation can the team realistically publish?</w:t>
      </w:r>
    </w:p>
    <w:p>
      <w:pPr>
        <w:pStyle w:val="ListBullet"/>
        <w:spacing w:before="0" w:after="40" w:line="259" w:lineRule="auto"/>
      </w:pPr>
      <w:r>
        <w:rPr>
          <w:rFonts w:ascii="Liberation Sans" w:hAnsi="Liberation Sans"/>
          <w:b w:val="0"/>
          <w:i w:val="0"/>
          <w:color w:val="1F2A24"/>
          <w:sz w:val="19"/>
        </w:rPr>
        <w:t>What fields are necessary for each MVP form, and which sensitive fields are prohibited?</w:t>
      </w:r>
    </w:p>
    <w:p>
      <w:pPr>
        <w:pStyle w:val="ListBullet"/>
        <w:spacing w:before="0" w:after="40" w:line="259" w:lineRule="auto"/>
      </w:pPr>
      <w:r>
        <w:rPr>
          <w:rFonts w:ascii="Liberation Sans" w:hAnsi="Liberation Sans"/>
          <w:b w:val="0"/>
          <w:i w:val="0"/>
          <w:color w:val="1F2A24"/>
          <w:sz w:val="19"/>
        </w:rPr>
        <w:t>How will project compensation, scope, access, ownership, feedback, attribution, and closure be documented?</w:t>
      </w:r>
    </w:p>
    <w:p>
      <w:pPr>
        <w:pStyle w:val="ListBullet"/>
        <w:spacing w:before="0" w:after="40" w:line="259" w:lineRule="auto"/>
      </w:pPr>
      <w:r>
        <w:rPr>
          <w:rFonts w:ascii="Liberation Sans" w:hAnsi="Liberation Sans"/>
          <w:b w:val="0"/>
          <w:i w:val="0"/>
          <w:color w:val="1F2A24"/>
          <w:sz w:val="19"/>
        </w:rPr>
        <w:t>Which existing work can be shown as evidence, and what permission is required?</w:t>
      </w:r>
    </w:p>
    <w:p>
      <w:pPr>
        <w:keepNext/>
        <w:spacing w:before="140" w:after="60" w:line="240" w:lineRule="auto"/>
      </w:pPr>
      <w:r>
        <w:rPr>
          <w:rFonts w:ascii="Liberation Serif" w:hAnsi="Liberation Serif"/>
          <w:b/>
          <w:i w:val="0"/>
          <w:color w:val="3F5B3A"/>
          <w:sz w:val="26"/>
        </w:rPr>
        <w:t>Skyler approval</w:t>
      </w:r>
    </w:p>
    <w:p>
      <w:pPr>
        <w:pStyle w:val="ListBullet"/>
        <w:spacing w:before="0" w:after="40" w:line="259" w:lineRule="auto"/>
      </w:pPr>
      <w:r>
        <w:rPr>
          <w:rFonts w:ascii="Liberation Sans" w:hAnsi="Liberation Sans"/>
          <w:b w:val="0"/>
          <w:i w:val="0"/>
          <w:color w:val="1F2A24"/>
          <w:sz w:val="19"/>
        </w:rPr>
        <w:t>The public parent-organization name and final Liberation Network name.</w:t>
      </w:r>
    </w:p>
    <w:p>
      <w:pPr>
        <w:pStyle w:val="ListBullet"/>
        <w:spacing w:before="0" w:after="40" w:line="259" w:lineRule="auto"/>
      </w:pPr>
      <w:r>
        <w:rPr>
          <w:rFonts w:ascii="Liberation Sans" w:hAnsi="Liberation Sans"/>
          <w:b w:val="0"/>
          <w:i w:val="0"/>
          <w:color w:val="1F2A24"/>
          <w:sz w:val="19"/>
        </w:rPr>
        <w:t>The public philosophy and positioning of the network and ecosystem.</w:t>
      </w:r>
    </w:p>
    <w:p>
      <w:pPr>
        <w:pStyle w:val="ListBullet"/>
        <w:spacing w:before="0" w:after="40" w:line="259" w:lineRule="auto"/>
      </w:pPr>
      <w:r>
        <w:rPr>
          <w:rFonts w:ascii="Liberation Sans" w:hAnsi="Liberation Sans"/>
          <w:b w:val="0"/>
          <w:i w:val="0"/>
          <w:color w:val="1F2A24"/>
          <w:sz w:val="19"/>
        </w:rPr>
        <w:t>How selective or invitation-based deeper Liberation participation should be.</w:t>
      </w:r>
    </w:p>
    <w:p>
      <w:pPr>
        <w:pStyle w:val="ListBullet"/>
        <w:spacing w:before="0" w:after="40" w:line="259" w:lineRule="auto"/>
      </w:pPr>
      <w:r>
        <w:rPr>
          <w:rFonts w:ascii="Liberation Sans" w:hAnsi="Liberation Sans"/>
          <w:b w:val="0"/>
          <w:i w:val="0"/>
          <w:color w:val="1F2A24"/>
          <w:sz w:val="19"/>
        </w:rPr>
        <w:t>Language describing values, alignment, readiness, trust, and mutual fit.</w:t>
      </w:r>
    </w:p>
    <w:p>
      <w:pPr>
        <w:pStyle w:val="ListBullet"/>
        <w:spacing w:before="0" w:after="40" w:line="259" w:lineRule="auto"/>
      </w:pPr>
      <w:r>
        <w:rPr>
          <w:rFonts w:ascii="Liberation Sans" w:hAnsi="Liberation Sans"/>
          <w:b w:val="0"/>
          <w:i w:val="0"/>
          <w:color w:val="1F2A24"/>
          <w:sz w:val="19"/>
        </w:rPr>
        <w:t>Which partners, people, relationships, programs, and projects may be named publicly.</w:t>
      </w:r>
    </w:p>
    <w:p>
      <w:pPr>
        <w:pStyle w:val="ListBullet"/>
        <w:spacing w:before="0" w:after="40" w:line="259" w:lineRule="auto"/>
      </w:pPr>
      <w:r>
        <w:rPr>
          <w:rFonts w:ascii="Liberation Sans" w:hAnsi="Liberation Sans"/>
          <w:b w:val="0"/>
          <w:i w:val="0"/>
          <w:color w:val="1F2A24"/>
          <w:sz w:val="19"/>
        </w:rPr>
        <w:t>Which private relationship judgments, values notes, or selection considerations must never appear publicly.</w:t>
      </w:r>
    </w:p>
    <w:p>
      <w:pPr>
        <w:keepNext/>
        <w:spacing w:before="140" w:after="60" w:line="240" w:lineRule="auto"/>
      </w:pPr>
      <w:r>
        <w:rPr>
          <w:rFonts w:ascii="Liberation Serif" w:hAnsi="Liberation Serif"/>
          <w:b/>
          <w:i w:val="0"/>
          <w:color w:val="3F5B3A"/>
          <w:sz w:val="26"/>
        </w:rPr>
        <w:t>Claims the website should not make yet</w:t>
      </w:r>
    </w:p>
    <w:p>
      <w:pPr>
        <w:pStyle w:val="ListBullet"/>
        <w:spacing w:before="0" w:after="40" w:line="259" w:lineRule="auto"/>
      </w:pPr>
      <w:r>
        <w:rPr>
          <w:rFonts w:ascii="Liberation Sans" w:hAnsi="Liberation Sans"/>
          <w:b w:val="0"/>
          <w:i w:val="0"/>
          <w:color w:val="1F2A24"/>
          <w:sz w:val="19"/>
        </w:rPr>
        <w:t>That the Ethical Capacity Lab is a certifier, auditor, regulator, employer of record, clinical provider, or legal representative.</w:t>
      </w:r>
    </w:p>
    <w:p>
      <w:pPr>
        <w:pStyle w:val="ListBullet"/>
        <w:spacing w:before="0" w:after="40" w:line="259" w:lineRule="auto"/>
      </w:pPr>
      <w:r>
        <w:rPr>
          <w:rFonts w:ascii="Liberation Sans" w:hAnsi="Liberation Sans"/>
          <w:b w:val="0"/>
          <w:i w:val="0"/>
          <w:color w:val="1F2A24"/>
          <w:sz w:val="19"/>
        </w:rPr>
        <w:t>That DoGoodie guarantees project acceptance, successful delivery, employment, placement, funding, paid work, or continued collaboration.</w:t>
      </w:r>
    </w:p>
    <w:p>
      <w:pPr>
        <w:pStyle w:val="ListBullet"/>
        <w:spacing w:before="0" w:after="40" w:line="259" w:lineRule="auto"/>
      </w:pPr>
      <w:r>
        <w:rPr>
          <w:rFonts w:ascii="Liberation Sans" w:hAnsi="Liberation Sans"/>
          <w:b w:val="0"/>
          <w:i w:val="0"/>
          <w:color w:val="1F2A24"/>
          <w:sz w:val="19"/>
        </w:rPr>
        <w:t>That Liberation Network participation guarantees referrals, purchases, clients, income, material support, or deeper access.</w:t>
      </w:r>
    </w:p>
    <w:p>
      <w:pPr>
        <w:pStyle w:val="ListBullet"/>
        <w:spacing w:before="0" w:after="40" w:line="259" w:lineRule="auto"/>
      </w:pPr>
      <w:r>
        <w:rPr>
          <w:rFonts w:ascii="Liberation Sans" w:hAnsi="Liberation Sans"/>
          <w:b w:val="0"/>
          <w:i w:val="0"/>
          <w:color w:val="1F2A24"/>
          <w:sz w:val="19"/>
        </w:rPr>
        <w:t>That every builder belongs to the Liberation Network or every network participant works for DoGoodie.</w:t>
      </w:r>
    </w:p>
    <w:p>
      <w:pPr>
        <w:pStyle w:val="ListBullet"/>
        <w:spacing w:before="0" w:after="40" w:line="259" w:lineRule="auto"/>
      </w:pPr>
      <w:r>
        <w:rPr>
          <w:rFonts w:ascii="Liberation Sans" w:hAnsi="Liberation Sans"/>
          <w:b w:val="0"/>
          <w:i w:val="0"/>
          <w:color w:val="1F2A24"/>
          <w:sz w:val="19"/>
        </w:rPr>
        <w:t>That a partner, therapist, specialist, or professional is endorsed without approved criteria, consent, qualifications, jurisdiction, and boundaries.</w:t>
      </w:r>
    </w:p>
    <w:p>
      <w:pPr>
        <w:pStyle w:val="ListBullet"/>
        <w:spacing w:before="0" w:after="40" w:line="259" w:lineRule="auto"/>
      </w:pPr>
      <w:r>
        <w:rPr>
          <w:rFonts w:ascii="Liberation Sans" w:hAnsi="Liberation Sans"/>
          <w:b w:val="0"/>
          <w:i w:val="0"/>
          <w:color w:val="1F2A24"/>
          <w:sz w:val="19"/>
        </w:rPr>
        <w:t>That the ecosystem has global scale, proven impact, or mature governance beyond the evidence currently available.</w:t>
      </w:r>
    </w:p>
    <w:p>
      <w:pPr>
        <w:keepNext/>
        <w:spacing w:before="160" w:after="80" w:line="240" w:lineRule="auto"/>
      </w:pPr>
      <w:r>
        <w:rPr>
          <w:rFonts w:ascii="Liberation Serif" w:hAnsi="Liberation Serif"/>
          <w:b/>
          <w:i w:val="0"/>
          <w:color w:val="B2873E"/>
          <w:sz w:val="32"/>
        </w:rPr>
        <w:t xml:space="preserve">7. </w:t>
      </w:r>
      <w:r>
        <w:rPr>
          <w:rFonts w:ascii="Liberation Serif" w:hAnsi="Liberation Serif"/>
          <w:b/>
          <w:i w:val="0"/>
          <w:color w:val="1F2A24"/>
          <w:sz w:val="32"/>
        </w:rPr>
        <w:t>Definition of Done for Deliverable 2</w:t>
      </w:r>
    </w:p>
    <w:p>
      <w:pPr>
        <w:spacing w:before="0" w:after="160" w:line="259" w:lineRule="auto"/>
      </w:pPr>
      <w:r>
        <w:rPr>
          <w:rFonts w:ascii="Liberation Sans" w:hAnsi="Liberation Sans"/>
          <w:b w:val="0"/>
          <w:i/>
          <w:color w:val="6E766F"/>
          <w:sz w:val="19"/>
        </w:rPr>
        <w:t>Gate 2 review checklist for ecosystem and audience approval.</w:t>
      </w:r>
    </w:p>
    <w:p>
      <w:pPr>
        <w:spacing w:before="0" w:after="60" w:line="259" w:lineRule="auto"/>
      </w:pPr>
      <w:r>
        <w:rPr>
          <w:rFonts w:ascii="Liberation Sans" w:hAnsi="Liberation Sans"/>
          <w:b/>
          <w:i w:val="0"/>
          <w:color w:val="B2873E"/>
          <w:sz w:val="20"/>
        </w:rPr>
        <w:t xml:space="preserve">☐ </w:t>
      </w:r>
      <w:r>
        <w:rPr>
          <w:rFonts w:ascii="Liberation Sans" w:hAnsi="Liberation Sans"/>
          <w:b w:val="0"/>
          <w:i w:val="0"/>
          <w:color w:val="1F2A24"/>
          <w:sz w:val="19"/>
        </w:rPr>
        <w:t>All five intended public audiences are represented.</w:t>
      </w:r>
    </w:p>
    <w:p>
      <w:pPr>
        <w:spacing w:before="0" w:after="60" w:line="259" w:lineRule="auto"/>
      </w:pPr>
      <w:r>
        <w:rPr>
          <w:rFonts w:ascii="Liberation Sans" w:hAnsi="Liberation Sans"/>
          <w:b/>
          <w:i w:val="0"/>
          <w:color w:val="B2873E"/>
          <w:sz w:val="20"/>
        </w:rPr>
        <w:t xml:space="preserve">☐ </w:t>
      </w:r>
      <w:r>
        <w:rPr>
          <w:rFonts w:ascii="Liberation Sans" w:hAnsi="Liberation Sans"/>
          <w:b w:val="0"/>
          <w:i w:val="0"/>
          <w:color w:val="1F2A24"/>
          <w:sz w:val="19"/>
        </w:rPr>
        <w:t>Each audience has a clearly stated need, fear or barrier, trust requirement, and primary action.</w:t>
      </w:r>
    </w:p>
    <w:p>
      <w:pPr>
        <w:spacing w:before="0" w:after="60" w:line="259" w:lineRule="auto"/>
      </w:pPr>
      <w:r>
        <w:rPr>
          <w:rFonts w:ascii="Liberation Sans" w:hAnsi="Liberation Sans"/>
          <w:b/>
          <w:i w:val="0"/>
          <w:color w:val="B2873E"/>
          <w:sz w:val="20"/>
        </w:rPr>
        <w:t xml:space="preserve">☐ </w:t>
      </w:r>
      <w:r>
        <w:rPr>
          <w:rFonts w:ascii="Liberation Sans" w:hAnsi="Liberation Sans"/>
          <w:b w:val="0"/>
          <w:i w:val="0"/>
          <w:color w:val="1F2A24"/>
          <w:sz w:val="19"/>
        </w:rPr>
        <w:t>Each audience has one recommended starting pathway rather than a shared universal form.</w:t>
      </w:r>
    </w:p>
    <w:p>
      <w:pPr>
        <w:spacing w:before="0" w:after="60" w:line="259" w:lineRule="auto"/>
      </w:pPr>
      <w:r>
        <w:rPr>
          <w:rFonts w:ascii="Liberation Sans" w:hAnsi="Liberation Sans"/>
          <w:b/>
          <w:i w:val="0"/>
          <w:color w:val="B2873E"/>
          <w:sz w:val="20"/>
        </w:rPr>
        <w:t xml:space="preserve">☐ </w:t>
      </w:r>
      <w:r>
        <w:rPr>
          <w:rFonts w:ascii="Liberation Sans" w:hAnsi="Liberation Sans"/>
          <w:b w:val="0"/>
          <w:i w:val="0"/>
          <w:color w:val="1F2A24"/>
          <w:sz w:val="19"/>
        </w:rPr>
        <w:t>The parent, DoGoodie, and Liberation Network are distinct enough to prevent mistaken expectations.</w:t>
      </w:r>
    </w:p>
    <w:p>
      <w:pPr>
        <w:spacing w:before="0" w:after="60" w:line="259" w:lineRule="auto"/>
      </w:pPr>
      <w:r>
        <w:rPr>
          <w:rFonts w:ascii="Liberation Sans" w:hAnsi="Liberation Sans"/>
          <w:b/>
          <w:i w:val="0"/>
          <w:color w:val="B2873E"/>
          <w:sz w:val="20"/>
        </w:rPr>
        <w:t xml:space="preserve">☐ </w:t>
      </w:r>
      <w:r>
        <w:rPr>
          <w:rFonts w:ascii="Liberation Sans" w:hAnsi="Liberation Sans"/>
          <w:b w:val="0"/>
          <w:i w:val="0"/>
          <w:color w:val="1F2A24"/>
          <w:sz w:val="19"/>
        </w:rPr>
        <w:t>Builder protection, community boundaries, privacy, consent, and no-guarantee language are visible in the trust requirements.</w:t>
      </w:r>
    </w:p>
    <w:p>
      <w:pPr>
        <w:spacing w:before="0" w:after="60" w:line="259" w:lineRule="auto"/>
      </w:pPr>
      <w:r>
        <w:rPr>
          <w:rFonts w:ascii="Liberation Sans" w:hAnsi="Liberation Sans"/>
          <w:b/>
          <w:i w:val="0"/>
          <w:color w:val="B2873E"/>
          <w:sz w:val="20"/>
        </w:rPr>
        <w:t xml:space="preserve">☐ </w:t>
      </w:r>
      <w:r>
        <w:rPr>
          <w:rFonts w:ascii="Liberation Sans" w:hAnsi="Liberation Sans"/>
          <w:b w:val="0"/>
          <w:i w:val="0"/>
          <w:color w:val="1F2A24"/>
          <w:sz w:val="19"/>
        </w:rPr>
        <w:t>The map supports all five required user journeys in the project brief.</w:t>
      </w:r>
    </w:p>
    <w:p>
      <w:pPr>
        <w:spacing w:before="0" w:after="60" w:line="259" w:lineRule="auto"/>
      </w:pPr>
      <w:r>
        <w:rPr>
          <w:rFonts w:ascii="Liberation Sans" w:hAnsi="Liberation Sans"/>
          <w:b/>
          <w:i w:val="0"/>
          <w:color w:val="B2873E"/>
          <w:sz w:val="20"/>
        </w:rPr>
        <w:t xml:space="preserve">☐ </w:t>
      </w:r>
      <w:r>
        <w:rPr>
          <w:rFonts w:ascii="Liberation Sans" w:hAnsi="Liberation Sans"/>
          <w:b w:val="0"/>
          <w:i w:val="0"/>
          <w:color w:val="1F2A24"/>
          <w:sz w:val="19"/>
        </w:rPr>
        <w:t>Trust evidence is separated into what can be shown in the MVP, what requires development, and what should not be claimed yet.</w:t>
      </w:r>
    </w:p>
    <w:p>
      <w:pPr>
        <w:spacing w:before="0" w:after="60" w:line="259" w:lineRule="auto"/>
      </w:pPr>
      <w:r>
        <w:rPr>
          <w:rFonts w:ascii="Liberation Sans" w:hAnsi="Liberation Sans"/>
          <w:b/>
          <w:i w:val="0"/>
          <w:color w:val="B2873E"/>
          <w:sz w:val="20"/>
        </w:rPr>
        <w:t xml:space="preserve">☐ </w:t>
      </w:r>
      <w:r>
        <w:rPr>
          <w:rFonts w:ascii="Liberation Sans" w:hAnsi="Liberation Sans"/>
          <w:b w:val="0"/>
          <w:i w:val="0"/>
          <w:color w:val="1F2A24"/>
          <w:sz w:val="19"/>
        </w:rPr>
        <w:t>Open decisions are assigned to Destine or Skyler rather than silently finalized.</w:t>
      </w:r>
    </w:p>
    <w:p>
      <w:pPr>
        <w:spacing w:before="0" w:after="60" w:line="259" w:lineRule="auto"/>
      </w:pPr>
      <w:r>
        <w:rPr>
          <w:rFonts w:ascii="Liberation Sans" w:hAnsi="Liberation Sans"/>
          <w:b/>
          <w:i w:val="0"/>
          <w:color w:val="B2873E"/>
          <w:sz w:val="20"/>
        </w:rPr>
        <w:t xml:space="preserve">☐ </w:t>
      </w:r>
      <w:r>
        <w:rPr>
          <w:rFonts w:ascii="Liberation Sans" w:hAnsi="Liberation Sans"/>
          <w:b w:val="0"/>
          <w:i w:val="0"/>
          <w:color w:val="1F2A24"/>
          <w:sz w:val="19"/>
        </w:rPr>
        <w:t>The document is suitable to inform Deliverable 3 (Ecosystem Architecture), Deliverable 4 (Sitemap), Deliverable 5 (Page Specifications), and Deliverable 6 (User Journey Diagrams).</w:t>
      </w:r>
    </w:p>
    <w:tbl>
      <w:tblPr>
        <w:tblW w:type="auto" w:w="0"/>
        <w:jc w:val="center"/>
        <w:tblLayout w:type="fixed"/>
        <w:tblLook w:firstColumn="1" w:firstRow="1" w:lastColumn="0" w:lastRow="0" w:noHBand="0" w:noVBand="1" w:val="04A0"/>
      </w:tblPr>
      <w:tblGrid>
        <w:gridCol w:w="259"/>
        <w:gridCol w:w="9648"/>
      </w:tblGrid>
      <w:tr>
        <w:tc>
          <w:tcPr>
            <w:tcW w:type="dxa" w:w="5083"/>
            <w:shd w:fill="3F5B3A"/>
            <w:tcBorders>
              <w:top w:val="single" w:sz="4" w:color="F2F5EF"/>
              <w:left w:val="single" w:sz="4" w:color="F2F5EF"/>
              <w:bottom w:val="single" w:sz="4" w:color="F2F5EF"/>
              <w:right w:val="single" w:sz="4" w:color="F2F5EF"/>
            </w:tcBorders>
            <w:vAlign w:val="top"/>
          </w:tcPr>
          <w:p/>
        </w:tc>
        <w:tc>
          <w:tcPr>
            <w:tcW w:type="dxa" w:w="5083"/>
            <w:shd w:fill="F2F5EF"/>
            <w:tcBorders>
              <w:top w:val="single" w:sz="4" w:color="F2F5EF"/>
              <w:left w:val="single" w:sz="4" w:color="F2F5EF"/>
              <w:bottom w:val="single" w:sz="4" w:color="F2F5EF"/>
              <w:right w:val="single" w:sz="4" w:color="F2F5EF"/>
            </w:tcBorders>
            <w:tcMar>
              <w:top w:w="90" w:type="dxa"/>
              <w:start w:w="130" w:type="dxa"/>
              <w:bottom w:w="90" w:type="dxa"/>
              <w:end w:w="130" w:type="dxa"/>
            </w:tcMar>
            <w:vAlign w:val="top"/>
          </w:tcPr>
          <w:p>
            <w:pPr>
              <w:spacing w:before="0" w:after="40" w:line="252" w:lineRule="auto"/>
            </w:pPr>
            <w:r>
              <w:rPr>
                <w:rFonts w:ascii="Liberation Sans" w:hAnsi="Liberation Sans"/>
                <w:b/>
                <w:i w:val="0"/>
                <w:color w:val="3F5B3A"/>
                <w:sz w:val="21"/>
              </w:rPr>
              <w:t>Gate 2 recommendation</w:t>
            </w:r>
          </w:p>
          <w:p>
            <w:pPr>
              <w:spacing w:before="0" w:after="0" w:line="259" w:lineRule="auto"/>
            </w:pPr>
            <w:r>
              <w:rPr>
                <w:rFonts w:ascii="Liberation Sans" w:hAnsi="Liberation Sans"/>
                <w:b w:val="0"/>
                <w:i w:val="0"/>
                <w:color w:val="1F2A24"/>
                <w:sz w:val="19"/>
              </w:rPr>
              <w:t>Review and confirm the audiences, trust requirements, and routing logic before the final ecosystem architecture and sitemap are treated as approved. Feedback should be recorded as confirmed information, corrections, unresolved decisions, or deferred future ideas.</w:t>
            </w:r>
          </w:p>
        </w:tc>
      </w:tr>
    </w:tbl>
    <w:p>
      <w:pPr>
        <w:keepNext/>
        <w:spacing w:before="140" w:after="60" w:line="240" w:lineRule="auto"/>
      </w:pPr>
      <w:r>
        <w:rPr>
          <w:rFonts w:ascii="Liberation Serif" w:hAnsi="Liberation Serif"/>
          <w:b/>
          <w:i w:val="0"/>
          <w:color w:val="3F5B3A"/>
          <w:sz w:val="26"/>
        </w:rPr>
        <w:t>Source basis</w:t>
      </w:r>
    </w:p>
    <w:p>
      <w:pPr>
        <w:spacing w:before="0" w:after="100" w:line="264" w:lineRule="auto"/>
      </w:pPr>
      <w:r>
        <w:rPr>
          <w:rFonts w:ascii="Liberation Sans" w:hAnsi="Liberation Sans"/>
          <w:b w:val="0"/>
          <w:i w:val="0"/>
          <w:color w:val="1F2A24"/>
          <w:sz w:val="19"/>
        </w:rPr>
        <w:t>This deliverable is derived from the Liberation Ecosystem Website Strategy and Information Architecture Sprint brief and the seven-organization benchmark research completed for Deliverable 1. It preserves the brief’s five required public journeys and applies the research patterns of audience routing, layered participation, visible trust evidence, bounded one-on-one support, and safeguards placed near decisions.</w:t>
      </w:r>
    </w:p>
    <w:p>
      <w:pPr>
        <w:spacing w:before="360" w:after="0" w:line="252" w:lineRule="auto"/>
        <w:jc w:val="center"/>
      </w:pPr>
      <w:r>
        <w:rPr>
          <w:rFonts w:ascii="Liberation Sans" w:hAnsi="Liberation Sans"/>
          <w:b/>
          <w:i w:val="0"/>
          <w:color w:val="B2873E"/>
          <w:sz w:val="18"/>
        </w:rPr>
        <w:t>END OF DELIVERABLE 2</w:t>
      </w:r>
    </w:p>
    <w:sectPr w:rsidR="00FC693F" w:rsidRPr="0006063C" w:rsidSect="00034616">
      <w:footerReference w:type="default" r:id="rId11"/>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52" w:lineRule="auto"/>
      <w:jc w:val="left"/>
    </w:pPr>
    <w:r>
      <w:rPr>
        <w:rFonts w:ascii="Liberation Sans" w:hAnsi="Liberation Sans"/>
        <w:b w:val="0"/>
        <w:i w:val="0"/>
        <w:color w:val="6E766F"/>
        <w:sz w:val="14"/>
      </w:rPr>
      <w:t xml:space="preserve">LIBERATION ECOSYSTEM WEBSITE STRATEGY | DELIVERABLE 2  |  Page </w:t>
    </w:r>
    <w:r>
      <w:rPr>
        <w:rFonts w:ascii="Liberation Sans" w:hAnsi="Liberation Sans"/>
        <w:b w:val="0"/>
        <w:i w:val="0"/>
        <w:color w:val="6E766F"/>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52" w:lineRule="auto"/>
      <w:jc w:val="left"/>
    </w:pPr>
    <w:r>
      <w:rPr>
        <w:rFonts w:ascii="Liberation Sans" w:hAnsi="Liberation Sans"/>
        <w:b w:val="0"/>
        <w:i w:val="0"/>
        <w:color w:val="6E766F"/>
        <w:sz w:val="14"/>
      </w:rPr>
      <w:t xml:space="preserve">LIBERATION ECOSYSTEM WEBSITE STRATEGY | DELIVERABLE 2  |  Page </w:t>
    </w:r>
    <w:r>
      <w:rPr>
        <w:rFonts w:ascii="Liberation Sans" w:hAnsi="Liberation Sans"/>
        <w:b w:val="0"/>
        <w:i w:val="0"/>
        <w:color w:val="6E766F"/>
        <w:sz w:val="14"/>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52" w:lineRule="auto"/>
      <w:jc w:val="left"/>
    </w:pPr>
    <w:r>
      <w:rPr>
        <w:rFonts w:ascii="Liberation Sans" w:hAnsi="Liberation Sans"/>
        <w:b w:val="0"/>
        <w:i w:val="0"/>
        <w:color w:val="6E766F"/>
        <w:sz w:val="14"/>
      </w:rPr>
      <w:t xml:space="preserve">LIBERATION ECOSYSTEM WEBSITE STRATEGY | DELIVERABLE 2  |  Page </w:t>
    </w:r>
    <w:r>
      <w:rPr>
        <w:rFonts w:ascii="Liberation Sans" w:hAnsi="Liberation Sans"/>
        <w:b w:val="0"/>
        <w:i w:val="0"/>
        <w:color w:val="6E766F"/>
        <w:sz w:val="1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