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60"/>
      </w:pPr>
      <w:r>
        <w:rPr>
          <w:rFonts w:ascii="Inter" w:hAnsi="Inter" w:eastAsia="Inter"/>
          <w:b/>
          <w:color w:val="B88A33"/>
          <w:sz w:val="20"/>
        </w:rPr>
        <w:t>DELIVERABLE 1</w:t>
      </w:r>
    </w:p>
    <w:p>
      <w:pPr>
        <w:spacing w:after="60"/>
      </w:pPr>
      <w:r>
        <w:rPr>
          <w:rFonts w:ascii="Inter Display" w:hAnsi="Inter Display" w:eastAsia="Inter Display"/>
          <w:b/>
          <w:color w:val="1F2A44"/>
          <w:sz w:val="56"/>
        </w:rPr>
        <w:t>Benchmark Research Report</w:t>
      </w:r>
    </w:p>
    <w:p>
      <w:pPr>
        <w:spacing w:after="200"/>
      </w:pPr>
      <w:r>
        <w:rPr>
          <w:rFonts w:ascii="Inter Display" w:hAnsi="Inter Display" w:eastAsia="Inter Display"/>
          <w:b/>
          <w:color w:val="496A4B"/>
          <w:sz w:val="30"/>
        </w:rPr>
        <w:t>Liberation Ecosystem Website Strategy and Information Architecture Sprint</w:t>
      </w:r>
    </w:p>
    <w:p>
      <w:pPr>
        <w:spacing w:after="360"/>
        <w:pBdr>
          <w:top w:val="single" w:sz="18" w:space="2" w:color="B88A33"/>
        </w:pBdr>
      </w:pPr>
    </w:p>
    <w:tbl>
      <w:tblPr>
        <w:tblW w:type="auto" w:w="0"/>
        <w:jc w:val="center"/>
        <w:tblLayout w:type="fixed"/>
        <w:tblLook w:firstColumn="1" w:firstRow="1" w:lastColumn="0" w:lastRow="0" w:noHBand="0" w:noVBand="1" w:val="04A0"/>
        <w:tblBorders>
          <w:top w:val="single" w:sz="8" w:space="0" w:color="B88A33"/>
          <w:left w:val="single" w:sz="8" w:space="0" w:color="B88A33"/>
          <w:bottom w:val="single" w:sz="8" w:space="0" w:color="B88A33"/>
          <w:right w:val="single" w:sz="8" w:space="0" w:color="B88A33"/>
          <w:insideH w:val="single" w:sz="8" w:space="0" w:color="B88A33"/>
          <w:insideV w:val="single" w:sz="8" w:space="0" w:color="B88A33"/>
        </w:tblBorders>
      </w:tblPr>
      <w:tblGrid>
        <w:gridCol w:w="9648"/>
      </w:tblGrid>
      <w:tr>
        <w:tc>
          <w:tcPr>
            <w:tcW w:type="dxa" w:w="9994"/>
            <w:shd w:fill="F6EFD9"/>
            <w:tcMar>
              <w:top w:w="130" w:type="dxa"/>
              <w:start w:w="160" w:type="dxa"/>
              <w:bottom w:w="130" w:type="dxa"/>
              <w:end w:w="160" w:type="dxa"/>
            </w:tcMar>
          </w:tcPr>
          <w:p>
            <w:pPr>
              <w:spacing w:after="60"/>
            </w:pPr>
            <w:r>
              <w:rPr>
                <w:rFonts w:ascii="Inter" w:hAnsi="Inter" w:eastAsia="Inter"/>
                <w:b/>
                <w:color w:val="1F2A44"/>
                <w:sz w:val="21"/>
              </w:rPr>
              <w:t>Purpose of this deliverable</w:t>
            </w:r>
          </w:p>
          <w:p>
            <w:pPr>
              <w:spacing w:after="0"/>
            </w:pPr>
            <w:r>
              <w:rPr>
                <w:rFonts w:ascii="Inter" w:hAnsi="Inter" w:eastAsia="Inter"/>
                <w:color w:val="222222"/>
                <w:sz w:val="19"/>
              </w:rPr>
              <w:t>To study how seven comparable organizations explain complex ecosystems, route different audiences, build trust, layer participation, and convert interest into appropriate next actions. This report informs later architecture decisions; it does not finalize the sitemap, operating model, eligibility rules, or website build.</w:t>
            </w:r>
          </w:p>
        </w:tc>
      </w:tr>
    </w:tbl>
    <w:p>
      <w:pPr>
        <w:spacing w:after="0"/>
      </w:pPr>
    </w:p>
    <w:tbl>
      <w:tblPr>
        <w:tblW w:type="auto" w:w="0"/>
        <w:jc w:val="center"/>
        <w:tblLayout w:type="fixed"/>
        <w:tblLook w:firstColumn="1" w:firstRow="1" w:lastColumn="0" w:lastRow="0" w:noHBand="0" w:noVBand="1" w:val="04A0"/>
        <w:tblBorders>
          <w:top w:val="single" w:sz="4" w:space="0" w:color="E0E2E4"/>
          <w:left w:val="single" w:sz="4" w:space="0" w:color="E0E2E4"/>
          <w:bottom w:val="single" w:sz="4" w:space="0" w:color="E0E2E4"/>
          <w:right w:val="single" w:sz="4" w:space="0" w:color="E0E2E4"/>
          <w:insideH w:val="single" w:sz="4" w:space="0" w:color="E0E2E4"/>
          <w:insideV w:val="single" w:sz="4" w:space="0" w:color="E0E2E4"/>
        </w:tblBorders>
      </w:tblPr>
      <w:tblGrid>
        <w:gridCol w:w="3168"/>
        <w:gridCol w:w="6336"/>
      </w:tblGrid>
      <w:tr>
        <w:tc>
          <w:tcPr>
            <w:tcW w:type="dxa" w:w="4997"/>
            <w:shd w:fill="EDF3E8"/>
            <w:tcMar>
              <w:top w:w="90" w:type="dxa"/>
              <w:start w:w="110" w:type="dxa"/>
              <w:bottom w:w="90" w:type="dxa"/>
              <w:end w:w="110" w:type="dxa"/>
            </w:tcMar>
          </w:tcPr>
          <w:p>
            <w:r>
              <w:rPr>
                <w:rFonts w:ascii="Inter" w:hAnsi="Inter" w:eastAsia="Inter"/>
                <w:b/>
                <w:color w:val="496A4B"/>
                <w:sz w:val="18"/>
              </w:rPr>
              <w:t>Project Owner and Executor</w:t>
            </w:r>
          </w:p>
        </w:tc>
        <w:tc>
          <w:tcPr>
            <w:tcW w:type="dxa" w:w="4997"/>
            <w:shd w:fill="FFFFFF"/>
            <w:tcMar>
              <w:top w:w="90" w:type="dxa"/>
              <w:start w:w="110" w:type="dxa"/>
              <w:bottom w:w="90" w:type="dxa"/>
              <w:end w:w="110" w:type="dxa"/>
            </w:tcMar>
          </w:tcPr>
          <w:p>
            <w:r>
              <w:rPr>
                <w:rFonts w:ascii="Inter" w:hAnsi="Inter" w:eastAsia="Inter"/>
                <w:color w:val="222222"/>
                <w:sz w:val="18"/>
              </w:rPr>
              <w:t>John Mark</w:t>
            </w:r>
          </w:p>
        </w:tc>
      </w:tr>
      <w:tr>
        <w:tc>
          <w:tcPr>
            <w:tcW w:type="dxa" w:w="4997"/>
            <w:shd w:fill="EDF3E8"/>
            <w:tcMar>
              <w:top w:w="90" w:type="dxa"/>
              <w:start w:w="110" w:type="dxa"/>
              <w:bottom w:w="90" w:type="dxa"/>
              <w:end w:w="110" w:type="dxa"/>
            </w:tcMar>
          </w:tcPr>
          <w:p>
            <w:r>
              <w:rPr>
                <w:rFonts w:ascii="Inter" w:hAnsi="Inter" w:eastAsia="Inter"/>
                <w:b/>
                <w:color w:val="496A4B"/>
                <w:sz w:val="18"/>
              </w:rPr>
              <w:t>Product and Operations Manager</w:t>
            </w:r>
          </w:p>
        </w:tc>
        <w:tc>
          <w:tcPr>
            <w:tcW w:type="dxa" w:w="4997"/>
            <w:shd w:fill="FFFFFF"/>
            <w:tcMar>
              <w:top w:w="90" w:type="dxa"/>
              <w:start w:w="110" w:type="dxa"/>
              <w:bottom w:w="90" w:type="dxa"/>
              <w:end w:w="110" w:type="dxa"/>
            </w:tcMar>
          </w:tcPr>
          <w:p>
            <w:r>
              <w:rPr>
                <w:rFonts w:ascii="Inter" w:hAnsi="Inter" w:eastAsia="Inter"/>
                <w:color w:val="222222"/>
                <w:sz w:val="18"/>
              </w:rPr>
              <w:t>Destine</w:t>
            </w:r>
          </w:p>
        </w:tc>
      </w:tr>
      <w:tr>
        <w:tc>
          <w:tcPr>
            <w:tcW w:type="dxa" w:w="4997"/>
            <w:shd w:fill="EDF3E8"/>
            <w:tcMar>
              <w:top w:w="90" w:type="dxa"/>
              <w:start w:w="110" w:type="dxa"/>
              <w:bottom w:w="90" w:type="dxa"/>
              <w:end w:w="110" w:type="dxa"/>
            </w:tcMar>
          </w:tcPr>
          <w:p>
            <w:r>
              <w:rPr>
                <w:rFonts w:ascii="Inter" w:hAnsi="Inter" w:eastAsia="Inter"/>
                <w:b/>
                <w:color w:val="496A4B"/>
                <w:sz w:val="18"/>
              </w:rPr>
              <w:t>Vision and Final Direction</w:t>
            </w:r>
          </w:p>
        </w:tc>
        <w:tc>
          <w:tcPr>
            <w:tcW w:type="dxa" w:w="4997"/>
            <w:shd w:fill="FFFFFF"/>
            <w:tcMar>
              <w:top w:w="90" w:type="dxa"/>
              <w:start w:w="110" w:type="dxa"/>
              <w:bottom w:w="90" w:type="dxa"/>
              <w:end w:w="110" w:type="dxa"/>
            </w:tcMar>
          </w:tcPr>
          <w:p>
            <w:r>
              <w:rPr>
                <w:rFonts w:ascii="Inter" w:hAnsi="Inter" w:eastAsia="Inter"/>
                <w:color w:val="222222"/>
                <w:sz w:val="18"/>
              </w:rPr>
              <w:t>Skyler</w:t>
            </w:r>
          </w:p>
        </w:tc>
      </w:tr>
      <w:tr>
        <w:tc>
          <w:tcPr>
            <w:tcW w:type="dxa" w:w="4997"/>
            <w:shd w:fill="EDF3E8"/>
            <w:tcMar>
              <w:top w:w="90" w:type="dxa"/>
              <w:start w:w="110" w:type="dxa"/>
              <w:bottom w:w="90" w:type="dxa"/>
              <w:end w:w="110" w:type="dxa"/>
            </w:tcMar>
          </w:tcPr>
          <w:p>
            <w:r>
              <w:rPr>
                <w:rFonts w:ascii="Inter" w:hAnsi="Inter" w:eastAsia="Inter"/>
                <w:b/>
                <w:color w:val="496A4B"/>
                <w:sz w:val="18"/>
              </w:rPr>
              <w:t>Project Stage</w:t>
            </w:r>
          </w:p>
        </w:tc>
        <w:tc>
          <w:tcPr>
            <w:tcW w:type="dxa" w:w="4997"/>
            <w:shd w:fill="FFFFFF"/>
            <w:tcMar>
              <w:top w:w="90" w:type="dxa"/>
              <w:start w:w="110" w:type="dxa"/>
              <w:bottom w:w="90" w:type="dxa"/>
              <w:end w:w="110" w:type="dxa"/>
            </w:tcMar>
          </w:tcPr>
          <w:p>
            <w:r>
              <w:rPr>
                <w:rFonts w:ascii="Inter" w:hAnsi="Inter" w:eastAsia="Inter"/>
                <w:color w:val="222222"/>
                <w:sz w:val="18"/>
              </w:rPr>
              <w:t>Research, structure, and low-fidelity planning</w:t>
            </w:r>
          </w:p>
        </w:tc>
      </w:tr>
      <w:tr>
        <w:tc>
          <w:tcPr>
            <w:tcW w:type="dxa" w:w="4997"/>
            <w:shd w:fill="EDF3E8"/>
            <w:tcMar>
              <w:top w:w="90" w:type="dxa"/>
              <w:start w:w="110" w:type="dxa"/>
              <w:bottom w:w="90" w:type="dxa"/>
              <w:end w:w="110" w:type="dxa"/>
            </w:tcMar>
          </w:tcPr>
          <w:p>
            <w:r>
              <w:rPr>
                <w:rFonts w:ascii="Inter" w:hAnsi="Inter" w:eastAsia="Inter"/>
                <w:b/>
                <w:color w:val="496A4B"/>
                <w:sz w:val="18"/>
              </w:rPr>
              <w:t>Review Gate</w:t>
            </w:r>
          </w:p>
        </w:tc>
        <w:tc>
          <w:tcPr>
            <w:tcW w:type="dxa" w:w="4997"/>
            <w:shd w:fill="FFFFFF"/>
            <w:tcMar>
              <w:top w:w="90" w:type="dxa"/>
              <w:start w:w="110" w:type="dxa"/>
              <w:bottom w:w="90" w:type="dxa"/>
              <w:end w:w="110" w:type="dxa"/>
            </w:tcMar>
          </w:tcPr>
          <w:p>
            <w:r>
              <w:rPr>
                <w:rFonts w:ascii="Inter" w:hAnsi="Inter" w:eastAsia="Inter"/>
                <w:color w:val="222222"/>
                <w:sz w:val="18"/>
              </w:rPr>
              <w:t>Gate 1 - Benchmark research approval</w:t>
            </w:r>
          </w:p>
        </w:tc>
      </w:tr>
      <w:tr>
        <w:tc>
          <w:tcPr>
            <w:tcW w:type="dxa" w:w="4997"/>
            <w:shd w:fill="EDF3E8"/>
            <w:tcMar>
              <w:top w:w="90" w:type="dxa"/>
              <w:start w:w="110" w:type="dxa"/>
              <w:bottom w:w="90" w:type="dxa"/>
              <w:end w:w="110" w:type="dxa"/>
            </w:tcMar>
          </w:tcPr>
          <w:p>
            <w:r>
              <w:rPr>
                <w:rFonts w:ascii="Inter" w:hAnsi="Inter" w:eastAsia="Inter"/>
                <w:b/>
                <w:color w:val="496A4B"/>
                <w:sz w:val="18"/>
              </w:rPr>
              <w:t>Date</w:t>
            </w:r>
          </w:p>
        </w:tc>
        <w:tc>
          <w:tcPr>
            <w:tcW w:type="dxa" w:w="4997"/>
            <w:shd w:fill="FFFFFF"/>
            <w:tcMar>
              <w:top w:w="90" w:type="dxa"/>
              <w:start w:w="110" w:type="dxa"/>
              <w:bottom w:w="90" w:type="dxa"/>
              <w:end w:w="110" w:type="dxa"/>
            </w:tcMar>
          </w:tcPr>
          <w:p>
            <w:r>
              <w:rPr>
                <w:rFonts w:ascii="Inter" w:hAnsi="Inter" w:eastAsia="Inter"/>
                <w:color w:val="222222"/>
                <w:sz w:val="18"/>
              </w:rPr>
              <w:t>3 August 2026</w:t>
            </w:r>
          </w:p>
        </w:tc>
      </w:tr>
    </w:tbl>
    <w:p/>
    <w:p>
      <w:pPr>
        <w:jc w:val="center"/>
      </w:pPr>
      <w:r>
        <w:rPr>
          <w:rFonts w:ascii="Inter" w:hAnsi="Inter" w:eastAsia="Inter"/>
          <w:i/>
          <w:color w:val="5B6573"/>
          <w:sz w:val="17"/>
        </w:rPr>
        <w:t>Research basis: official public websites reviewed through Gemini Deep Research in August 2026; editorially audited and reframed for internal use.</w:t>
      </w:r>
    </w:p>
    <w:p>
      <w:r>
        <w:br w:type="page"/>
      </w:r>
    </w:p>
    <w:p>
      <w:pPr>
        <w:spacing w:before="200" w:after="100"/>
        <w:keepNext/>
        <w:pBdr>
          <w:bottom w:val="single" w:sz="8" w:space="4" w:color="B88A33"/>
        </w:pBdr>
      </w:pPr>
      <w:r>
        <w:rPr>
          <w:rFonts w:ascii="Inter Display" w:hAnsi="Inter Display" w:eastAsia="Inter Display"/>
          <w:b/>
          <w:color w:val="1F2A44"/>
          <w:sz w:val="36"/>
        </w:rPr>
        <w:t>Report Structure</w:t>
      </w:r>
    </w:p>
    <w:p>
      <w:pPr>
        <w:pStyle w:val="ListBullet"/>
        <w:spacing w:after="40"/>
        <w:ind w:left="288"/>
      </w:pPr>
      <w:r>
        <w:rPr>
          <w:rFonts w:ascii="Inter" w:hAnsi="Inter" w:eastAsia="Inter"/>
          <w:color w:val="222222"/>
          <w:sz w:val="21"/>
        </w:rPr>
        <w:t>1. Executive Summary</w:t>
      </w:r>
    </w:p>
    <w:p>
      <w:pPr>
        <w:pStyle w:val="ListBullet"/>
        <w:spacing w:after="40"/>
        <w:ind w:left="288"/>
      </w:pPr>
      <w:r>
        <w:rPr>
          <w:rFonts w:ascii="Inter" w:hAnsi="Inter" w:eastAsia="Inter"/>
          <w:color w:val="222222"/>
          <w:sz w:val="21"/>
        </w:rPr>
        <w:t>2. Research Scope and Method</w:t>
      </w:r>
    </w:p>
    <w:p>
      <w:pPr>
        <w:pStyle w:val="ListBullet"/>
        <w:spacing w:after="40"/>
        <w:ind w:left="288"/>
      </w:pPr>
      <w:r>
        <w:rPr>
          <w:rFonts w:ascii="Inter" w:hAnsi="Inter" w:eastAsia="Inter"/>
          <w:color w:val="222222"/>
          <w:sz w:val="21"/>
        </w:rPr>
        <w:t>3. Organization-by-Organization Analysis</w:t>
      </w:r>
    </w:p>
    <w:p>
      <w:pPr>
        <w:pStyle w:val="ListBullet"/>
        <w:spacing w:after="40"/>
        <w:ind w:left="288"/>
      </w:pPr>
      <w:r>
        <w:rPr>
          <w:rFonts w:ascii="Inter" w:hAnsi="Inter" w:eastAsia="Inter"/>
          <w:color w:val="222222"/>
          <w:sz w:val="21"/>
        </w:rPr>
        <w:t>4. Cross-Benchmark Comparison</w:t>
      </w:r>
    </w:p>
    <w:p>
      <w:pPr>
        <w:pStyle w:val="ListBullet"/>
        <w:spacing w:after="40"/>
        <w:ind w:left="288"/>
      </w:pPr>
      <w:r>
        <w:rPr>
          <w:rFonts w:ascii="Inter" w:hAnsi="Inter" w:eastAsia="Inter"/>
          <w:color w:val="222222"/>
          <w:sz w:val="21"/>
        </w:rPr>
        <w:t>5. Pattern Analysis</w:t>
      </w:r>
    </w:p>
    <w:p>
      <w:pPr>
        <w:pStyle w:val="ListBullet"/>
        <w:spacing w:after="40"/>
        <w:ind w:left="288"/>
      </w:pPr>
      <w:r>
        <w:rPr>
          <w:rFonts w:ascii="Inter" w:hAnsi="Inter" w:eastAsia="Inter"/>
          <w:color w:val="222222"/>
          <w:sz w:val="21"/>
        </w:rPr>
        <w:t>6. Responsible Applications to the Proposed Ecosystem</w:t>
      </w:r>
    </w:p>
    <w:p>
      <w:pPr>
        <w:pStyle w:val="ListBullet"/>
        <w:spacing w:after="40"/>
        <w:ind w:left="288"/>
      </w:pPr>
      <w:r>
        <w:rPr>
          <w:rFonts w:ascii="Inter" w:hAnsi="Inter" w:eastAsia="Inter"/>
          <w:color w:val="222222"/>
          <w:sz w:val="21"/>
        </w:rPr>
        <w:t>7. Recommended Website Principles</w:t>
      </w:r>
    </w:p>
    <w:p>
      <w:pPr>
        <w:pStyle w:val="ListBullet"/>
        <w:spacing w:after="40"/>
        <w:ind w:left="288"/>
      </w:pPr>
      <w:r>
        <w:rPr>
          <w:rFonts w:ascii="Inter" w:hAnsi="Inter" w:eastAsia="Inter"/>
          <w:color w:val="222222"/>
          <w:sz w:val="21"/>
        </w:rPr>
        <w:t>8. Risks, Open Questions, and Claims to Avoid</w:t>
      </w:r>
    </w:p>
    <w:p>
      <w:pPr>
        <w:pStyle w:val="ListBullet"/>
        <w:spacing w:after="40"/>
        <w:ind w:left="288"/>
      </w:pPr>
      <w:r>
        <w:rPr>
          <w:rFonts w:ascii="Inter" w:hAnsi="Inter" w:eastAsia="Inter"/>
          <w:color w:val="222222"/>
          <w:sz w:val="21"/>
        </w:rPr>
        <w:t>Appendix A. Source Register</w:t>
      </w:r>
    </w:p>
    <w:tbl>
      <w:tblPr>
        <w:tblW w:type="auto" w:w="0"/>
        <w:jc w:val="center"/>
        <w:tblLayout w:type="fixed"/>
        <w:tblLook w:firstColumn="1" w:firstRow="1" w:lastColumn="0" w:lastRow="0" w:noHBand="0" w:noVBand="1" w:val="04A0"/>
        <w:tblBorders>
          <w:top w:val="single" w:sz="8" w:space="0" w:color="8FA9BF"/>
          <w:left w:val="single" w:sz="8" w:space="0" w:color="8FA9BF"/>
          <w:bottom w:val="single" w:sz="8" w:space="0" w:color="8FA9BF"/>
          <w:right w:val="single" w:sz="8" w:space="0" w:color="8FA9BF"/>
          <w:insideH w:val="single" w:sz="8" w:space="0" w:color="8FA9BF"/>
          <w:insideV w:val="single" w:sz="8" w:space="0" w:color="8FA9BF"/>
        </w:tblBorders>
      </w:tblPr>
      <w:tblGrid>
        <w:gridCol w:w="9648"/>
      </w:tblGrid>
      <w:tr>
        <w:tc>
          <w:tcPr>
            <w:tcW w:type="dxa" w:w="9994"/>
            <w:shd w:fill="EAF0F6"/>
            <w:tcMar>
              <w:top w:w="130" w:type="dxa"/>
              <w:start w:w="160" w:type="dxa"/>
              <w:bottom w:w="130" w:type="dxa"/>
              <w:end w:w="160" w:type="dxa"/>
            </w:tcMar>
          </w:tcPr>
          <w:p>
            <w:pPr>
              <w:spacing w:after="60"/>
            </w:pPr>
            <w:r>
              <w:rPr>
                <w:rFonts w:ascii="Inter" w:hAnsi="Inter" w:eastAsia="Inter"/>
                <w:b/>
                <w:color w:val="1F2A44"/>
                <w:sz w:val="21"/>
              </w:rPr>
              <w:t>Editorial note</w:t>
            </w:r>
          </w:p>
          <w:p>
            <w:pPr>
              <w:spacing w:after="0"/>
            </w:pPr>
            <w:r>
              <w:rPr>
                <w:rFonts w:ascii="Inter" w:hAnsi="Inter" w:eastAsia="Inter"/>
                <w:color w:val="222222"/>
                <w:sz w:val="19"/>
              </w:rPr>
              <w:t>The Gemini research output contained several strong observations but also used overly absolute language. This final version separates public observations, strategic interpretations, and possible applications. Recommendations are framed as options for review rather than approved decisions.</w:t>
            </w:r>
          </w:p>
        </w:tc>
      </w:tr>
    </w:tbl>
    <w:p>
      <w:pPr>
        <w:spacing w:after="0"/>
      </w:pPr>
    </w:p>
    <w:p>
      <w:pPr>
        <w:spacing w:before="200" w:after="100"/>
        <w:keepNext/>
        <w:pBdr>
          <w:bottom w:val="single" w:sz="8" w:space="4" w:color="B88A33"/>
        </w:pBdr>
      </w:pPr>
      <w:r>
        <w:rPr>
          <w:rFonts w:ascii="Inter Display" w:hAnsi="Inter Display" w:eastAsia="Inter Display"/>
          <w:b/>
          <w:color w:val="1F2A44"/>
          <w:sz w:val="36"/>
        </w:rPr>
        <w:t>1. Executive Summary</w:t>
      </w:r>
    </w:p>
    <w:p>
      <w:pPr>
        <w:spacing w:after="80" w:line="259" w:lineRule="auto"/>
      </w:pPr>
      <w:r>
        <w:rPr>
          <w:rFonts w:ascii="Inter" w:hAnsi="Inter" w:eastAsia="Inter"/>
          <w:color w:val="222222"/>
          <w:sz w:val="20"/>
        </w:rPr>
        <w:t>This benchmark study examines seven organizations whose websites manage some combination of institutional governance, public education, professional support, community participation, partnerships, and practical opportunities. The recurring lesson is not to expose the entire organizational structure to every visitor at once. Strong sites present a clear public promise, offer audience- or need-based pathways, and reveal deeper layers only when they become relevant.</w:t>
      </w:r>
    </w:p>
    <w:p>
      <w:pPr>
        <w:spacing w:before="120" w:after="100"/>
        <w:keepNext/>
      </w:pPr>
      <w:r>
        <w:rPr>
          <w:rFonts w:ascii="Inter Display" w:hAnsi="Inter Display" w:eastAsia="Inter Display"/>
          <w:b/>
          <w:color w:val="496A4B"/>
          <w:sz w:val="27"/>
        </w:rPr>
        <w:t>Strongest recurring patterns</w:t>
      </w:r>
    </w:p>
    <w:p>
      <w:pPr>
        <w:pStyle w:val="ListBullet"/>
        <w:spacing w:after="40"/>
        <w:ind w:left="288"/>
      </w:pPr>
      <w:r>
        <w:rPr>
          <w:rFonts w:ascii="Inter" w:hAnsi="Inter" w:eastAsia="Inter"/>
          <w:color w:val="222222"/>
          <w:sz w:val="20"/>
        </w:rPr>
        <w:t>One trusted public front door can unify several distinct programs or branches without merging their responsibilities.</w:t>
      </w:r>
    </w:p>
    <w:p>
      <w:pPr>
        <w:pStyle w:val="ListBullet"/>
        <w:spacing w:after="40"/>
        <w:ind w:left="288"/>
      </w:pPr>
      <w:r>
        <w:rPr>
          <w:rFonts w:ascii="Inter" w:hAnsi="Inter" w:eastAsia="Inter"/>
          <w:color w:val="222222"/>
          <w:sz w:val="20"/>
        </w:rPr>
        <w:t>Visitors are routed by immediate need, role, or readiness rather than being required to understand the full organizational chart first.</w:t>
      </w:r>
    </w:p>
    <w:p>
      <w:pPr>
        <w:pStyle w:val="ListBullet"/>
        <w:spacing w:after="40"/>
        <w:ind w:left="288"/>
      </w:pPr>
      <w:r>
        <w:rPr>
          <w:rFonts w:ascii="Inter" w:hAnsi="Inter" w:eastAsia="Inter"/>
          <w:color w:val="222222"/>
          <w:sz w:val="20"/>
        </w:rPr>
        <w:t>Participation is layered: public learning and low-pressure exploration can precede advising, applications, community access, or deeper collaboration.</w:t>
      </w:r>
    </w:p>
    <w:p>
      <w:pPr>
        <w:pStyle w:val="ListBullet"/>
        <w:spacing w:after="40"/>
        <w:ind w:left="288"/>
      </w:pPr>
      <w:r>
        <w:rPr>
          <w:rFonts w:ascii="Inter" w:hAnsi="Inter" w:eastAsia="Inter"/>
          <w:color w:val="222222"/>
          <w:sz w:val="20"/>
        </w:rPr>
        <w:t>Trust is created through visible governance, published methods, named people, approved partners, real work, limitations, privacy information, and clear rules - not philosophy alone.</w:t>
      </w:r>
    </w:p>
    <w:p>
      <w:pPr>
        <w:pStyle w:val="ListBullet"/>
        <w:spacing w:after="40"/>
        <w:ind w:left="288"/>
      </w:pPr>
      <w:r>
        <w:rPr>
          <w:rFonts w:ascii="Inter" w:hAnsi="Inter" w:eastAsia="Inter"/>
          <w:color w:val="222222"/>
          <w:sz w:val="20"/>
        </w:rPr>
        <w:t>One-on-one support is sustainable when the purpose, eligibility, duration, expected conduct, and next step are stated before the conversation begins.</w:t>
      </w:r>
    </w:p>
    <w:p>
      <w:pPr>
        <w:pStyle w:val="ListBullet"/>
        <w:spacing w:after="40"/>
        <w:ind w:left="288"/>
      </w:pPr>
      <w:r>
        <w:rPr>
          <w:rFonts w:ascii="Inter" w:hAnsi="Inter" w:eastAsia="Inter"/>
          <w:color w:val="222222"/>
          <w:sz w:val="20"/>
        </w:rPr>
        <w:t>Opportunities are usually separated from broad mission language through dedicated job boards, program pages, directories, or scoped application pathways.</w:t>
      </w:r>
    </w:p>
    <w:p>
      <w:pPr>
        <w:spacing w:before="120" w:after="100"/>
        <w:keepNext/>
      </w:pPr>
      <w:r>
        <w:rPr>
          <w:rFonts w:ascii="Inter Display" w:hAnsi="Inter Display" w:eastAsia="Inter Display"/>
          <w:b/>
          <w:color w:val="496A4B"/>
          <w:sz w:val="27"/>
        </w:rPr>
        <w:t>Most important differences</w:t>
      </w:r>
    </w:p>
    <w:p>
      <w:pPr>
        <w:spacing w:after="80" w:line="259" w:lineRule="auto"/>
      </w:pPr>
      <w:r>
        <w:rPr>
          <w:rFonts w:ascii="Inter" w:hAnsi="Inter" w:eastAsia="Inter"/>
          <w:color w:val="222222"/>
          <w:sz w:val="20"/>
        </w:rPr>
        <w:t>The benchmarks differ substantially in how much friction they introduce. OpenDoorClimate prioritizes fast, low-cost connection with minimal gatekeeping. 80,000 Hours and Animal Advocacy Careers use education and applications before resource-intensive support. Ashoka and B Lab rely on more formal selection or verification processes. Plum Village offers the deepest participation ladder, moving from public resources to long-term community commitments. These models should not be treated as interchangeable.</w:t>
      </w:r>
    </w:p>
    <w:p>
      <w:pPr>
        <w:spacing w:before="120" w:after="100"/>
        <w:keepNext/>
      </w:pPr>
      <w:r>
        <w:rPr>
          <w:rFonts w:ascii="Inter Display" w:hAnsi="Inter Display" w:eastAsia="Inter Display"/>
          <w:b/>
          <w:color w:val="496A4B"/>
          <w:sz w:val="27"/>
        </w:rPr>
        <w:t>Five lessons most relevant to this project</w:t>
      </w:r>
    </w:p>
    <w:p>
      <w:pPr>
        <w:spacing w:after="40"/>
        <w:ind w:left="432" w:hanging="346"/>
      </w:pPr>
      <w:r>
        <w:rPr>
          <w:rFonts w:ascii="Inter" w:hAnsi="Inter" w:eastAsia="Inter"/>
          <w:b/>
          <w:color w:val="1F2A44"/>
          <w:sz w:val="20"/>
        </w:rPr>
        <w:t>1.</w:t>
      </w:r>
      <w:r>
        <w:rPr>
          <w:rFonts w:ascii="Inter" w:hAnsi="Inter" w:eastAsia="Inter"/>
          <w:color w:val="222222"/>
          <w:sz w:val="20"/>
        </w:rPr>
        <w:t xml:space="preserve">  Use one parent website as the trusted public front door, while explaining DoGoodie and the Liberation Network as distinct pathways.</w:t>
      </w:r>
    </w:p>
    <w:p>
      <w:pPr>
        <w:spacing w:after="40"/>
        <w:ind w:left="432" w:hanging="346"/>
      </w:pPr>
      <w:r>
        <w:rPr>
          <w:rFonts w:ascii="Inter" w:hAnsi="Inter" w:eastAsia="Inter"/>
          <w:b/>
          <w:color w:val="1F2A44"/>
          <w:sz w:val="20"/>
        </w:rPr>
        <w:t>2.</w:t>
      </w:r>
      <w:r>
        <w:rPr>
          <w:rFonts w:ascii="Inter" w:hAnsi="Inter" w:eastAsia="Inter"/>
          <w:color w:val="222222"/>
          <w:sz w:val="20"/>
        </w:rPr>
        <w:t xml:space="preserve">  Let visitors choose what they need before asking them to understand the ecosystem in detail.</w:t>
      </w:r>
    </w:p>
    <w:p>
      <w:pPr>
        <w:spacing w:after="40"/>
        <w:ind w:left="432" w:hanging="346"/>
      </w:pPr>
      <w:r>
        <w:rPr>
          <w:rFonts w:ascii="Inter" w:hAnsi="Inter" w:eastAsia="Inter"/>
          <w:b/>
          <w:color w:val="1F2A44"/>
          <w:sz w:val="20"/>
        </w:rPr>
        <w:t>3.</w:t>
      </w:r>
      <w:r>
        <w:rPr>
          <w:rFonts w:ascii="Inter" w:hAnsi="Inter" w:eastAsia="Inter"/>
          <w:color w:val="222222"/>
          <w:sz w:val="20"/>
        </w:rPr>
        <w:t xml:space="preserve">  Offer public learning and clear expectations before scarce or deeper forms of support, but do not impose the same prerequisite on every audience.</w:t>
      </w:r>
    </w:p>
    <w:p>
      <w:pPr>
        <w:spacing w:after="40"/>
        <w:ind w:left="432" w:hanging="346"/>
      </w:pPr>
      <w:r>
        <w:rPr>
          <w:rFonts w:ascii="Inter" w:hAnsi="Inter" w:eastAsia="Inter"/>
          <w:b/>
          <w:color w:val="1F2A44"/>
          <w:sz w:val="20"/>
        </w:rPr>
        <w:t>4.</w:t>
      </w:r>
      <w:r>
        <w:rPr>
          <w:rFonts w:ascii="Inter" w:hAnsi="Inter" w:eastAsia="Inter"/>
          <w:color w:val="222222"/>
          <w:sz w:val="20"/>
        </w:rPr>
        <w:t xml:space="preserve">  Make safeguards visible near forms, opportunities, one-on-one conversations, and participation pathways - not only in the footer.</w:t>
      </w:r>
    </w:p>
    <w:p>
      <w:pPr>
        <w:spacing w:after="40"/>
        <w:ind w:left="432" w:hanging="346"/>
      </w:pPr>
      <w:r>
        <w:rPr>
          <w:rFonts w:ascii="Inter" w:hAnsi="Inter" w:eastAsia="Inter"/>
          <w:b/>
          <w:color w:val="1F2A44"/>
          <w:sz w:val="20"/>
        </w:rPr>
        <w:t>5.</w:t>
      </w:r>
      <w:r>
        <w:rPr>
          <w:rFonts w:ascii="Inter" w:hAnsi="Inter" w:eastAsia="Inter"/>
          <w:color w:val="222222"/>
          <w:sz w:val="20"/>
        </w:rPr>
        <w:t xml:space="preserve">  Support philosophical claims with approved work, honest limitations, transparent methods, and evidence that can be verified.</w:t>
      </w:r>
    </w:p>
    <w:p>
      <w:pPr>
        <w:spacing w:before="120" w:after="100"/>
        <w:keepNext/>
      </w:pPr>
      <w:r>
        <w:rPr>
          <w:rFonts w:ascii="Inter Display" w:hAnsi="Inter Display" w:eastAsia="Inter Display"/>
          <w:b/>
          <w:color w:val="496A4B"/>
          <w:sz w:val="27"/>
        </w:rPr>
        <w:t>Three cautions</w:t>
      </w:r>
    </w:p>
    <w:p>
      <w:pPr>
        <w:pStyle w:val="ListBullet"/>
        <w:spacing w:after="40"/>
        <w:ind w:left="288"/>
      </w:pPr>
      <w:r>
        <w:rPr>
          <w:rFonts w:ascii="Inter" w:hAnsi="Inter" w:eastAsia="Inter"/>
          <w:color w:val="222222"/>
          <w:sz w:val="20"/>
        </w:rPr>
        <w:t>Do not copy the bureaucracy, exclusivity, or time requirements of mature certification and fellowship systems before the team has matching governance capacity.</w:t>
      </w:r>
    </w:p>
    <w:p>
      <w:pPr>
        <w:pStyle w:val="ListBullet"/>
        <w:spacing w:after="40"/>
        <w:ind w:left="288"/>
      </w:pPr>
      <w:r>
        <w:rPr>
          <w:rFonts w:ascii="Inter" w:hAnsi="Inter" w:eastAsia="Inter"/>
          <w:color w:val="222222"/>
          <w:sz w:val="20"/>
        </w:rPr>
        <w:t>Do not offer open-ended human support or a public directory without clear boundaries, review ownership, privacy safeguards, and a response process.</w:t>
      </w:r>
    </w:p>
    <w:p>
      <w:pPr>
        <w:pStyle w:val="ListBullet"/>
        <w:spacing w:after="40"/>
        <w:ind w:left="288"/>
      </w:pPr>
      <w:r>
        <w:rPr>
          <w:rFonts w:ascii="Inter" w:hAnsi="Inter" w:eastAsia="Inter"/>
          <w:color w:val="222222"/>
          <w:sz w:val="20"/>
        </w:rPr>
        <w:t>Do not treat benchmark patterns as final policy. Naming, eligibility, public claims, services, partnership displays, and network depth still require Destine or Skyler approval.</w:t>
      </w:r>
    </w:p>
    <w:tbl>
      <w:tblPr>
        <w:tblW w:type="auto" w:w="0"/>
        <w:jc w:val="center"/>
        <w:tblLayout w:type="fixed"/>
        <w:tblLook w:firstColumn="1" w:firstRow="1" w:lastColumn="0" w:lastRow="0" w:noHBand="0" w:noVBand="1" w:val="04A0"/>
        <w:tblBorders>
          <w:top w:val="single" w:sz="8" w:space="0" w:color="496A4B"/>
          <w:left w:val="single" w:sz="8" w:space="0" w:color="496A4B"/>
          <w:bottom w:val="single" w:sz="8" w:space="0" w:color="496A4B"/>
          <w:right w:val="single" w:sz="8" w:space="0" w:color="496A4B"/>
          <w:insideH w:val="single" w:sz="8" w:space="0" w:color="496A4B"/>
          <w:insideV w:val="single" w:sz="8" w:space="0" w:color="496A4B"/>
        </w:tblBorders>
      </w:tblPr>
      <w:tblGrid>
        <w:gridCol w:w="9648"/>
      </w:tblGrid>
      <w:tr>
        <w:tc>
          <w:tcPr>
            <w:tcW w:type="dxa" w:w="9994"/>
            <w:shd w:fill="EDF3E8"/>
            <w:tcMar>
              <w:top w:w="130" w:type="dxa"/>
              <w:start w:w="160" w:type="dxa"/>
              <w:bottom w:w="130" w:type="dxa"/>
              <w:end w:w="160" w:type="dxa"/>
            </w:tcMar>
          </w:tcPr>
          <w:p>
            <w:pPr>
              <w:spacing w:after="60"/>
            </w:pPr>
            <w:r>
              <w:rPr>
                <w:rFonts w:ascii="Inter" w:hAnsi="Inter" w:eastAsia="Inter"/>
                <w:b/>
                <w:color w:val="1F2A44"/>
                <w:sz w:val="21"/>
              </w:rPr>
              <w:t>Why no single benchmark should be copied</w:t>
            </w:r>
          </w:p>
          <w:p>
            <w:pPr>
              <w:spacing w:after="0"/>
            </w:pPr>
            <w:r>
              <w:rPr>
                <w:rFonts w:ascii="Inter" w:hAnsi="Inter" w:eastAsia="Inter"/>
                <w:color w:val="222222"/>
                <w:sz w:val="19"/>
              </w:rPr>
              <w:t>None of the seven organizations combines exactly the same three functions proposed here: an institutional parent, a practical project-delivery arm, and a relationship-based mutual-support network. The future structure should combine compatible lessons while avoiding copied language, identity systems, visual styles, and operating assumptions.</w:t>
            </w:r>
          </w:p>
        </w:tc>
      </w:tr>
    </w:tbl>
    <w:p>
      <w:pPr>
        <w:spacing w:after="0"/>
      </w:pPr>
    </w:p>
    <w:p>
      <w:pPr>
        <w:spacing w:before="200" w:after="100"/>
        <w:keepNext/>
        <w:pBdr>
          <w:bottom w:val="single" w:sz="8" w:space="4" w:color="B88A33"/>
        </w:pBdr>
      </w:pPr>
      <w:r>
        <w:rPr>
          <w:rFonts w:ascii="Inter Display" w:hAnsi="Inter Display" w:eastAsia="Inter Display"/>
          <w:b/>
          <w:color w:val="1F2A44"/>
          <w:sz w:val="36"/>
        </w:rPr>
        <w:t>2. Research Scope and Method</w:t>
      </w:r>
    </w:p>
    <w:p>
      <w:pPr>
        <w:spacing w:after="80" w:line="259" w:lineRule="auto"/>
      </w:pPr>
      <w:r>
        <w:rPr>
          <w:rFonts w:ascii="Inter" w:hAnsi="Inter" w:eastAsia="Inter"/>
          <w:color w:val="222222"/>
          <w:sz w:val="20"/>
        </w:rPr>
        <w:t>The research reviewed the current public websites of 80,000 Hours, Impact Hub, Ashoka, B Lab / B Corporation, OpenDoorClimate, Animal Advocacy Careers, and Plum Village. The review focused on public-facing information architecture rather than private operations.</w:t>
      </w:r>
    </w:p>
    <w:p>
      <w:pPr>
        <w:spacing w:before="120" w:after="100"/>
        <w:keepNext/>
      </w:pPr>
      <w:r>
        <w:rPr>
          <w:rFonts w:ascii="Inter Display" w:hAnsi="Inter Display" w:eastAsia="Inter Display"/>
          <w:b/>
          <w:color w:val="496A4B"/>
          <w:sz w:val="27"/>
        </w:rPr>
        <w:t>Areas reviewed for every organization</w:t>
      </w:r>
    </w:p>
    <w:p>
      <w:pPr>
        <w:pStyle w:val="ListBullet"/>
        <w:spacing w:after="40"/>
        <w:ind w:left="288"/>
      </w:pPr>
      <w:r>
        <w:rPr>
          <w:rFonts w:ascii="Inter" w:hAnsi="Inter" w:eastAsia="Inter"/>
          <w:color w:val="222222"/>
          <w:sz w:val="20"/>
        </w:rPr>
        <w:t>Audience</w:t>
      </w:r>
    </w:p>
    <w:p>
      <w:pPr>
        <w:pStyle w:val="ListBullet"/>
        <w:spacing w:after="40"/>
        <w:ind w:left="288"/>
      </w:pPr>
      <w:r>
        <w:rPr>
          <w:rFonts w:ascii="Inter" w:hAnsi="Inter" w:eastAsia="Inter"/>
          <w:color w:val="222222"/>
          <w:sz w:val="20"/>
        </w:rPr>
        <w:t>Hero</w:t>
      </w:r>
    </w:p>
    <w:p>
      <w:pPr>
        <w:pStyle w:val="ListBullet"/>
        <w:spacing w:after="40"/>
        <w:ind w:left="288"/>
      </w:pPr>
      <w:r>
        <w:rPr>
          <w:rFonts w:ascii="Inter" w:hAnsi="Inter" w:eastAsia="Inter"/>
          <w:color w:val="222222"/>
          <w:sz w:val="20"/>
        </w:rPr>
        <w:t>Navigation</w:t>
      </w:r>
    </w:p>
    <w:p>
      <w:pPr>
        <w:pStyle w:val="ListBullet"/>
        <w:spacing w:after="40"/>
        <w:ind w:left="288"/>
      </w:pPr>
      <w:r>
        <w:rPr>
          <w:rFonts w:ascii="Inter" w:hAnsi="Inter" w:eastAsia="Inter"/>
          <w:color w:val="222222"/>
          <w:sz w:val="20"/>
        </w:rPr>
        <w:t>Value proposition</w:t>
      </w:r>
    </w:p>
    <w:p>
      <w:pPr>
        <w:pStyle w:val="ListBullet"/>
        <w:spacing w:after="40"/>
        <w:ind w:left="288"/>
      </w:pPr>
      <w:r>
        <w:rPr>
          <w:rFonts w:ascii="Inter" w:hAnsi="Inter" w:eastAsia="Inter"/>
          <w:color w:val="222222"/>
          <w:sz w:val="20"/>
        </w:rPr>
        <w:t>Primary call to action</w:t>
      </w:r>
    </w:p>
    <w:p>
      <w:pPr>
        <w:pStyle w:val="ListBullet"/>
        <w:spacing w:after="40"/>
        <w:ind w:left="288"/>
      </w:pPr>
      <w:r>
        <w:rPr>
          <w:rFonts w:ascii="Inter" w:hAnsi="Inter" w:eastAsia="Inter"/>
          <w:color w:val="222222"/>
          <w:sz w:val="20"/>
        </w:rPr>
        <w:t>Participation layers</w:t>
      </w:r>
    </w:p>
    <w:p>
      <w:pPr>
        <w:pStyle w:val="ListBullet"/>
        <w:spacing w:after="40"/>
        <w:ind w:left="288"/>
      </w:pPr>
      <w:r>
        <w:rPr>
          <w:rFonts w:ascii="Inter" w:hAnsi="Inter" w:eastAsia="Inter"/>
          <w:color w:val="222222"/>
          <w:sz w:val="20"/>
        </w:rPr>
        <w:t>Trust signals</w:t>
      </w:r>
    </w:p>
    <w:p>
      <w:pPr>
        <w:pStyle w:val="ListBullet"/>
        <w:spacing w:after="40"/>
        <w:ind w:left="288"/>
      </w:pPr>
      <w:r>
        <w:rPr>
          <w:rFonts w:ascii="Inter" w:hAnsi="Inter" w:eastAsia="Inter"/>
          <w:color w:val="222222"/>
          <w:sz w:val="20"/>
        </w:rPr>
        <w:t>One-on-one support</w:t>
      </w:r>
    </w:p>
    <w:p>
      <w:pPr>
        <w:pStyle w:val="ListBullet"/>
        <w:spacing w:after="40"/>
        <w:ind w:left="288"/>
      </w:pPr>
      <w:r>
        <w:rPr>
          <w:rFonts w:ascii="Inter" w:hAnsi="Inter" w:eastAsia="Inter"/>
          <w:color w:val="222222"/>
          <w:sz w:val="20"/>
        </w:rPr>
        <w:t>Opportunities</w:t>
      </w:r>
    </w:p>
    <w:p>
      <w:pPr>
        <w:pStyle w:val="ListBullet"/>
        <w:spacing w:after="40"/>
        <w:ind w:left="288"/>
      </w:pPr>
      <w:r>
        <w:rPr>
          <w:rFonts w:ascii="Inter" w:hAnsi="Inter" w:eastAsia="Inter"/>
          <w:color w:val="222222"/>
          <w:sz w:val="20"/>
        </w:rPr>
        <w:t>Safeguards</w:t>
      </w:r>
    </w:p>
    <w:p>
      <w:pPr>
        <w:pStyle w:val="ListBullet"/>
        <w:spacing w:after="40"/>
        <w:ind w:left="288"/>
      </w:pPr>
      <w:r>
        <w:rPr>
          <w:rFonts w:ascii="Inter" w:hAnsi="Inter" w:eastAsia="Inter"/>
          <w:color w:val="222222"/>
          <w:sz w:val="20"/>
        </w:rPr>
        <w:t>Community platform</w:t>
      </w:r>
    </w:p>
    <w:p>
      <w:pPr>
        <w:pStyle w:val="ListBullet"/>
        <w:spacing w:after="40"/>
        <w:ind w:left="288"/>
      </w:pPr>
      <w:r>
        <w:rPr>
          <w:rFonts w:ascii="Inter" w:hAnsi="Inter" w:eastAsia="Inter"/>
          <w:color w:val="222222"/>
          <w:sz w:val="20"/>
        </w:rPr>
        <w:t>Strengths</w:t>
      </w:r>
    </w:p>
    <w:p>
      <w:pPr>
        <w:pStyle w:val="ListBullet"/>
        <w:spacing w:after="40"/>
        <w:ind w:left="288"/>
      </w:pPr>
      <w:r>
        <w:rPr>
          <w:rFonts w:ascii="Inter" w:hAnsi="Inter" w:eastAsia="Inter"/>
          <w:color w:val="222222"/>
          <w:sz w:val="20"/>
        </w:rPr>
        <w:t>Risks</w:t>
      </w:r>
    </w:p>
    <w:p>
      <w:pPr>
        <w:pStyle w:val="ListBullet"/>
        <w:spacing w:after="40"/>
        <w:ind w:left="288"/>
      </w:pPr>
      <w:r>
        <w:rPr>
          <w:rFonts w:ascii="Inter" w:hAnsi="Inter" w:eastAsia="Inter"/>
          <w:color w:val="222222"/>
          <w:sz w:val="20"/>
        </w:rPr>
        <w:t>Responsible application</w:t>
      </w:r>
    </w:p>
    <w:p>
      <w:pPr>
        <w:spacing w:before="120" w:after="100"/>
        <w:keepNext/>
      </w:pPr>
      <w:r>
        <w:rPr>
          <w:rFonts w:ascii="Inter Display" w:hAnsi="Inter Display" w:eastAsia="Inter Display"/>
          <w:b/>
          <w:color w:val="496A4B"/>
          <w:sz w:val="27"/>
        </w:rPr>
        <w:t>Evidence classification used in this final version</w:t>
      </w:r>
    </w:p>
    <w:p>
      <w:pPr>
        <w:spacing w:after="60"/>
      </w:pPr>
      <w:r>
        <w:rPr>
          <w:rFonts w:ascii="Inter" w:hAnsi="Inter" w:eastAsia="Inter"/>
          <w:b/>
          <w:color w:val="496A4B"/>
          <w:sz w:val="20"/>
        </w:rPr>
        <w:t xml:space="preserve">Observed: </w:t>
      </w:r>
      <w:r>
        <w:rPr>
          <w:rFonts w:ascii="Inter" w:hAnsi="Inter" w:eastAsia="Inter"/>
          <w:color w:val="222222"/>
          <w:sz w:val="20"/>
        </w:rPr>
        <w:t>Clearly visible on an official public page or navigation path.</w:t>
      </w:r>
    </w:p>
    <w:p>
      <w:pPr>
        <w:spacing w:after="60"/>
      </w:pPr>
      <w:r>
        <w:rPr>
          <w:rFonts w:ascii="Inter" w:hAnsi="Inter" w:eastAsia="Inter"/>
          <w:b/>
          <w:color w:val="496A4B"/>
          <w:sz w:val="20"/>
        </w:rPr>
        <w:t xml:space="preserve">Interpretation: </w:t>
      </w:r>
      <w:r>
        <w:rPr>
          <w:rFonts w:ascii="Inter" w:hAnsi="Inter" w:eastAsia="Inter"/>
          <w:color w:val="222222"/>
          <w:sz w:val="20"/>
        </w:rPr>
        <w:t>A cautious explanation of what the public structure appears designed to accomplish.</w:t>
      </w:r>
    </w:p>
    <w:p>
      <w:pPr>
        <w:spacing w:after="60"/>
      </w:pPr>
      <w:r>
        <w:rPr>
          <w:rFonts w:ascii="Inter" w:hAnsi="Inter" w:eastAsia="Inter"/>
          <w:b/>
          <w:color w:val="496A4B"/>
          <w:sz w:val="20"/>
        </w:rPr>
        <w:t xml:space="preserve">Possible application: </w:t>
      </w:r>
      <w:r>
        <w:rPr>
          <w:rFonts w:ascii="Inter" w:hAnsi="Inter" w:eastAsia="Inter"/>
          <w:color w:val="222222"/>
          <w:sz w:val="20"/>
        </w:rPr>
        <w:t>A lesson that may inform this project but remains subject to review and operational capacity.</w:t>
      </w:r>
    </w:p>
    <w:p>
      <w:pPr>
        <w:spacing w:after="60"/>
      </w:pPr>
      <w:r>
        <w:rPr>
          <w:rFonts w:ascii="Inter" w:hAnsi="Inter" w:eastAsia="Inter"/>
          <w:b/>
          <w:color w:val="496A4B"/>
          <w:sz w:val="20"/>
        </w:rPr>
        <w:t xml:space="preserve">Not clearly found: </w:t>
      </w:r>
      <w:r>
        <w:rPr>
          <w:rFonts w:ascii="Inter" w:hAnsi="Inter" w:eastAsia="Inter"/>
          <w:color w:val="222222"/>
          <w:sz w:val="20"/>
        </w:rPr>
        <w:t>Information that was not sufficiently visible on the public website and should not be assumed.</w:t>
      </w:r>
    </w:p>
    <w:p>
      <w:pPr>
        <w:spacing w:before="120" w:after="100"/>
        <w:keepNext/>
      </w:pPr>
      <w:r>
        <w:rPr>
          <w:rFonts w:ascii="Inter Display" w:hAnsi="Inter Display" w:eastAsia="Inter Display"/>
          <w:b/>
          <w:color w:val="496A4B"/>
          <w:sz w:val="27"/>
        </w:rPr>
        <w:t>Limitations</w:t>
      </w:r>
    </w:p>
    <w:p>
      <w:pPr>
        <w:pStyle w:val="ListBullet"/>
        <w:spacing w:after="40"/>
        <w:ind w:left="288"/>
      </w:pPr>
      <w:r>
        <w:rPr>
          <w:rFonts w:ascii="Inter" w:hAnsi="Inter" w:eastAsia="Inter"/>
          <w:color w:val="222222"/>
          <w:sz w:val="20"/>
        </w:rPr>
        <w:t>The analysis is limited to public pages and does not validate private community dynamics, internal staffing, unpublished policies, or backend systems.</w:t>
      </w:r>
    </w:p>
    <w:p>
      <w:pPr>
        <w:pStyle w:val="ListBullet"/>
        <w:spacing w:after="40"/>
        <w:ind w:left="288"/>
      </w:pPr>
      <w:r>
        <w:rPr>
          <w:rFonts w:ascii="Inter" w:hAnsi="Inter" w:eastAsia="Inter"/>
          <w:color w:val="222222"/>
          <w:sz w:val="20"/>
        </w:rPr>
        <w:t>Regional sites may differ from global sites, especially for Impact Hub, Ashoka, and B Lab.</w:t>
      </w:r>
    </w:p>
    <w:p>
      <w:pPr>
        <w:pStyle w:val="ListBullet"/>
        <w:spacing w:after="40"/>
        <w:ind w:left="288"/>
      </w:pPr>
      <w:r>
        <w:rPr>
          <w:rFonts w:ascii="Inter" w:hAnsi="Inter" w:eastAsia="Inter"/>
          <w:color w:val="222222"/>
          <w:sz w:val="20"/>
        </w:rPr>
        <w:t>Some evidence, including older Animal Advocacy Careers impact reports, is historical and should not be treated as proof of current operations without rechecking.</w:t>
      </w:r>
    </w:p>
    <w:p>
      <w:pPr>
        <w:pStyle w:val="ListBullet"/>
        <w:spacing w:after="40"/>
        <w:ind w:left="288"/>
      </w:pPr>
      <w:r>
        <w:rPr>
          <w:rFonts w:ascii="Inter" w:hAnsi="Inter" w:eastAsia="Inter"/>
          <w:color w:val="222222"/>
          <w:sz w:val="20"/>
        </w:rPr>
        <w:t>The source list was generated during Gemini Deep Research. High-stakes claims should be reverified before they are reused in public website copy or legal policy.</w:t>
      </w:r>
    </w:p>
    <w:p>
      <w:pPr>
        <w:spacing w:before="200" w:after="100"/>
        <w:keepNext/>
        <w:pBdr>
          <w:bottom w:val="single" w:sz="8" w:space="4" w:color="B88A33"/>
        </w:pBdr>
      </w:pPr>
      <w:r>
        <w:rPr>
          <w:rFonts w:ascii="Inter Display" w:hAnsi="Inter Display" w:eastAsia="Inter Display"/>
          <w:b/>
          <w:color w:val="1F2A44"/>
          <w:sz w:val="36"/>
        </w:rPr>
        <w:t>80,000 Hours</w:t>
      </w:r>
    </w:p>
    <w:p>
      <w:pPr>
        <w:spacing w:after="80"/>
        <w:keepNext/>
      </w:pPr>
      <w:r>
        <w:rPr>
          <w:rFonts w:ascii="Inter" w:hAnsi="Inter" w:eastAsia="Inter"/>
          <w:i/>
          <w:color w:val="5B6573"/>
          <w:sz w:val="18"/>
        </w:rPr>
        <w:t>Public learning, selective advising, job opportunities, and research transparency</w:t>
      </w:r>
    </w:p>
    <w:p>
      <w:pPr>
        <w:spacing w:after="80" w:line="259" w:lineRule="auto"/>
      </w:pPr>
      <w:r>
        <w:rPr>
          <w:rFonts w:ascii="Inter" w:hAnsi="Inter" w:eastAsia="Inter"/>
          <w:color w:val="222222"/>
          <w:sz w:val="20"/>
        </w:rPr>
        <w:t>80,000 Hours presents a large public learning library alongside career guidance, a job board, community resources, and application-gated one-on-one advising. Its information architecture supports gradual movement from self-guided exploration toward more personalized assistance.</w:t>
      </w:r>
    </w:p>
    <w:p>
      <w:pPr>
        <w:spacing w:before="120" w:after="100"/>
        <w:keepNext/>
      </w:pPr>
      <w:r>
        <w:rPr>
          <w:rFonts w:ascii="Inter Display" w:hAnsi="Inter Display" w:eastAsia="Inter Display"/>
          <w:b/>
          <w:color w:val="496A4B"/>
          <w:sz w:val="27"/>
        </w:rPr>
        <w:t>Benchmark Matrix</w:t>
      </w:r>
    </w:p>
    <w:tbl>
      <w:tblPr>
        <w:tblW w:type="auto" w:w="0"/>
        <w:jc w:val="center"/>
        <w:tblLayout w:type="fixed"/>
        <w:tblLook w:firstColumn="1" w:firstRow="1" w:lastColumn="0" w:lastRow="0" w:noHBand="0" w:noVBand="1" w:val="04A0"/>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Pr>
      <w:tblGrid>
        <w:gridCol w:w="2088"/>
        <w:gridCol w:w="7416"/>
      </w:tblGrid>
      <w:tr>
        <w:trPr>
          <w:tblHeader w:val="true"/>
        </w:trPr>
        <w:tc>
          <w:tcPr>
            <w:tcW w:type="dxa" w:w="4997"/>
            <w:shd w:fill="1F2A44"/>
            <w:tcMar>
              <w:top w:w="90" w:type="dxa"/>
              <w:start w:w="100" w:type="dxa"/>
              <w:bottom w:w="90" w:type="dxa"/>
              <w:end w:w="100" w:type="dxa"/>
            </w:tcMar>
          </w:tcPr>
          <w:p>
            <w:pPr>
              <w:jc w:val="left"/>
            </w:pPr>
            <w:r>
              <w:rPr>
                <w:rFonts w:ascii="Inter" w:hAnsi="Inter" w:eastAsia="Inter"/>
                <w:b/>
                <w:color w:val="FFFFFF"/>
                <w:sz w:val="18"/>
              </w:rPr>
              <w:t>Research Area</w:t>
            </w:r>
          </w:p>
        </w:tc>
        <w:tc>
          <w:tcPr>
            <w:tcW w:type="dxa" w:w="4997"/>
            <w:shd w:fill="1F2A44"/>
            <w:tcMar>
              <w:top w:w="90" w:type="dxa"/>
              <w:start w:w="100" w:type="dxa"/>
              <w:bottom w:w="90" w:type="dxa"/>
              <w:end w:w="100" w:type="dxa"/>
            </w:tcMar>
          </w:tcPr>
          <w:p>
            <w:pPr>
              <w:jc w:val="left"/>
            </w:pPr>
            <w:r>
              <w:rPr>
                <w:rFonts w:ascii="Inter" w:hAnsi="Inter" w:eastAsia="Inter"/>
                <w:b/>
                <w:color w:val="FFFFFF"/>
                <w:sz w:val="18"/>
              </w:rPr>
              <w:t>Findings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Audience</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Students, early-career people, and experienced professionals exploring high-impact career choices. Public learners and advising applicants are treated as different readiness levels.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Hero</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Communicates a career-impact promise: visitors can use their work to address important problems and shape the future.</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Navigation</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Organizes content around career guidance, problem areas, career reviews, a job board, advising, community, and institutional credibility.</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Value proposition</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Free research and practical guidance, curated opportunities, personalized advising for selected applicants, and connection to aligned people and events.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Primary CTA</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Public learning and high-intent support are offered as separate actions, such as reading the guide or applying for advice.</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Participation layers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Public articles and podcasts -&gt; newsletter or continued learning -&gt; advising application -&gt; events and broader community connections.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Trust signals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Published research principles, impact and credibility pages, financial information, named reviewers, and a public record of mistakes or limitations.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One-on-one support</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Selective and application-based. The site explains preparation, fit, and what advising can provide rather than presenting it as unlimited support.</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Opportunities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A dedicated job board, career profiles, research roles, and guidance on founding or joining organizations.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Safeguards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Privacy information covers personal data; advising pages explain confidentiality and expectations. Exact operational safeguards should be rechecked before reuse.</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Community platform</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The site connects visitors to events, local or university groups, and related external discussion spaces rather than hosting every interaction itself.</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Strengths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Excellent progression from public education to deeper support; unusually strong research and organizational transparency.</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Risks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The volume and density of material may intimidate general audiences. Advising can feel highly selective or institutionally gated.</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Responsible application</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Offer public resources before scarce human support and publish methods, evidence, limitations, and mistakes. Do not make public learning a blanket prerequisite for every organization or partner inquiry.</w:t>
            </w:r>
          </w:p>
        </w:tc>
      </w:tr>
    </w:tbl>
    <w:p>
      <w:pPr>
        <w:spacing w:after="0"/>
      </w:pPr>
    </w:p>
    <w:p>
      <w:pPr>
        <w:spacing w:before="120" w:after="100"/>
        <w:keepNext/>
      </w:pPr>
      <w:r>
        <w:rPr>
          <w:rFonts w:ascii="Inter Display" w:hAnsi="Inter Display" w:eastAsia="Inter Display"/>
          <w:b/>
          <w:color w:val="496A4B"/>
          <w:sz w:val="27"/>
        </w:rPr>
        <w:t>Top Three Lessons</w:t>
      </w:r>
    </w:p>
    <w:p>
      <w:pPr>
        <w:spacing w:after="40"/>
        <w:ind w:left="432" w:hanging="346"/>
      </w:pPr>
      <w:r>
        <w:rPr>
          <w:rFonts w:ascii="Inter" w:hAnsi="Inter" w:eastAsia="Inter"/>
          <w:b/>
          <w:color w:val="1F2A44"/>
          <w:sz w:val="20"/>
        </w:rPr>
        <w:t>1.</w:t>
      </w:r>
      <w:r>
        <w:rPr>
          <w:rFonts w:ascii="Inter" w:hAnsi="Inter" w:eastAsia="Inter"/>
          <w:color w:val="222222"/>
          <w:sz w:val="20"/>
        </w:rPr>
        <w:t xml:space="preserve">  Progressive support protects human capacity: basic information is public, while personalized help is reserved for cases where it adds clear value.</w:t>
      </w:r>
    </w:p>
    <w:p>
      <w:pPr>
        <w:spacing w:after="40"/>
        <w:ind w:left="432" w:hanging="346"/>
      </w:pPr>
      <w:r>
        <w:rPr>
          <w:rFonts w:ascii="Inter" w:hAnsi="Inter" w:eastAsia="Inter"/>
          <w:b/>
          <w:color w:val="1F2A44"/>
          <w:sz w:val="20"/>
        </w:rPr>
        <w:t>2.</w:t>
      </w:r>
      <w:r>
        <w:rPr>
          <w:rFonts w:ascii="Inter" w:hAnsi="Inter" w:eastAsia="Inter"/>
          <w:color w:val="222222"/>
          <w:sz w:val="20"/>
        </w:rPr>
        <w:t xml:space="preserve">  Research methods, financial transparency, and admitted limitations can build more trust than polished claims alone.</w:t>
      </w:r>
    </w:p>
    <w:p>
      <w:pPr>
        <w:spacing w:after="40"/>
        <w:ind w:left="432" w:hanging="346"/>
      </w:pPr>
      <w:r>
        <w:rPr>
          <w:rFonts w:ascii="Inter" w:hAnsi="Inter" w:eastAsia="Inter"/>
          <w:b/>
          <w:color w:val="1F2A44"/>
          <w:sz w:val="20"/>
        </w:rPr>
        <w:t>3.</w:t>
      </w:r>
      <w:r>
        <w:rPr>
          <w:rFonts w:ascii="Inter" w:hAnsi="Inter" w:eastAsia="Inter"/>
          <w:color w:val="222222"/>
          <w:sz w:val="20"/>
        </w:rPr>
        <w:t xml:space="preserve">  Education, opportunities, advising, and community can coexist when each has a distinct pathway and expectation.</w:t>
      </w:r>
    </w:p>
    <w:p>
      <w:pPr>
        <w:spacing w:before="120" w:after="100"/>
        <w:keepNext/>
      </w:pPr>
      <w:r>
        <w:rPr>
          <w:rFonts w:ascii="Inter Display" w:hAnsi="Inter Display" w:eastAsia="Inter Display"/>
          <w:b/>
          <w:color w:val="496A4B"/>
          <w:sz w:val="27"/>
        </w:rPr>
        <w:t>Responsible Relevance to the Ecosystem</w:t>
      </w:r>
    </w:p>
    <w:p>
      <w:pPr>
        <w:spacing w:after="60"/>
      </w:pPr>
      <w:r>
        <w:rPr>
          <w:rFonts w:ascii="Inter" w:hAnsi="Inter" w:eastAsia="Inter"/>
          <w:b/>
          <w:color w:val="496A4B"/>
          <w:sz w:val="19"/>
        </w:rPr>
        <w:t xml:space="preserve">Ethical Capacity Lab: </w:t>
      </w:r>
      <w:r>
        <w:rPr>
          <w:rFonts w:ascii="Inter" w:hAnsi="Inter" w:eastAsia="Inter"/>
          <w:color w:val="222222"/>
          <w:sz w:val="19"/>
        </w:rPr>
        <w:t>Publish methodology, limitations, source standards, and governance explanations in plain language.</w:t>
      </w:r>
    </w:p>
    <w:p>
      <w:pPr>
        <w:spacing w:after="60"/>
      </w:pPr>
      <w:r>
        <w:rPr>
          <w:rFonts w:ascii="Inter" w:hAnsi="Inter" w:eastAsia="Inter"/>
          <w:b/>
          <w:color w:val="496A4B"/>
          <w:sz w:val="19"/>
        </w:rPr>
        <w:t xml:space="preserve">DoGoodie: </w:t>
      </w:r>
      <w:r>
        <w:rPr>
          <w:rFonts w:ascii="Inter" w:hAnsi="Inter" w:eastAsia="Inter"/>
          <w:color w:val="222222"/>
          <w:sz w:val="19"/>
        </w:rPr>
        <w:t>Prepare organizations or builders with clear information before consultations or applications, while keeping direct pathways available for high-fit referrals.</w:t>
      </w:r>
    </w:p>
    <w:p>
      <w:pPr>
        <w:spacing w:after="60"/>
      </w:pPr>
      <w:r>
        <w:rPr>
          <w:rFonts w:ascii="Inter" w:hAnsi="Inter" w:eastAsia="Inter"/>
          <w:b/>
          <w:color w:val="496A4B"/>
          <w:sz w:val="19"/>
        </w:rPr>
        <w:t xml:space="preserve">Shared Website / Start Here: </w:t>
      </w:r>
      <w:r>
        <w:rPr>
          <w:rFonts w:ascii="Inter" w:hAnsi="Inter" w:eastAsia="Inter"/>
          <w:color w:val="222222"/>
          <w:sz w:val="19"/>
        </w:rPr>
        <w:t>Use different CTAs for learning, requesting help, and deeper participation.</w:t>
      </w:r>
    </w:p>
    <w:p>
      <w:pPr>
        <w:spacing w:before="120" w:after="100"/>
        <w:keepNext/>
      </w:pPr>
      <w:r>
        <w:rPr>
          <w:rFonts w:ascii="Inter Display" w:hAnsi="Inter Display" w:eastAsia="Inter Display"/>
          <w:b/>
          <w:color w:val="496A4B"/>
          <w:sz w:val="27"/>
        </w:rPr>
        <w:t>Key Official Pages Reviewed</w:t>
      </w:r>
    </w:p>
    <w:tbl>
      <w:tblPr>
        <w:tblW w:type="auto" w:w="0"/>
        <w:jc w:val="center"/>
        <w:tblLayout w:type="fixed"/>
        <w:tblLook w:firstColumn="1" w:firstRow="1" w:lastColumn="0" w:lastRow="0" w:noHBand="0" w:noVBand="1" w:val="04A0"/>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Pr>
      <w:tblGrid>
        <w:gridCol w:w="2232"/>
        <w:gridCol w:w="3384"/>
        <w:gridCol w:w="3888"/>
      </w:tblGrid>
      <w:tr>
        <w:trPr>
          <w:tblHeader w:val="true"/>
        </w:trPr>
        <w:tc>
          <w:tcPr>
            <w:tcW w:type="dxa" w:w="3331"/>
            <w:shd w:fill="496A4B"/>
            <w:tcMar>
              <w:top w:w="80" w:type="dxa"/>
              <w:start w:w="90" w:type="dxa"/>
              <w:bottom w:w="80" w:type="dxa"/>
              <w:end w:w="90" w:type="dxa"/>
            </w:tcMar>
          </w:tcPr>
          <w:p>
            <w:r>
              <w:rPr>
                <w:rFonts w:ascii="Inter" w:hAnsi="Inter" w:eastAsia="Inter"/>
                <w:b/>
                <w:color w:val="FFFFFF"/>
                <w:sz w:val="17"/>
              </w:rPr>
              <w:t>Page</w:t>
            </w:r>
          </w:p>
        </w:tc>
        <w:tc>
          <w:tcPr>
            <w:tcW w:type="dxa" w:w="3331"/>
            <w:shd w:fill="496A4B"/>
            <w:tcMar>
              <w:top w:w="80" w:type="dxa"/>
              <w:start w:w="90" w:type="dxa"/>
              <w:bottom w:w="80" w:type="dxa"/>
              <w:end w:w="90" w:type="dxa"/>
            </w:tcMar>
          </w:tcPr>
          <w:p>
            <w:r>
              <w:rPr>
                <w:rFonts w:ascii="Inter" w:hAnsi="Inter" w:eastAsia="Inter"/>
                <w:b/>
                <w:color w:val="FFFFFF"/>
                <w:sz w:val="17"/>
              </w:rPr>
              <w:t>Purpose</w:t>
            </w:r>
          </w:p>
        </w:tc>
        <w:tc>
          <w:tcPr>
            <w:tcW w:type="dxa" w:w="3331"/>
            <w:shd w:fill="496A4B"/>
            <w:tcMar>
              <w:top w:w="80" w:type="dxa"/>
              <w:start w:w="90" w:type="dxa"/>
              <w:bottom w:w="80" w:type="dxa"/>
              <w:end w:w="90" w:type="dxa"/>
            </w:tcMar>
          </w:tcPr>
          <w:p>
            <w:r>
              <w:rPr>
                <w:rFonts w:ascii="Inter" w:hAnsi="Inter" w:eastAsia="Inter"/>
                <w:b/>
                <w:color w:val="FFFFFF"/>
                <w:sz w:val="17"/>
              </w:rPr>
              <w:t>Official URL</w:t>
            </w:r>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Homepage</w:t>
            </w:r>
          </w:p>
        </w:tc>
        <w:tc>
          <w:tcPr>
            <w:tcW w:type="dxa" w:w="3384"/>
            <w:shd w:fill="FAFBF8"/>
            <w:tcMar>
              <w:top w:w="70" w:type="dxa"/>
              <w:start w:w="90" w:type="dxa"/>
              <w:bottom w:w="70" w:type="dxa"/>
              <w:end w:w="90" w:type="dxa"/>
            </w:tcMar>
            <w:vAlign w:val="top"/>
          </w:tcPr>
          <w:p>
            <w:r>
              <w:rPr>
                <w:rFonts w:ascii="Inter" w:hAnsi="Inter" w:eastAsia="Inter"/>
                <w:color w:val="222222"/>
                <w:sz w:val="16"/>
              </w:rPr>
              <w:t>Public value proposition and primary pathways</w:t>
            </w:r>
          </w:p>
        </w:tc>
        <w:tc>
          <w:tcPr>
            <w:tcW w:type="dxa" w:w="3888"/>
            <w:shd w:fill="FAFBF8"/>
            <w:tcMar>
              <w:top w:w="70" w:type="dxa"/>
              <w:start w:w="90" w:type="dxa"/>
              <w:bottom w:w="70" w:type="dxa"/>
              <w:end w:w="90" w:type="dxa"/>
            </w:tcMar>
            <w:vAlign w:val="top"/>
          </w:tcPr>
          <w:p>
            <w:hyperlink r:id="rId11">
              <w:r>
                <w:rPr>
                  <w:rFonts w:ascii="Inter" w:hAnsi="Inter"/>
                  <w:color w:val="2C5F8A"/>
                  <w:u w:val="single"/>
                  <w:sz w:val="16"/>
                </w:rPr>
                <w:t>https://80000hours.org/</w:t>
              </w:r>
            </w:hyperlink>
          </w:p>
        </w:tc>
      </w:tr>
      <w:tr>
        <w:trPr>
          <w:cantSplit/>
        </w:trPr>
        <w:tc>
          <w:tcPr>
            <w:tcW w:type="dxa" w:w="2232"/>
            <w:tcMar>
              <w:top w:w="70" w:type="dxa"/>
              <w:start w:w="90" w:type="dxa"/>
              <w:bottom w:w="70" w:type="dxa"/>
              <w:end w:w="90" w:type="dxa"/>
            </w:tcMar>
            <w:vAlign w:val="top"/>
          </w:tcPr>
          <w:p>
            <w:r>
              <w:rPr>
                <w:rFonts w:ascii="Inter" w:hAnsi="Inter" w:eastAsia="Inter"/>
                <w:b/>
                <w:color w:val="1F2A44"/>
                <w:sz w:val="16"/>
              </w:rPr>
              <w:t>Advising application preparation</w:t>
            </w:r>
          </w:p>
        </w:tc>
        <w:tc>
          <w:tcPr>
            <w:tcW w:type="dxa" w:w="3384"/>
            <w:tcMar>
              <w:top w:w="70" w:type="dxa"/>
              <w:start w:w="90" w:type="dxa"/>
              <w:bottom w:w="70" w:type="dxa"/>
              <w:end w:w="90" w:type="dxa"/>
            </w:tcMar>
            <w:vAlign w:val="top"/>
          </w:tcPr>
          <w:p>
            <w:r>
              <w:rPr>
                <w:rFonts w:ascii="Inter" w:hAnsi="Inter" w:eastAsia="Inter"/>
                <w:color w:val="222222"/>
                <w:sz w:val="16"/>
              </w:rPr>
              <w:t>Advising fit, preparation, and expectations</w:t>
            </w:r>
          </w:p>
        </w:tc>
        <w:tc>
          <w:tcPr>
            <w:tcW w:type="dxa" w:w="3888"/>
            <w:tcMar>
              <w:top w:w="70" w:type="dxa"/>
              <w:start w:w="90" w:type="dxa"/>
              <w:bottom w:w="70" w:type="dxa"/>
              <w:end w:w="90" w:type="dxa"/>
            </w:tcMar>
            <w:vAlign w:val="top"/>
          </w:tcPr>
          <w:p>
            <w:hyperlink r:id="rId12">
              <w:r>
                <w:rPr>
                  <w:rFonts w:ascii="Inter" w:hAnsi="Inter"/>
                  <w:color w:val="2C5F8A"/>
                  <w:u w:val="single"/>
                  <w:sz w:val="16"/>
                </w:rPr>
                <w:t>https://80000hours.org/advising-application-tips/</w:t>
              </w:r>
            </w:hyperlink>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Research process and principles</w:t>
            </w:r>
          </w:p>
        </w:tc>
        <w:tc>
          <w:tcPr>
            <w:tcW w:type="dxa" w:w="3384"/>
            <w:shd w:fill="FAFBF8"/>
            <w:tcMar>
              <w:top w:w="70" w:type="dxa"/>
              <w:start w:w="90" w:type="dxa"/>
              <w:bottom w:w="70" w:type="dxa"/>
              <w:end w:w="90" w:type="dxa"/>
            </w:tcMar>
            <w:vAlign w:val="top"/>
          </w:tcPr>
          <w:p>
            <w:r>
              <w:rPr>
                <w:rFonts w:ascii="Inter" w:hAnsi="Inter" w:eastAsia="Inter"/>
                <w:color w:val="222222"/>
                <w:sz w:val="16"/>
              </w:rPr>
              <w:t>Research standards and methodology</w:t>
            </w:r>
          </w:p>
        </w:tc>
        <w:tc>
          <w:tcPr>
            <w:tcW w:type="dxa" w:w="3888"/>
            <w:shd w:fill="FAFBF8"/>
            <w:tcMar>
              <w:top w:w="70" w:type="dxa"/>
              <w:start w:w="90" w:type="dxa"/>
              <w:bottom w:w="70" w:type="dxa"/>
              <w:end w:w="90" w:type="dxa"/>
            </w:tcMar>
            <w:vAlign w:val="top"/>
          </w:tcPr>
          <w:p>
            <w:hyperlink r:id="rId13">
              <w:r>
                <w:rPr>
                  <w:rFonts w:ascii="Inter" w:hAnsi="Inter"/>
                  <w:color w:val="2C5F8A"/>
                  <w:u w:val="single"/>
                  <w:sz w:val="16"/>
                </w:rPr>
                <w:t>https://80000hours.org/about/credibility/research-principles/</w:t>
              </w:r>
            </w:hyperlink>
          </w:p>
        </w:tc>
      </w:tr>
      <w:tr>
        <w:trPr>
          <w:cantSplit/>
        </w:trPr>
        <w:tc>
          <w:tcPr>
            <w:tcW w:type="dxa" w:w="2232"/>
            <w:tcMar>
              <w:top w:w="70" w:type="dxa"/>
              <w:start w:w="90" w:type="dxa"/>
              <w:bottom w:w="70" w:type="dxa"/>
              <w:end w:w="90" w:type="dxa"/>
            </w:tcMar>
            <w:vAlign w:val="top"/>
          </w:tcPr>
          <w:p>
            <w:r>
              <w:rPr>
                <w:rFonts w:ascii="Inter" w:hAnsi="Inter" w:eastAsia="Inter"/>
                <w:b/>
                <w:color w:val="1F2A44"/>
                <w:sz w:val="16"/>
              </w:rPr>
              <w:t>Impact and credibility</w:t>
            </w:r>
          </w:p>
        </w:tc>
        <w:tc>
          <w:tcPr>
            <w:tcW w:type="dxa" w:w="3384"/>
            <w:tcMar>
              <w:top w:w="70" w:type="dxa"/>
              <w:start w:w="90" w:type="dxa"/>
              <w:bottom w:w="70" w:type="dxa"/>
              <w:end w:w="90" w:type="dxa"/>
            </w:tcMar>
            <w:vAlign w:val="top"/>
          </w:tcPr>
          <w:p>
            <w:r>
              <w:rPr>
                <w:rFonts w:ascii="Inter" w:hAnsi="Inter" w:eastAsia="Inter"/>
                <w:color w:val="222222"/>
                <w:sz w:val="16"/>
              </w:rPr>
              <w:t>Institutional evidence and transparency</w:t>
            </w:r>
          </w:p>
        </w:tc>
        <w:tc>
          <w:tcPr>
            <w:tcW w:type="dxa" w:w="3888"/>
            <w:tcMar>
              <w:top w:w="70" w:type="dxa"/>
              <w:start w:w="90" w:type="dxa"/>
              <w:bottom w:w="70" w:type="dxa"/>
              <w:end w:w="90" w:type="dxa"/>
            </w:tcMar>
            <w:vAlign w:val="top"/>
          </w:tcPr>
          <w:p>
            <w:hyperlink r:id="rId14">
              <w:r>
                <w:rPr>
                  <w:rFonts w:ascii="Inter" w:hAnsi="Inter"/>
                  <w:color w:val="2C5F8A"/>
                  <w:u w:val="single"/>
                  <w:sz w:val="16"/>
                </w:rPr>
                <w:t>https://80000hours.org/about/credibility/</w:t>
              </w:r>
            </w:hyperlink>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Privacy policy</w:t>
            </w:r>
          </w:p>
        </w:tc>
        <w:tc>
          <w:tcPr>
            <w:tcW w:type="dxa" w:w="3384"/>
            <w:shd w:fill="FAFBF8"/>
            <w:tcMar>
              <w:top w:w="70" w:type="dxa"/>
              <w:start w:w="90" w:type="dxa"/>
              <w:bottom w:w="70" w:type="dxa"/>
              <w:end w:w="90" w:type="dxa"/>
            </w:tcMar>
            <w:vAlign w:val="top"/>
          </w:tcPr>
          <w:p>
            <w:r>
              <w:rPr>
                <w:rFonts w:ascii="Inter" w:hAnsi="Inter" w:eastAsia="Inter"/>
                <w:color w:val="222222"/>
                <w:sz w:val="16"/>
              </w:rPr>
              <w:t>Data handling and privacy</w:t>
            </w:r>
          </w:p>
        </w:tc>
        <w:tc>
          <w:tcPr>
            <w:tcW w:type="dxa" w:w="3888"/>
            <w:shd w:fill="FAFBF8"/>
            <w:tcMar>
              <w:top w:w="70" w:type="dxa"/>
              <w:start w:w="90" w:type="dxa"/>
              <w:bottom w:w="70" w:type="dxa"/>
              <w:end w:w="90" w:type="dxa"/>
            </w:tcMar>
            <w:vAlign w:val="top"/>
          </w:tcPr>
          <w:p>
            <w:hyperlink r:id="rId15">
              <w:r>
                <w:rPr>
                  <w:rFonts w:ascii="Inter" w:hAnsi="Inter"/>
                  <w:color w:val="2C5F8A"/>
                  <w:u w:val="single"/>
                  <w:sz w:val="16"/>
                </w:rPr>
                <w:t>https://80000hours.org/privacy-policy/</w:t>
              </w:r>
            </w:hyperlink>
          </w:p>
        </w:tc>
      </w:tr>
      <w:tr>
        <w:trPr>
          <w:cantSplit/>
        </w:trPr>
        <w:tc>
          <w:tcPr>
            <w:tcW w:type="dxa" w:w="2232"/>
            <w:tcMar>
              <w:top w:w="70" w:type="dxa"/>
              <w:start w:w="90" w:type="dxa"/>
              <w:bottom w:w="70" w:type="dxa"/>
              <w:end w:w="90" w:type="dxa"/>
            </w:tcMar>
            <w:vAlign w:val="top"/>
          </w:tcPr>
          <w:p>
            <w:r>
              <w:rPr>
                <w:rFonts w:ascii="Inter" w:hAnsi="Inter" w:eastAsia="Inter"/>
                <w:b/>
                <w:color w:val="1F2A44"/>
                <w:sz w:val="16"/>
              </w:rPr>
              <w:t>Our mistakes</w:t>
            </w:r>
          </w:p>
        </w:tc>
        <w:tc>
          <w:tcPr>
            <w:tcW w:type="dxa" w:w="3384"/>
            <w:tcMar>
              <w:top w:w="70" w:type="dxa"/>
              <w:start w:w="90" w:type="dxa"/>
              <w:bottom w:w="70" w:type="dxa"/>
              <w:end w:w="90" w:type="dxa"/>
            </w:tcMar>
            <w:vAlign w:val="top"/>
          </w:tcPr>
          <w:p>
            <w:r>
              <w:rPr>
                <w:rFonts w:ascii="Inter" w:hAnsi="Inter" w:eastAsia="Inter"/>
                <w:color w:val="222222"/>
                <w:sz w:val="16"/>
              </w:rPr>
              <w:t>Public limitations and organizational learning</w:t>
            </w:r>
          </w:p>
        </w:tc>
        <w:tc>
          <w:tcPr>
            <w:tcW w:type="dxa" w:w="3888"/>
            <w:tcMar>
              <w:top w:w="70" w:type="dxa"/>
              <w:start w:w="90" w:type="dxa"/>
              <w:bottom w:w="70" w:type="dxa"/>
              <w:end w:w="90" w:type="dxa"/>
            </w:tcMar>
            <w:vAlign w:val="top"/>
          </w:tcPr>
          <w:p>
            <w:hyperlink r:id="rId16">
              <w:r>
                <w:rPr>
                  <w:rFonts w:ascii="Inter" w:hAnsi="Inter"/>
                  <w:color w:val="2C5F8A"/>
                  <w:u w:val="single"/>
                  <w:sz w:val="16"/>
                </w:rPr>
                <w:t>https://80000hours.org/about/credibility/reviews/mistakes/</w:t>
              </w:r>
            </w:hyperlink>
          </w:p>
        </w:tc>
      </w:tr>
    </w:tbl>
    <w:p>
      <w:r>
        <w:br w:type="page"/>
      </w:r>
    </w:p>
    <w:p>
      <w:pPr>
        <w:spacing w:before="200" w:after="100"/>
        <w:keepNext/>
        <w:pBdr>
          <w:bottom w:val="single" w:sz="8" w:space="4" w:color="B88A33"/>
        </w:pBdr>
      </w:pPr>
      <w:r>
        <w:rPr>
          <w:rFonts w:ascii="Inter Display" w:hAnsi="Inter Display" w:eastAsia="Inter Display"/>
          <w:b/>
          <w:color w:val="1F2A44"/>
          <w:sz w:val="36"/>
        </w:rPr>
        <w:t>Impact Hub</w:t>
      </w:r>
    </w:p>
    <w:p>
      <w:pPr>
        <w:spacing w:after="80"/>
        <w:keepNext/>
      </w:pPr>
      <w:r>
        <w:rPr>
          <w:rFonts w:ascii="Inter" w:hAnsi="Inter" w:eastAsia="Inter"/>
          <w:i/>
          <w:color w:val="5B6573"/>
          <w:sz w:val="18"/>
        </w:rPr>
        <w:t>Umbrella branding, role-based routing, programs, partnerships, and local hubs</w:t>
      </w:r>
    </w:p>
    <w:p>
      <w:pPr>
        <w:spacing w:after="80" w:line="259" w:lineRule="auto"/>
      </w:pPr>
      <w:r>
        <w:rPr>
          <w:rFonts w:ascii="Inter" w:hAnsi="Inter" w:eastAsia="Inter"/>
          <w:color w:val="222222"/>
          <w:sz w:val="20"/>
        </w:rPr>
        <w:t>Impact Hub uses a global umbrella website to explain a large decentralized network of local hubs, innovation programs, and partnerships. The global site emphasizes scale and directs visitors toward the pathway or local environment most relevant to them.</w:t>
      </w:r>
    </w:p>
    <w:p>
      <w:pPr>
        <w:spacing w:before="120" w:after="100"/>
        <w:keepNext/>
      </w:pPr>
      <w:r>
        <w:rPr>
          <w:rFonts w:ascii="Inter Display" w:hAnsi="Inter Display" w:eastAsia="Inter Display"/>
          <w:b/>
          <w:color w:val="496A4B"/>
          <w:sz w:val="27"/>
        </w:rPr>
        <w:t>Benchmark Matrix</w:t>
      </w:r>
    </w:p>
    <w:tbl>
      <w:tblPr>
        <w:tblW w:type="auto" w:w="0"/>
        <w:jc w:val="center"/>
        <w:tblLayout w:type="fixed"/>
        <w:tblLook w:firstColumn="1" w:firstRow="1" w:lastColumn="0" w:lastRow="0" w:noHBand="0" w:noVBand="1" w:val="04A0"/>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Pr>
      <w:tblGrid>
        <w:gridCol w:w="2088"/>
        <w:gridCol w:w="7416"/>
      </w:tblGrid>
      <w:tr>
        <w:trPr>
          <w:tblHeader w:val="true"/>
        </w:trPr>
        <w:tc>
          <w:tcPr>
            <w:tcW w:type="dxa" w:w="4997"/>
            <w:shd w:fill="1F2A44"/>
            <w:tcMar>
              <w:top w:w="90" w:type="dxa"/>
              <w:start w:w="100" w:type="dxa"/>
              <w:bottom w:w="90" w:type="dxa"/>
              <w:end w:w="100" w:type="dxa"/>
            </w:tcMar>
          </w:tcPr>
          <w:p>
            <w:pPr>
              <w:jc w:val="left"/>
            </w:pPr>
            <w:r>
              <w:rPr>
                <w:rFonts w:ascii="Inter" w:hAnsi="Inter" w:eastAsia="Inter"/>
                <w:b/>
                <w:color w:val="FFFFFF"/>
                <w:sz w:val="18"/>
              </w:rPr>
              <w:t>Research Area</w:t>
            </w:r>
          </w:p>
        </w:tc>
        <w:tc>
          <w:tcPr>
            <w:tcW w:type="dxa" w:w="4997"/>
            <w:shd w:fill="1F2A44"/>
            <w:tcMar>
              <w:top w:w="90" w:type="dxa"/>
              <w:start w:w="100" w:type="dxa"/>
              <w:bottom w:w="90" w:type="dxa"/>
              <w:end w:w="100" w:type="dxa"/>
            </w:tcMar>
          </w:tcPr>
          <w:p>
            <w:pPr>
              <w:jc w:val="left"/>
            </w:pPr>
            <w:r>
              <w:rPr>
                <w:rFonts w:ascii="Inter" w:hAnsi="Inter" w:eastAsia="Inter"/>
                <w:b/>
                <w:color w:val="FFFFFF"/>
                <w:sz w:val="18"/>
              </w:rPr>
              <w:t>Findings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Audience</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Entrepreneurs, local communities, corporate partners, investors, public institutions, and people interested in starting or joining a hub.</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Hero</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Emphasizes inclusive and sustainable innovation at scale, combining a broad mission with visible action-oriented pathways.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Navigation</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Centers on work, services, issue-based ecosystem building, partnerships, and finding a local Impact Hub.</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Value proposition</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Access to collaborative spaces, entrepreneurship programs, networks, knowledge, partnerships, and local support environments.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Primary CTA</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Role-based actions such as partnering, joining a hub, becoming an impact maker, or starting a hub.</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Participation layers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Public exploration -&gt; local hub or program engagement -&gt; partnership or membership -&gt; deeper regional or network participation.</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Trust signals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Years of operation, geographic reach, member and program numbers, recognized partnerships, SDG alignment, and impact publications.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One-on-one support</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Not strongly presented as a global on-demand service. Personalized support is more likely to occur through local hubs and programs.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Opportunities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Programs, local memberships, partnerships, ecosystem-building initiatives, and pathways to start a regional hub.</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Safeguards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Privacy policies are visible, but operational expectations and community rules may vary by regional hub.</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Community platform</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The global website functions mainly as a router; daily community participation is decentralized to local hubs and programs.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Strengths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A strong umbrella story can connect many local operations while still giving audiences distinct entry paths.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Risks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The global site can feel corporate or abstract. The human community experience may be hidden behind local websites with varying quality.</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Responsible application</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Use one parent website to establish trust and route organizations, builders, network participants, and partners. Keep future decentralization possible without creating three full websites now.</w:t>
            </w:r>
          </w:p>
        </w:tc>
      </w:tr>
    </w:tbl>
    <w:p>
      <w:pPr>
        <w:spacing w:after="0"/>
      </w:pPr>
    </w:p>
    <w:p>
      <w:pPr>
        <w:spacing w:before="120" w:after="100"/>
        <w:keepNext/>
      </w:pPr>
      <w:r>
        <w:rPr>
          <w:rFonts w:ascii="Inter Display" w:hAnsi="Inter Display" w:eastAsia="Inter Display"/>
          <w:b/>
          <w:color w:val="496A4B"/>
          <w:sz w:val="27"/>
        </w:rPr>
        <w:t>Top Three Lessons</w:t>
      </w:r>
    </w:p>
    <w:p>
      <w:pPr>
        <w:spacing w:after="40"/>
        <w:ind w:left="432" w:hanging="346"/>
      </w:pPr>
      <w:r>
        <w:rPr>
          <w:rFonts w:ascii="Inter" w:hAnsi="Inter" w:eastAsia="Inter"/>
          <w:b/>
          <w:color w:val="1F2A44"/>
          <w:sz w:val="20"/>
        </w:rPr>
        <w:t>1.</w:t>
      </w:r>
      <w:r>
        <w:rPr>
          <w:rFonts w:ascii="Inter" w:hAnsi="Inter" w:eastAsia="Inter"/>
          <w:color w:val="222222"/>
          <w:sz w:val="20"/>
        </w:rPr>
        <w:t xml:space="preserve">  Role-based routing can make a broad ecosystem understandable within the first screen.</w:t>
      </w:r>
    </w:p>
    <w:p>
      <w:pPr>
        <w:spacing w:after="40"/>
        <w:ind w:left="432" w:hanging="346"/>
      </w:pPr>
      <w:r>
        <w:rPr>
          <w:rFonts w:ascii="Inter" w:hAnsi="Inter" w:eastAsia="Inter"/>
          <w:b/>
          <w:color w:val="1F2A44"/>
          <w:sz w:val="20"/>
        </w:rPr>
        <w:t>2.</w:t>
      </w:r>
      <w:r>
        <w:rPr>
          <w:rFonts w:ascii="Inter" w:hAnsi="Inter" w:eastAsia="Inter"/>
          <w:color w:val="222222"/>
          <w:sz w:val="20"/>
        </w:rPr>
        <w:t xml:space="preserve">  Philosophical ambition becomes credible when paired with visible programs, partners, places, and results.</w:t>
      </w:r>
    </w:p>
    <w:p>
      <w:pPr>
        <w:spacing w:after="40"/>
        <w:ind w:left="432" w:hanging="346"/>
      </w:pPr>
      <w:r>
        <w:rPr>
          <w:rFonts w:ascii="Inter" w:hAnsi="Inter" w:eastAsia="Inter"/>
          <w:b/>
          <w:color w:val="1F2A44"/>
          <w:sz w:val="20"/>
        </w:rPr>
        <w:t>3.</w:t>
      </w:r>
      <w:r>
        <w:rPr>
          <w:rFonts w:ascii="Inter" w:hAnsi="Inter" w:eastAsia="Inter"/>
          <w:color w:val="222222"/>
          <w:sz w:val="20"/>
        </w:rPr>
        <w:t xml:space="preserve">  A central website can set common trust and privacy expectations while local or branch operations remain decentralized.</w:t>
      </w:r>
    </w:p>
    <w:p>
      <w:pPr>
        <w:spacing w:before="120" w:after="100"/>
        <w:keepNext/>
      </w:pPr>
      <w:r>
        <w:rPr>
          <w:rFonts w:ascii="Inter Display" w:hAnsi="Inter Display" w:eastAsia="Inter Display"/>
          <w:b/>
          <w:color w:val="496A4B"/>
          <w:sz w:val="27"/>
        </w:rPr>
        <w:t>Responsible Relevance to the Ecosystem</w:t>
      </w:r>
    </w:p>
    <w:p>
      <w:pPr>
        <w:spacing w:after="60"/>
      </w:pPr>
      <w:r>
        <w:rPr>
          <w:rFonts w:ascii="Inter" w:hAnsi="Inter" w:eastAsia="Inter"/>
          <w:b/>
          <w:color w:val="496A4B"/>
          <w:sz w:val="19"/>
        </w:rPr>
        <w:t xml:space="preserve">Ethical Capacity Lab: </w:t>
      </w:r>
      <w:r>
        <w:rPr>
          <w:rFonts w:ascii="Inter" w:hAnsi="Inter" w:eastAsia="Inter"/>
          <w:color w:val="222222"/>
          <w:sz w:val="19"/>
        </w:rPr>
        <w:t>Act as the umbrella identity and common source of governance, standards, and trusted ecosystem explanation.</w:t>
      </w:r>
    </w:p>
    <w:p>
      <w:pPr>
        <w:spacing w:after="60"/>
      </w:pPr>
      <w:r>
        <w:rPr>
          <w:rFonts w:ascii="Inter" w:hAnsi="Inter" w:eastAsia="Inter"/>
          <w:b/>
          <w:color w:val="496A4B"/>
          <w:sz w:val="19"/>
        </w:rPr>
        <w:t xml:space="preserve">DoGoodie: </w:t>
      </w:r>
      <w:r>
        <w:rPr>
          <w:rFonts w:ascii="Inter" w:hAnsi="Inter" w:eastAsia="Inter"/>
          <w:color w:val="222222"/>
          <w:sz w:val="19"/>
        </w:rPr>
        <w:t>Present practical organizational work, programs, and partnerships as concrete pathways rather than abstract promises.</w:t>
      </w:r>
    </w:p>
    <w:p>
      <w:pPr>
        <w:spacing w:after="60"/>
      </w:pPr>
      <w:r>
        <w:rPr>
          <w:rFonts w:ascii="Inter" w:hAnsi="Inter" w:eastAsia="Inter"/>
          <w:b/>
          <w:color w:val="496A4B"/>
          <w:sz w:val="19"/>
        </w:rPr>
        <w:t xml:space="preserve">Shared Website / Start Here: </w:t>
      </w:r>
      <w:r>
        <w:rPr>
          <w:rFonts w:ascii="Inter" w:hAnsi="Inter" w:eastAsia="Inter"/>
          <w:color w:val="222222"/>
          <w:sz w:val="19"/>
        </w:rPr>
        <w:t>Use clear role- or need-based choices immediately.</w:t>
      </w:r>
    </w:p>
    <w:p>
      <w:pPr>
        <w:spacing w:before="120" w:after="100"/>
        <w:keepNext/>
      </w:pPr>
      <w:r>
        <w:rPr>
          <w:rFonts w:ascii="Inter Display" w:hAnsi="Inter Display" w:eastAsia="Inter Display"/>
          <w:b/>
          <w:color w:val="496A4B"/>
          <w:sz w:val="27"/>
        </w:rPr>
        <w:t>Key Official Pages Reviewed</w:t>
      </w:r>
    </w:p>
    <w:tbl>
      <w:tblPr>
        <w:tblW w:type="auto" w:w="0"/>
        <w:jc w:val="center"/>
        <w:tblLayout w:type="fixed"/>
        <w:tblLook w:firstColumn="1" w:firstRow="1" w:lastColumn="0" w:lastRow="0" w:noHBand="0" w:noVBand="1" w:val="04A0"/>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Pr>
      <w:tblGrid>
        <w:gridCol w:w="2232"/>
        <w:gridCol w:w="3384"/>
        <w:gridCol w:w="3888"/>
      </w:tblGrid>
      <w:tr>
        <w:trPr>
          <w:tblHeader w:val="true"/>
        </w:trPr>
        <w:tc>
          <w:tcPr>
            <w:tcW w:type="dxa" w:w="3331"/>
            <w:shd w:fill="496A4B"/>
            <w:tcMar>
              <w:top w:w="80" w:type="dxa"/>
              <w:start w:w="90" w:type="dxa"/>
              <w:bottom w:w="80" w:type="dxa"/>
              <w:end w:w="90" w:type="dxa"/>
            </w:tcMar>
          </w:tcPr>
          <w:p>
            <w:r>
              <w:rPr>
                <w:rFonts w:ascii="Inter" w:hAnsi="Inter" w:eastAsia="Inter"/>
                <w:b/>
                <w:color w:val="FFFFFF"/>
                <w:sz w:val="17"/>
              </w:rPr>
              <w:t>Page</w:t>
            </w:r>
          </w:p>
        </w:tc>
        <w:tc>
          <w:tcPr>
            <w:tcW w:type="dxa" w:w="3331"/>
            <w:shd w:fill="496A4B"/>
            <w:tcMar>
              <w:top w:w="80" w:type="dxa"/>
              <w:start w:w="90" w:type="dxa"/>
              <w:bottom w:w="80" w:type="dxa"/>
              <w:end w:w="90" w:type="dxa"/>
            </w:tcMar>
          </w:tcPr>
          <w:p>
            <w:r>
              <w:rPr>
                <w:rFonts w:ascii="Inter" w:hAnsi="Inter" w:eastAsia="Inter"/>
                <w:b/>
                <w:color w:val="FFFFFF"/>
                <w:sz w:val="17"/>
              </w:rPr>
              <w:t>Purpose</w:t>
            </w:r>
          </w:p>
        </w:tc>
        <w:tc>
          <w:tcPr>
            <w:tcW w:type="dxa" w:w="3331"/>
            <w:shd w:fill="496A4B"/>
            <w:tcMar>
              <w:top w:w="80" w:type="dxa"/>
              <w:start w:w="90" w:type="dxa"/>
              <w:bottom w:w="80" w:type="dxa"/>
              <w:end w:w="90" w:type="dxa"/>
            </w:tcMar>
          </w:tcPr>
          <w:p>
            <w:r>
              <w:rPr>
                <w:rFonts w:ascii="Inter" w:hAnsi="Inter" w:eastAsia="Inter"/>
                <w:b/>
                <w:color w:val="FFFFFF"/>
                <w:sz w:val="17"/>
              </w:rPr>
              <w:t>Official URL</w:t>
            </w:r>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Homepage</w:t>
            </w:r>
          </w:p>
        </w:tc>
        <w:tc>
          <w:tcPr>
            <w:tcW w:type="dxa" w:w="3384"/>
            <w:shd w:fill="FAFBF8"/>
            <w:tcMar>
              <w:top w:w="70" w:type="dxa"/>
              <w:start w:w="90" w:type="dxa"/>
              <w:bottom w:w="70" w:type="dxa"/>
              <w:end w:w="90" w:type="dxa"/>
            </w:tcMar>
            <w:vAlign w:val="top"/>
          </w:tcPr>
          <w:p>
            <w:r>
              <w:rPr>
                <w:rFonts w:ascii="Inter" w:hAnsi="Inter" w:eastAsia="Inter"/>
                <w:color w:val="222222"/>
                <w:sz w:val="16"/>
              </w:rPr>
              <w:t>Global positioning, audience routing, and local-hub directory</w:t>
            </w:r>
          </w:p>
        </w:tc>
        <w:tc>
          <w:tcPr>
            <w:tcW w:type="dxa" w:w="3888"/>
            <w:shd w:fill="FAFBF8"/>
            <w:tcMar>
              <w:top w:w="70" w:type="dxa"/>
              <w:start w:w="90" w:type="dxa"/>
              <w:bottom w:w="70" w:type="dxa"/>
              <w:end w:w="90" w:type="dxa"/>
            </w:tcMar>
            <w:vAlign w:val="top"/>
          </w:tcPr>
          <w:p>
            <w:hyperlink r:id="rId17">
              <w:r>
                <w:rPr>
                  <w:rFonts w:ascii="Inter" w:hAnsi="Inter"/>
                  <w:color w:val="2C5F8A"/>
                  <w:u w:val="single"/>
                  <w:sz w:val="16"/>
                </w:rPr>
                <w:t>https://impacthub.net/</w:t>
              </w:r>
            </w:hyperlink>
          </w:p>
        </w:tc>
      </w:tr>
      <w:tr>
        <w:trPr>
          <w:cantSplit/>
        </w:trPr>
        <w:tc>
          <w:tcPr>
            <w:tcW w:type="dxa" w:w="2232"/>
            <w:tcMar>
              <w:top w:w="70" w:type="dxa"/>
              <w:start w:w="90" w:type="dxa"/>
              <w:bottom w:w="70" w:type="dxa"/>
              <w:end w:w="90" w:type="dxa"/>
            </w:tcMar>
            <w:vAlign w:val="top"/>
          </w:tcPr>
          <w:p>
            <w:r>
              <w:rPr>
                <w:rFonts w:ascii="Inter" w:hAnsi="Inter" w:eastAsia="Inter"/>
                <w:b/>
                <w:color w:val="1F2A44"/>
                <w:sz w:val="16"/>
              </w:rPr>
              <w:t>General privacy policy</w:t>
            </w:r>
          </w:p>
        </w:tc>
        <w:tc>
          <w:tcPr>
            <w:tcW w:type="dxa" w:w="3384"/>
            <w:tcMar>
              <w:top w:w="70" w:type="dxa"/>
              <w:start w:w="90" w:type="dxa"/>
              <w:bottom w:w="70" w:type="dxa"/>
              <w:end w:w="90" w:type="dxa"/>
            </w:tcMar>
            <w:vAlign w:val="top"/>
          </w:tcPr>
          <w:p>
            <w:r>
              <w:rPr>
                <w:rFonts w:ascii="Inter" w:hAnsi="Inter" w:eastAsia="Inter"/>
                <w:color w:val="222222"/>
                <w:sz w:val="16"/>
              </w:rPr>
              <w:t>Network-wide data and privacy information</w:t>
            </w:r>
          </w:p>
        </w:tc>
        <w:tc>
          <w:tcPr>
            <w:tcW w:type="dxa" w:w="3888"/>
            <w:tcMar>
              <w:top w:w="70" w:type="dxa"/>
              <w:start w:w="90" w:type="dxa"/>
              <w:bottom w:w="70" w:type="dxa"/>
              <w:end w:w="90" w:type="dxa"/>
            </w:tcMar>
            <w:vAlign w:val="top"/>
          </w:tcPr>
          <w:p>
            <w:hyperlink r:id="rId18">
              <w:r>
                <w:rPr>
                  <w:rFonts w:ascii="Inter" w:hAnsi="Inter"/>
                  <w:color w:val="2C5F8A"/>
                  <w:u w:val="single"/>
                  <w:sz w:val="16"/>
                </w:rPr>
                <w:t>https://impacthub.net/general-privacy-policy/</w:t>
              </w:r>
            </w:hyperlink>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Impact publications - Minneapolis</w:t>
            </w:r>
          </w:p>
        </w:tc>
        <w:tc>
          <w:tcPr>
            <w:tcW w:type="dxa" w:w="3384"/>
            <w:shd w:fill="FAFBF8"/>
            <w:tcMar>
              <w:top w:w="70" w:type="dxa"/>
              <w:start w:w="90" w:type="dxa"/>
              <w:bottom w:w="70" w:type="dxa"/>
              <w:end w:w="90" w:type="dxa"/>
            </w:tcMar>
            <w:vAlign w:val="top"/>
          </w:tcPr>
          <w:p>
            <w:r>
              <w:rPr>
                <w:rFonts w:ascii="Inter" w:hAnsi="Inter" w:eastAsia="Inter"/>
                <w:color w:val="222222"/>
                <w:sz w:val="16"/>
              </w:rPr>
              <w:t>Example of localized impact evidence within the global network</w:t>
            </w:r>
          </w:p>
        </w:tc>
        <w:tc>
          <w:tcPr>
            <w:tcW w:type="dxa" w:w="3888"/>
            <w:shd w:fill="FAFBF8"/>
            <w:tcMar>
              <w:top w:w="70" w:type="dxa"/>
              <w:start w:w="90" w:type="dxa"/>
              <w:bottom w:w="70" w:type="dxa"/>
              <w:end w:w="90" w:type="dxa"/>
            </w:tcMar>
            <w:vAlign w:val="top"/>
          </w:tcPr>
          <w:p>
            <w:hyperlink r:id="rId19">
              <w:r>
                <w:rPr>
                  <w:rFonts w:ascii="Inter" w:hAnsi="Inter"/>
                  <w:color w:val="2C5F8A"/>
                  <w:u w:val="single"/>
                  <w:sz w:val="16"/>
                </w:rPr>
                <w:t>https://minneapolis.impacthub.net/impact/</w:t>
              </w:r>
            </w:hyperlink>
          </w:p>
        </w:tc>
      </w:tr>
    </w:tbl>
    <w:p>
      <w:r>
        <w:br w:type="page"/>
      </w:r>
    </w:p>
    <w:p>
      <w:pPr>
        <w:spacing w:before="200" w:after="100"/>
        <w:keepNext/>
        <w:pBdr>
          <w:bottom w:val="single" w:sz="8" w:space="4" w:color="B88A33"/>
        </w:pBdr>
      </w:pPr>
      <w:r>
        <w:rPr>
          <w:rFonts w:ascii="Inter Display" w:hAnsi="Inter Display" w:eastAsia="Inter Display"/>
          <w:b/>
          <w:color w:val="1F2A44"/>
          <w:sz w:val="36"/>
        </w:rPr>
        <w:t>Ashoka</w:t>
      </w:r>
    </w:p>
    <w:p>
      <w:pPr>
        <w:spacing w:after="80"/>
        <w:keepNext/>
      </w:pPr>
      <w:r>
        <w:rPr>
          <w:rFonts w:ascii="Inter" w:hAnsi="Inter" w:eastAsia="Inter"/>
          <w:i/>
          <w:color w:val="5B6573"/>
          <w:sz w:val="18"/>
        </w:rPr>
        <w:t>A broad movement identity with selective fellowship and partnership pathways</w:t>
      </w:r>
    </w:p>
    <w:p>
      <w:pPr>
        <w:spacing w:after="80" w:line="259" w:lineRule="auto"/>
      </w:pPr>
      <w:r>
        <w:rPr>
          <w:rFonts w:ascii="Inter" w:hAnsi="Inter" w:eastAsia="Inter"/>
          <w:color w:val="222222"/>
          <w:sz w:val="20"/>
        </w:rPr>
        <w:t>Ashoka combines an expansive public movement identity with specialized programs for social entrepreneurs, young changemakers, and partners. Its website uses visible people, programs, selection criteria, and long institutional history to build trust.</w:t>
      </w:r>
    </w:p>
    <w:p>
      <w:pPr>
        <w:spacing w:before="120" w:after="100"/>
        <w:keepNext/>
      </w:pPr>
      <w:r>
        <w:rPr>
          <w:rFonts w:ascii="Inter Display" w:hAnsi="Inter Display" w:eastAsia="Inter Display"/>
          <w:b/>
          <w:color w:val="496A4B"/>
          <w:sz w:val="27"/>
        </w:rPr>
        <w:t>Benchmark Matrix</w:t>
      </w:r>
    </w:p>
    <w:tbl>
      <w:tblPr>
        <w:tblW w:type="auto" w:w="0"/>
        <w:jc w:val="center"/>
        <w:tblLayout w:type="fixed"/>
        <w:tblLook w:firstColumn="1" w:firstRow="1" w:lastColumn="0" w:lastRow="0" w:noHBand="0" w:noVBand="1" w:val="04A0"/>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Pr>
      <w:tblGrid>
        <w:gridCol w:w="2088"/>
        <w:gridCol w:w="7416"/>
      </w:tblGrid>
      <w:tr>
        <w:trPr>
          <w:tblHeader w:val="true"/>
        </w:trPr>
        <w:tc>
          <w:tcPr>
            <w:tcW w:type="dxa" w:w="4997"/>
            <w:shd w:fill="1F2A44"/>
            <w:tcMar>
              <w:top w:w="90" w:type="dxa"/>
              <w:start w:w="100" w:type="dxa"/>
              <w:bottom w:w="90" w:type="dxa"/>
              <w:end w:w="100" w:type="dxa"/>
            </w:tcMar>
          </w:tcPr>
          <w:p>
            <w:pPr>
              <w:jc w:val="left"/>
            </w:pPr>
            <w:r>
              <w:rPr>
                <w:rFonts w:ascii="Inter" w:hAnsi="Inter" w:eastAsia="Inter"/>
                <w:b/>
                <w:color w:val="FFFFFF"/>
                <w:sz w:val="18"/>
              </w:rPr>
              <w:t>Research Area</w:t>
            </w:r>
          </w:p>
        </w:tc>
        <w:tc>
          <w:tcPr>
            <w:tcW w:type="dxa" w:w="4997"/>
            <w:shd w:fill="1F2A44"/>
            <w:tcMar>
              <w:top w:w="90" w:type="dxa"/>
              <w:start w:w="100" w:type="dxa"/>
              <w:bottom w:w="90" w:type="dxa"/>
              <w:end w:w="100" w:type="dxa"/>
            </w:tcMar>
          </w:tcPr>
          <w:p>
            <w:pPr>
              <w:jc w:val="left"/>
            </w:pPr>
            <w:r>
              <w:rPr>
                <w:rFonts w:ascii="Inter" w:hAnsi="Inter" w:eastAsia="Inter"/>
                <w:b/>
                <w:color w:val="FFFFFF"/>
                <w:sz w:val="18"/>
              </w:rPr>
              <w:t>Findings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Audience</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Social entrepreneurs, young changemakers, partners, funders, educators, and the wider public.</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Hero</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Centers the movement identity that everyone can become a changemaker and highlights systems-level social innovation.</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Navigation</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Common themes include who the organization is, programs and fellowship, ways to engage or partner, stories, and impact.</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Value proposition</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Public inspiration and resources, recognition and support for selected social entrepreneurs, youth programs, and institutional collaboration.</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Primary CTA</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Frequently emphasizes nominating a Fellow, exploring programs, or partnering with the organization.</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Participation layers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Public stories and movement content -&gt; regional or program participation -&gt; nomination or selection -&gt; deeper fellowship and partner relationships.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Trust signals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Long operating history, named Fellows, country reach, visible selection criteria, partner relationships, and published impact work.</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One-on-one support</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Not an on-demand public offer. High-touch support is associated with the Fellowship and its selection process.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Opportunities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Fellowship nomination, youth programs, employment, institutional partnerships, and systems-change initiatives.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Safeguards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Ethical expectations are built into selection criteria and public policies. Exact current wording should be verified before drawing direct parallels.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Community platform</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Broad public movement spaces coexist with specialized regional programs and private Fellow relationships.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Strengths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A memorable public identity can unify many roles; transparent selection criteria make deep participation easier to understand.</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Risks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Prestige and lengthy selection processes may appear exclusive. Institutional or philanthropic language may distance grassroots participants.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Responsible application</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Explain a broad public vision while keeping the deeper Liberation Network pathway distinct. Publish clear behavioral expectations without presenting participants as a superior moral class.</w:t>
            </w:r>
          </w:p>
        </w:tc>
      </w:tr>
    </w:tbl>
    <w:p>
      <w:pPr>
        <w:spacing w:after="0"/>
      </w:pPr>
    </w:p>
    <w:p>
      <w:pPr>
        <w:spacing w:before="120" w:after="100"/>
        <w:keepNext/>
      </w:pPr>
      <w:r>
        <w:rPr>
          <w:rFonts w:ascii="Inter Display" w:hAnsi="Inter Display" w:eastAsia="Inter Display"/>
          <w:b/>
          <w:color w:val="496A4B"/>
          <w:sz w:val="27"/>
        </w:rPr>
        <w:t>Top Three Lessons</w:t>
      </w:r>
    </w:p>
    <w:p>
      <w:pPr>
        <w:spacing w:after="40"/>
        <w:ind w:left="432" w:hanging="346"/>
      </w:pPr>
      <w:r>
        <w:rPr>
          <w:rFonts w:ascii="Inter" w:hAnsi="Inter" w:eastAsia="Inter"/>
          <w:b/>
          <w:color w:val="1F2A44"/>
          <w:sz w:val="20"/>
        </w:rPr>
        <w:t>1.</w:t>
      </w:r>
      <w:r>
        <w:rPr>
          <w:rFonts w:ascii="Inter" w:hAnsi="Inter" w:eastAsia="Inter"/>
          <w:color w:val="222222"/>
          <w:sz w:val="20"/>
        </w:rPr>
        <w:t xml:space="preserve">  A shared identity can help diverse audiences understand why they belong to the same ecosystem.</w:t>
      </w:r>
    </w:p>
    <w:p>
      <w:pPr>
        <w:spacing w:after="40"/>
        <w:ind w:left="432" w:hanging="346"/>
      </w:pPr>
      <w:r>
        <w:rPr>
          <w:rFonts w:ascii="Inter" w:hAnsi="Inter" w:eastAsia="Inter"/>
          <w:b/>
          <w:color w:val="1F2A44"/>
          <w:sz w:val="20"/>
        </w:rPr>
        <w:t>2.</w:t>
      </w:r>
      <w:r>
        <w:rPr>
          <w:rFonts w:ascii="Inter" w:hAnsi="Inter" w:eastAsia="Inter"/>
          <w:color w:val="222222"/>
          <w:sz w:val="20"/>
        </w:rPr>
        <w:t xml:space="preserve">  Deep support pathways become more credible when selection criteria and expectations are visible.</w:t>
      </w:r>
    </w:p>
    <w:p>
      <w:pPr>
        <w:spacing w:after="40"/>
        <w:ind w:left="432" w:hanging="346"/>
      </w:pPr>
      <w:r>
        <w:rPr>
          <w:rFonts w:ascii="Inter" w:hAnsi="Inter" w:eastAsia="Inter"/>
          <w:b/>
          <w:color w:val="1F2A44"/>
          <w:sz w:val="20"/>
        </w:rPr>
        <w:t>3.</w:t>
      </w:r>
      <w:r>
        <w:rPr>
          <w:rFonts w:ascii="Inter" w:hAnsi="Inter" w:eastAsia="Inter"/>
          <w:color w:val="222222"/>
          <w:sz w:val="20"/>
        </w:rPr>
        <w:t xml:space="preserve">  A broad movement and a selective inner network can coexist if the website clearly explains what remains open and what requires deeper trust.</w:t>
      </w:r>
    </w:p>
    <w:p>
      <w:pPr>
        <w:spacing w:before="120" w:after="100"/>
        <w:keepNext/>
      </w:pPr>
      <w:r>
        <w:rPr>
          <w:rFonts w:ascii="Inter Display" w:hAnsi="Inter Display" w:eastAsia="Inter Display"/>
          <w:b/>
          <w:color w:val="496A4B"/>
          <w:sz w:val="27"/>
        </w:rPr>
        <w:t>Responsible Relevance to the Ecosystem</w:t>
      </w:r>
    </w:p>
    <w:p>
      <w:pPr>
        <w:spacing w:after="60"/>
      </w:pPr>
      <w:r>
        <w:rPr>
          <w:rFonts w:ascii="Inter" w:hAnsi="Inter" w:eastAsia="Inter"/>
          <w:b/>
          <w:color w:val="496A4B"/>
          <w:sz w:val="19"/>
        </w:rPr>
        <w:t xml:space="preserve">Ethical Capacity Lab: </w:t>
      </w:r>
      <w:r>
        <w:rPr>
          <w:rFonts w:ascii="Inter" w:hAnsi="Inter" w:eastAsia="Inter"/>
          <w:color w:val="222222"/>
          <w:sz w:val="19"/>
        </w:rPr>
        <w:t>State ethical principles and decision standards publicly, while avoiding premature certification or authority claims.</w:t>
      </w:r>
    </w:p>
    <w:p>
      <w:pPr>
        <w:spacing w:after="60"/>
      </w:pPr>
      <w:r>
        <w:rPr>
          <w:rFonts w:ascii="Inter" w:hAnsi="Inter" w:eastAsia="Inter"/>
          <w:b/>
          <w:color w:val="496A4B"/>
          <w:sz w:val="19"/>
        </w:rPr>
        <w:t xml:space="preserve">Liberation from Suffering Network: </w:t>
      </w:r>
      <w:r>
        <w:rPr>
          <w:rFonts w:ascii="Inter" w:hAnsi="Inter" w:eastAsia="Inter"/>
          <w:color w:val="222222"/>
          <w:sz w:val="19"/>
        </w:rPr>
        <w:t>Separate public educational participation from deeper relationship-based network access.</w:t>
      </w:r>
    </w:p>
    <w:p>
      <w:pPr>
        <w:spacing w:after="60"/>
      </w:pPr>
      <w:r>
        <w:rPr>
          <w:rFonts w:ascii="Inter" w:hAnsi="Inter" w:eastAsia="Inter"/>
          <w:b/>
          <w:color w:val="496A4B"/>
          <w:sz w:val="19"/>
        </w:rPr>
        <w:t xml:space="preserve">Shared Website: </w:t>
      </w:r>
      <w:r>
        <w:rPr>
          <w:rFonts w:ascii="Inter" w:hAnsi="Inter" w:eastAsia="Inter"/>
          <w:color w:val="222222"/>
          <w:sz w:val="19"/>
        </w:rPr>
        <w:t>Use people, programs, and real partnerships to support the wider vision.</w:t>
      </w:r>
    </w:p>
    <w:p>
      <w:pPr>
        <w:spacing w:before="120" w:after="100"/>
        <w:keepNext/>
      </w:pPr>
      <w:r>
        <w:rPr>
          <w:rFonts w:ascii="Inter Display" w:hAnsi="Inter Display" w:eastAsia="Inter Display"/>
          <w:b/>
          <w:color w:val="496A4B"/>
          <w:sz w:val="27"/>
        </w:rPr>
        <w:t>Key Official Pages Reviewed</w:t>
      </w:r>
    </w:p>
    <w:tbl>
      <w:tblPr>
        <w:tblW w:type="auto" w:w="0"/>
        <w:jc w:val="center"/>
        <w:tblLayout w:type="fixed"/>
        <w:tblLook w:firstColumn="1" w:firstRow="1" w:lastColumn="0" w:lastRow="0" w:noHBand="0" w:noVBand="1" w:val="04A0"/>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Pr>
      <w:tblGrid>
        <w:gridCol w:w="2232"/>
        <w:gridCol w:w="3384"/>
        <w:gridCol w:w="3888"/>
      </w:tblGrid>
      <w:tr>
        <w:trPr>
          <w:tblHeader w:val="true"/>
        </w:trPr>
        <w:tc>
          <w:tcPr>
            <w:tcW w:type="dxa" w:w="3331"/>
            <w:shd w:fill="496A4B"/>
            <w:tcMar>
              <w:top w:w="80" w:type="dxa"/>
              <w:start w:w="90" w:type="dxa"/>
              <w:bottom w:w="80" w:type="dxa"/>
              <w:end w:w="90" w:type="dxa"/>
            </w:tcMar>
          </w:tcPr>
          <w:p>
            <w:r>
              <w:rPr>
                <w:rFonts w:ascii="Inter" w:hAnsi="Inter" w:eastAsia="Inter"/>
                <w:b/>
                <w:color w:val="FFFFFF"/>
                <w:sz w:val="17"/>
              </w:rPr>
              <w:t>Page</w:t>
            </w:r>
          </w:p>
        </w:tc>
        <w:tc>
          <w:tcPr>
            <w:tcW w:type="dxa" w:w="3331"/>
            <w:shd w:fill="496A4B"/>
            <w:tcMar>
              <w:top w:w="80" w:type="dxa"/>
              <w:start w:w="90" w:type="dxa"/>
              <w:bottom w:w="80" w:type="dxa"/>
              <w:end w:w="90" w:type="dxa"/>
            </w:tcMar>
          </w:tcPr>
          <w:p>
            <w:r>
              <w:rPr>
                <w:rFonts w:ascii="Inter" w:hAnsi="Inter" w:eastAsia="Inter"/>
                <w:b/>
                <w:color w:val="FFFFFF"/>
                <w:sz w:val="17"/>
              </w:rPr>
              <w:t>Purpose</w:t>
            </w:r>
          </w:p>
        </w:tc>
        <w:tc>
          <w:tcPr>
            <w:tcW w:type="dxa" w:w="3331"/>
            <w:shd w:fill="496A4B"/>
            <w:tcMar>
              <w:top w:w="80" w:type="dxa"/>
              <w:start w:w="90" w:type="dxa"/>
              <w:bottom w:w="80" w:type="dxa"/>
              <w:end w:w="90" w:type="dxa"/>
            </w:tcMar>
          </w:tcPr>
          <w:p>
            <w:r>
              <w:rPr>
                <w:rFonts w:ascii="Inter" w:hAnsi="Inter" w:eastAsia="Inter"/>
                <w:b/>
                <w:color w:val="FFFFFF"/>
                <w:sz w:val="17"/>
              </w:rPr>
              <w:t>Official URL</w:t>
            </w:r>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About Ashoka</w:t>
            </w:r>
          </w:p>
        </w:tc>
        <w:tc>
          <w:tcPr>
            <w:tcW w:type="dxa" w:w="3384"/>
            <w:shd w:fill="FAFBF8"/>
            <w:tcMar>
              <w:top w:w="70" w:type="dxa"/>
              <w:start w:w="90" w:type="dxa"/>
              <w:bottom w:w="70" w:type="dxa"/>
              <w:end w:w="90" w:type="dxa"/>
            </w:tcMar>
            <w:vAlign w:val="top"/>
          </w:tcPr>
          <w:p>
            <w:r>
              <w:rPr>
                <w:rFonts w:ascii="Inter" w:hAnsi="Inter" w:eastAsia="Inter"/>
                <w:color w:val="222222"/>
                <w:sz w:val="16"/>
              </w:rPr>
              <w:t>Movement identity, history, and programs</w:t>
            </w:r>
          </w:p>
        </w:tc>
        <w:tc>
          <w:tcPr>
            <w:tcW w:type="dxa" w:w="3888"/>
            <w:shd w:fill="FAFBF8"/>
            <w:tcMar>
              <w:top w:w="70" w:type="dxa"/>
              <w:start w:w="90" w:type="dxa"/>
              <w:bottom w:w="70" w:type="dxa"/>
              <w:end w:w="90" w:type="dxa"/>
            </w:tcMar>
            <w:vAlign w:val="top"/>
          </w:tcPr>
          <w:p>
            <w:hyperlink r:id="rId20">
              <w:r>
                <w:rPr>
                  <w:rFonts w:ascii="Inter" w:hAnsi="Inter"/>
                  <w:color w:val="2C5F8A"/>
                  <w:u w:val="single"/>
                  <w:sz w:val="16"/>
                </w:rPr>
                <w:t>https://www.ashoka.org/en-ph/about-ashoka</w:t>
              </w:r>
            </w:hyperlink>
          </w:p>
        </w:tc>
      </w:tr>
      <w:tr>
        <w:trPr>
          <w:cantSplit/>
        </w:trPr>
        <w:tc>
          <w:tcPr>
            <w:tcW w:type="dxa" w:w="2232"/>
            <w:tcMar>
              <w:top w:w="70" w:type="dxa"/>
              <w:start w:w="90" w:type="dxa"/>
              <w:bottom w:w="70" w:type="dxa"/>
              <w:end w:w="90" w:type="dxa"/>
            </w:tcMar>
            <w:vAlign w:val="top"/>
          </w:tcPr>
          <w:p>
            <w:r>
              <w:rPr>
                <w:rFonts w:ascii="Inter" w:hAnsi="Inter" w:eastAsia="Inter"/>
                <w:b/>
                <w:color w:val="1F2A44"/>
                <w:sz w:val="16"/>
              </w:rPr>
              <w:t>Recommend an Ashoka Fellow</w:t>
            </w:r>
          </w:p>
        </w:tc>
        <w:tc>
          <w:tcPr>
            <w:tcW w:type="dxa" w:w="3384"/>
            <w:tcMar>
              <w:top w:w="70" w:type="dxa"/>
              <w:start w:w="90" w:type="dxa"/>
              <w:bottom w:w="70" w:type="dxa"/>
              <w:end w:w="90" w:type="dxa"/>
            </w:tcMar>
            <w:vAlign w:val="top"/>
          </w:tcPr>
          <w:p>
            <w:r>
              <w:rPr>
                <w:rFonts w:ascii="Inter" w:hAnsi="Inter" w:eastAsia="Inter"/>
                <w:color w:val="222222"/>
                <w:sz w:val="16"/>
              </w:rPr>
              <w:t>Selection criteria and nomination path</w:t>
            </w:r>
          </w:p>
        </w:tc>
        <w:tc>
          <w:tcPr>
            <w:tcW w:type="dxa" w:w="3888"/>
            <w:tcMar>
              <w:top w:w="70" w:type="dxa"/>
              <w:start w:w="90" w:type="dxa"/>
              <w:bottom w:w="70" w:type="dxa"/>
              <w:end w:w="90" w:type="dxa"/>
            </w:tcMar>
            <w:vAlign w:val="top"/>
          </w:tcPr>
          <w:p>
            <w:hyperlink r:id="rId21">
              <w:r>
                <w:rPr>
                  <w:rFonts w:ascii="Inter" w:hAnsi="Inter"/>
                  <w:color w:val="2C5F8A"/>
                  <w:u w:val="single"/>
                  <w:sz w:val="16"/>
                </w:rPr>
                <w:t>https://www.ashoka.org/en-us/recommend-ashoka-fellow</w:t>
              </w:r>
            </w:hyperlink>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Frequently asked questions</w:t>
            </w:r>
          </w:p>
        </w:tc>
        <w:tc>
          <w:tcPr>
            <w:tcW w:type="dxa" w:w="3384"/>
            <w:shd w:fill="FAFBF8"/>
            <w:tcMar>
              <w:top w:w="70" w:type="dxa"/>
              <w:start w:w="90" w:type="dxa"/>
              <w:bottom w:w="70" w:type="dxa"/>
              <w:end w:w="90" w:type="dxa"/>
            </w:tcMar>
            <w:vAlign w:val="top"/>
          </w:tcPr>
          <w:p>
            <w:r>
              <w:rPr>
                <w:rFonts w:ascii="Inter" w:hAnsi="Inter" w:eastAsia="Inter"/>
                <w:color w:val="222222"/>
                <w:sz w:val="16"/>
              </w:rPr>
              <w:t>Program and participation explanations</w:t>
            </w:r>
          </w:p>
        </w:tc>
        <w:tc>
          <w:tcPr>
            <w:tcW w:type="dxa" w:w="3888"/>
            <w:shd w:fill="FAFBF8"/>
            <w:tcMar>
              <w:top w:w="70" w:type="dxa"/>
              <w:start w:w="90" w:type="dxa"/>
              <w:bottom w:w="70" w:type="dxa"/>
              <w:end w:w="90" w:type="dxa"/>
            </w:tcMar>
            <w:vAlign w:val="top"/>
          </w:tcPr>
          <w:p>
            <w:hyperlink r:id="rId22">
              <w:r>
                <w:rPr>
                  <w:rFonts w:ascii="Inter" w:hAnsi="Inter"/>
                  <w:color w:val="2C5F8A"/>
                  <w:u w:val="single"/>
                  <w:sz w:val="16"/>
                </w:rPr>
                <w:t>https://www.ashoka.org/en-us/frequently-asked-questions</w:t>
              </w:r>
            </w:hyperlink>
          </w:p>
        </w:tc>
      </w:tr>
      <w:tr>
        <w:trPr>
          <w:cantSplit/>
        </w:trPr>
        <w:tc>
          <w:tcPr>
            <w:tcW w:type="dxa" w:w="2232"/>
            <w:tcMar>
              <w:top w:w="70" w:type="dxa"/>
              <w:start w:w="90" w:type="dxa"/>
              <w:bottom w:w="70" w:type="dxa"/>
              <w:end w:w="90" w:type="dxa"/>
            </w:tcMar>
            <w:vAlign w:val="top"/>
          </w:tcPr>
          <w:p>
            <w:r>
              <w:rPr>
                <w:rFonts w:ascii="Inter" w:hAnsi="Inter" w:eastAsia="Inter"/>
                <w:b/>
                <w:color w:val="1F2A44"/>
                <w:sz w:val="16"/>
              </w:rPr>
              <w:t>Hiring criteria and process</w:t>
            </w:r>
          </w:p>
        </w:tc>
        <w:tc>
          <w:tcPr>
            <w:tcW w:type="dxa" w:w="3384"/>
            <w:tcMar>
              <w:top w:w="70" w:type="dxa"/>
              <w:start w:w="90" w:type="dxa"/>
              <w:bottom w:w="70" w:type="dxa"/>
              <w:end w:w="90" w:type="dxa"/>
            </w:tcMar>
            <w:vAlign w:val="top"/>
          </w:tcPr>
          <w:p>
            <w:r>
              <w:rPr>
                <w:rFonts w:ascii="Inter" w:hAnsi="Inter" w:eastAsia="Inter"/>
                <w:color w:val="222222"/>
                <w:sz w:val="16"/>
              </w:rPr>
              <w:t>Public organizational expectations</w:t>
            </w:r>
          </w:p>
        </w:tc>
        <w:tc>
          <w:tcPr>
            <w:tcW w:type="dxa" w:w="3888"/>
            <w:tcMar>
              <w:top w:w="70" w:type="dxa"/>
              <w:start w:w="90" w:type="dxa"/>
              <w:bottom w:w="70" w:type="dxa"/>
              <w:end w:w="90" w:type="dxa"/>
            </w:tcMar>
            <w:vAlign w:val="top"/>
          </w:tcPr>
          <w:p>
            <w:hyperlink r:id="rId23">
              <w:r>
                <w:rPr>
                  <w:rFonts w:ascii="Inter" w:hAnsi="Inter"/>
                  <w:color w:val="2C5F8A"/>
                  <w:u w:val="single"/>
                  <w:sz w:val="16"/>
                </w:rPr>
                <w:t>https://www.ashoka.org/en-us/engage/work-with-us/hiring-criteria</w:t>
              </w:r>
            </w:hyperlink>
          </w:p>
        </w:tc>
      </w:tr>
    </w:tbl>
    <w:p>
      <w:r>
        <w:br w:type="page"/>
      </w:r>
    </w:p>
    <w:p>
      <w:pPr>
        <w:spacing w:before="200" w:after="100"/>
        <w:keepNext/>
        <w:pBdr>
          <w:bottom w:val="single" w:sz="8" w:space="4" w:color="B88A33"/>
        </w:pBdr>
      </w:pPr>
      <w:r>
        <w:rPr>
          <w:rFonts w:ascii="Inter Display" w:hAnsi="Inter Display" w:eastAsia="Inter Display"/>
          <w:b/>
          <w:color w:val="1F2A44"/>
          <w:sz w:val="36"/>
        </w:rPr>
        <w:t>B Lab / B Corporation</w:t>
      </w:r>
    </w:p>
    <w:p>
      <w:pPr>
        <w:spacing w:after="80"/>
        <w:keepNext/>
      </w:pPr>
      <w:r>
        <w:rPr>
          <w:rFonts w:ascii="Inter" w:hAnsi="Inter" w:eastAsia="Inter"/>
          <w:i/>
          <w:color w:val="5B6573"/>
          <w:sz w:val="18"/>
        </w:rPr>
        <w:t>Standards, governance, verification, transparency, and global-regional structure</w:t>
      </w:r>
    </w:p>
    <w:p>
      <w:pPr>
        <w:spacing w:after="80" w:line="259" w:lineRule="auto"/>
      </w:pPr>
      <w:r>
        <w:rPr>
          <w:rFonts w:ascii="Inter" w:hAnsi="Inter" w:eastAsia="Inter"/>
          <w:color w:val="222222"/>
          <w:sz w:val="20"/>
        </w:rPr>
        <w:t>B Lab presents itself as the institutional body behind standards and certification, while B Corporation functions as a recognizable public identity for participating businesses. The website is process-oriented and uses governance, verification, public disclosures, and directories to establish credibility.</w:t>
      </w:r>
    </w:p>
    <w:p>
      <w:pPr>
        <w:spacing w:before="120" w:after="100"/>
        <w:keepNext/>
      </w:pPr>
      <w:r>
        <w:rPr>
          <w:rFonts w:ascii="Inter Display" w:hAnsi="Inter Display" w:eastAsia="Inter Display"/>
          <w:b/>
          <w:color w:val="496A4B"/>
          <w:sz w:val="27"/>
        </w:rPr>
        <w:t>Benchmark Matrix</w:t>
      </w:r>
    </w:p>
    <w:tbl>
      <w:tblPr>
        <w:tblW w:type="auto" w:w="0"/>
        <w:jc w:val="center"/>
        <w:tblLayout w:type="fixed"/>
        <w:tblLook w:firstColumn="1" w:firstRow="1" w:lastColumn="0" w:lastRow="0" w:noHBand="0" w:noVBand="1" w:val="04A0"/>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Pr>
      <w:tblGrid>
        <w:gridCol w:w="2088"/>
        <w:gridCol w:w="7416"/>
      </w:tblGrid>
      <w:tr>
        <w:trPr>
          <w:tblHeader w:val="true"/>
        </w:trPr>
        <w:tc>
          <w:tcPr>
            <w:tcW w:type="dxa" w:w="4997"/>
            <w:shd w:fill="1F2A44"/>
            <w:tcMar>
              <w:top w:w="90" w:type="dxa"/>
              <w:start w:w="100" w:type="dxa"/>
              <w:bottom w:w="90" w:type="dxa"/>
              <w:end w:w="100" w:type="dxa"/>
            </w:tcMar>
          </w:tcPr>
          <w:p>
            <w:pPr>
              <w:jc w:val="left"/>
            </w:pPr>
            <w:r>
              <w:rPr>
                <w:rFonts w:ascii="Inter" w:hAnsi="Inter" w:eastAsia="Inter"/>
                <w:b/>
                <w:color w:val="FFFFFF"/>
                <w:sz w:val="18"/>
              </w:rPr>
              <w:t>Research Area</w:t>
            </w:r>
          </w:p>
        </w:tc>
        <w:tc>
          <w:tcPr>
            <w:tcW w:type="dxa" w:w="4997"/>
            <w:shd w:fill="1F2A44"/>
            <w:tcMar>
              <w:top w:w="90" w:type="dxa"/>
              <w:start w:w="100" w:type="dxa"/>
              <w:bottom w:w="90" w:type="dxa"/>
              <w:end w:w="100" w:type="dxa"/>
            </w:tcMar>
          </w:tcPr>
          <w:p>
            <w:pPr>
              <w:jc w:val="left"/>
            </w:pPr>
            <w:r>
              <w:rPr>
                <w:rFonts w:ascii="Inter" w:hAnsi="Inter" w:eastAsia="Inter"/>
                <w:b/>
                <w:color w:val="FFFFFF"/>
                <w:sz w:val="18"/>
              </w:rPr>
              <w:t>Findings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Audience</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Businesses considering certification, certified companies, consumers, sustainability professionals, consultants, and regional partners.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Hero</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Emphasizes using business as a force for good and the value of measuring and improving impact.</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Navigation</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Organizes information around certification, standards, assessment, eligibility, process, fees, directories, and resources.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Value proposition</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A structured way to measure performance, meet verified standards, demonstrate accountability, and join a recognized business network.</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Primary CTA</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A prominent "Get Started" or assessment pathway that moves companies into a defined process.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Participation layers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Public information -&gt; free assessment or eligibility exploration -&gt; formal application and verification -&gt; certification and directory presence.</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Trust signals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Published standards, governance bodies, assessment methodology, verification steps, complaint processes, public profiles, and regional structures.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One-on-one support</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Support and consulting can be provided through specialized professionals, while the standard-setting organization seeks to preserve review independence.</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Opportunities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Certification, directories, consultants, events, procurement relationships, and participation in a global business community.</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Safeguards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Eligibility rules, disclosure requirements, complaints, restrictions for sensitive industries, and public accountability mechanisms.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Community platform</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Deeper community spaces are reserved for certified companies and regional networks rather than the general public.</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Strengths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Clear process and governance create strong institutional trust and distinguish the standard-setter from participating businesses.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Risks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The process can appear expensive, bureaucratic, and legally complex, especially to small or early-stage organizations.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Responsible application</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The parent can publish principles, governance, limitations, and review responsibilities. Formal certification, auditing, scoring, or claims of independent oversight should remain out of scope until legally and operationally supported.</w:t>
            </w:r>
          </w:p>
        </w:tc>
      </w:tr>
    </w:tbl>
    <w:p>
      <w:pPr>
        <w:spacing w:after="0"/>
      </w:pPr>
    </w:p>
    <w:p>
      <w:pPr>
        <w:spacing w:before="120" w:after="100"/>
        <w:keepNext/>
      </w:pPr>
      <w:r>
        <w:rPr>
          <w:rFonts w:ascii="Inter Display" w:hAnsi="Inter Display" w:eastAsia="Inter Display"/>
          <w:b/>
          <w:color w:val="496A4B"/>
          <w:sz w:val="27"/>
        </w:rPr>
        <w:t>Top Three Lessons</w:t>
      </w:r>
    </w:p>
    <w:p>
      <w:pPr>
        <w:spacing w:after="40"/>
        <w:ind w:left="432" w:hanging="346"/>
      </w:pPr>
      <w:r>
        <w:rPr>
          <w:rFonts w:ascii="Inter" w:hAnsi="Inter" w:eastAsia="Inter"/>
          <w:b/>
          <w:color w:val="1F2A44"/>
          <w:sz w:val="20"/>
        </w:rPr>
        <w:t>1.</w:t>
      </w:r>
      <w:r>
        <w:rPr>
          <w:rFonts w:ascii="Inter" w:hAnsi="Inter" w:eastAsia="Inter"/>
          <w:color w:val="222222"/>
          <w:sz w:val="20"/>
        </w:rPr>
        <w:t xml:space="preserve">  Institutional credibility depends on explaining who sets standards, who applies them, and how conflicts are handled.</w:t>
      </w:r>
    </w:p>
    <w:p>
      <w:pPr>
        <w:spacing w:after="40"/>
        <w:ind w:left="432" w:hanging="346"/>
      </w:pPr>
      <w:r>
        <w:rPr>
          <w:rFonts w:ascii="Inter" w:hAnsi="Inter" w:eastAsia="Inter"/>
          <w:b/>
          <w:color w:val="1F2A44"/>
          <w:sz w:val="20"/>
        </w:rPr>
        <w:t>2.</w:t>
      </w:r>
      <w:r>
        <w:rPr>
          <w:rFonts w:ascii="Inter" w:hAnsi="Inter" w:eastAsia="Inter"/>
          <w:color w:val="222222"/>
          <w:sz w:val="20"/>
        </w:rPr>
        <w:t xml:space="preserve">  Visible processes and complaint pathways make ethical claims more credible.</w:t>
      </w:r>
    </w:p>
    <w:p>
      <w:pPr>
        <w:spacing w:after="40"/>
        <w:ind w:left="432" w:hanging="346"/>
      </w:pPr>
      <w:r>
        <w:rPr>
          <w:rFonts w:ascii="Inter" w:hAnsi="Inter" w:eastAsia="Inter"/>
          <w:b/>
          <w:color w:val="1F2A44"/>
          <w:sz w:val="20"/>
        </w:rPr>
        <w:t>3.</w:t>
      </w:r>
      <w:r>
        <w:rPr>
          <w:rFonts w:ascii="Inter" w:hAnsi="Inter" w:eastAsia="Inter"/>
          <w:color w:val="222222"/>
          <w:sz w:val="20"/>
        </w:rPr>
        <w:t xml:space="preserve">  Deep member benefits can be gated without requiring the public website itself to become a complex member platform.</w:t>
      </w:r>
    </w:p>
    <w:p>
      <w:pPr>
        <w:spacing w:before="120" w:after="100"/>
        <w:keepNext/>
      </w:pPr>
      <w:r>
        <w:rPr>
          <w:rFonts w:ascii="Inter Display" w:hAnsi="Inter Display" w:eastAsia="Inter Display"/>
          <w:b/>
          <w:color w:val="496A4B"/>
          <w:sz w:val="27"/>
        </w:rPr>
        <w:t>Responsible Relevance to the Ecosystem</w:t>
      </w:r>
    </w:p>
    <w:p>
      <w:pPr>
        <w:spacing w:after="60"/>
      </w:pPr>
      <w:r>
        <w:rPr>
          <w:rFonts w:ascii="Inter" w:hAnsi="Inter" w:eastAsia="Inter"/>
          <w:b/>
          <w:color w:val="496A4B"/>
          <w:sz w:val="19"/>
        </w:rPr>
        <w:t xml:space="preserve">Ethical Capacity Lab: </w:t>
      </w:r>
      <w:r>
        <w:rPr>
          <w:rFonts w:ascii="Inter" w:hAnsi="Inter" w:eastAsia="Inter"/>
          <w:color w:val="222222"/>
          <w:sz w:val="19"/>
        </w:rPr>
        <w:t>Clarify governance, methodology, safeguards, intellectual property, and decision ownership.</w:t>
      </w:r>
    </w:p>
    <w:p>
      <w:pPr>
        <w:spacing w:after="60"/>
      </w:pPr>
      <w:r>
        <w:rPr>
          <w:rFonts w:ascii="Inter" w:hAnsi="Inter" w:eastAsia="Inter"/>
          <w:b/>
          <w:color w:val="496A4B"/>
          <w:sz w:val="19"/>
        </w:rPr>
        <w:t xml:space="preserve">DoGoodie: </w:t>
      </w:r>
      <w:r>
        <w:rPr>
          <w:rFonts w:ascii="Inter" w:hAnsi="Inter" w:eastAsia="Inter"/>
          <w:color w:val="222222"/>
          <w:sz w:val="19"/>
        </w:rPr>
        <w:t>Keep project delivery distinct from any future parent-level evaluation or standards function.</w:t>
      </w:r>
    </w:p>
    <w:p>
      <w:pPr>
        <w:spacing w:after="60"/>
      </w:pPr>
      <w:r>
        <w:rPr>
          <w:rFonts w:ascii="Inter" w:hAnsi="Inter" w:eastAsia="Inter"/>
          <w:b/>
          <w:color w:val="496A4B"/>
          <w:sz w:val="19"/>
        </w:rPr>
        <w:t xml:space="preserve">Future Phase: </w:t>
      </w:r>
      <w:r>
        <w:rPr>
          <w:rFonts w:ascii="Inter" w:hAnsi="Inter" w:eastAsia="Inter"/>
          <w:color w:val="222222"/>
          <w:sz w:val="19"/>
        </w:rPr>
        <w:t>Independent advisers, formal audits, certification, public scoring, and gated directories require separate authorization.</w:t>
      </w:r>
    </w:p>
    <w:p>
      <w:pPr>
        <w:spacing w:before="120" w:after="100"/>
        <w:keepNext/>
      </w:pPr>
      <w:r>
        <w:rPr>
          <w:rFonts w:ascii="Inter Display" w:hAnsi="Inter Display" w:eastAsia="Inter Display"/>
          <w:b/>
          <w:color w:val="496A4B"/>
          <w:sz w:val="27"/>
        </w:rPr>
        <w:t>Key Official Pages Reviewed</w:t>
      </w:r>
    </w:p>
    <w:tbl>
      <w:tblPr>
        <w:tblW w:type="auto" w:w="0"/>
        <w:jc w:val="center"/>
        <w:tblLayout w:type="fixed"/>
        <w:tblLook w:firstColumn="1" w:firstRow="1" w:lastColumn="0" w:lastRow="0" w:noHBand="0" w:noVBand="1" w:val="04A0"/>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Pr>
      <w:tblGrid>
        <w:gridCol w:w="2232"/>
        <w:gridCol w:w="3384"/>
        <w:gridCol w:w="3888"/>
      </w:tblGrid>
      <w:tr>
        <w:trPr>
          <w:tblHeader w:val="true"/>
        </w:trPr>
        <w:tc>
          <w:tcPr>
            <w:tcW w:type="dxa" w:w="3331"/>
            <w:shd w:fill="496A4B"/>
            <w:tcMar>
              <w:top w:w="80" w:type="dxa"/>
              <w:start w:w="90" w:type="dxa"/>
              <w:bottom w:w="80" w:type="dxa"/>
              <w:end w:w="90" w:type="dxa"/>
            </w:tcMar>
          </w:tcPr>
          <w:p>
            <w:r>
              <w:rPr>
                <w:rFonts w:ascii="Inter" w:hAnsi="Inter" w:eastAsia="Inter"/>
                <w:b/>
                <w:color w:val="FFFFFF"/>
                <w:sz w:val="17"/>
              </w:rPr>
              <w:t>Page</w:t>
            </w:r>
          </w:p>
        </w:tc>
        <w:tc>
          <w:tcPr>
            <w:tcW w:type="dxa" w:w="3331"/>
            <w:shd w:fill="496A4B"/>
            <w:tcMar>
              <w:top w:w="80" w:type="dxa"/>
              <w:start w:w="90" w:type="dxa"/>
              <w:bottom w:w="80" w:type="dxa"/>
              <w:end w:w="90" w:type="dxa"/>
            </w:tcMar>
          </w:tcPr>
          <w:p>
            <w:r>
              <w:rPr>
                <w:rFonts w:ascii="Inter" w:hAnsi="Inter" w:eastAsia="Inter"/>
                <w:b/>
                <w:color w:val="FFFFFF"/>
                <w:sz w:val="17"/>
              </w:rPr>
              <w:t>Purpose</w:t>
            </w:r>
          </w:p>
        </w:tc>
        <w:tc>
          <w:tcPr>
            <w:tcW w:type="dxa" w:w="3331"/>
            <w:shd w:fill="496A4B"/>
            <w:tcMar>
              <w:top w:w="80" w:type="dxa"/>
              <w:start w:w="90" w:type="dxa"/>
              <w:bottom w:w="80" w:type="dxa"/>
              <w:end w:w="90" w:type="dxa"/>
            </w:tcMar>
          </w:tcPr>
          <w:p>
            <w:r>
              <w:rPr>
                <w:rFonts w:ascii="Inter" w:hAnsi="Inter" w:eastAsia="Inter"/>
                <w:b/>
                <w:color w:val="FFFFFF"/>
                <w:sz w:val="17"/>
              </w:rPr>
              <w:t>Official URL</w:t>
            </w:r>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About B Corps</w:t>
            </w:r>
          </w:p>
        </w:tc>
        <w:tc>
          <w:tcPr>
            <w:tcW w:type="dxa" w:w="3384"/>
            <w:shd w:fill="FAFBF8"/>
            <w:tcMar>
              <w:top w:w="70" w:type="dxa"/>
              <w:start w:w="90" w:type="dxa"/>
              <w:bottom w:w="70" w:type="dxa"/>
              <w:end w:w="90" w:type="dxa"/>
            </w:tcMar>
            <w:vAlign w:val="top"/>
          </w:tcPr>
          <w:p>
            <w:r>
              <w:rPr>
                <w:rFonts w:ascii="Inter" w:hAnsi="Inter" w:eastAsia="Inter"/>
                <w:color w:val="222222"/>
                <w:sz w:val="16"/>
              </w:rPr>
              <w:t>Public identity and value proposition</w:t>
            </w:r>
          </w:p>
        </w:tc>
        <w:tc>
          <w:tcPr>
            <w:tcW w:type="dxa" w:w="3888"/>
            <w:shd w:fill="FAFBF8"/>
            <w:tcMar>
              <w:top w:w="70" w:type="dxa"/>
              <w:start w:w="90" w:type="dxa"/>
              <w:bottom w:w="70" w:type="dxa"/>
              <w:end w:w="90" w:type="dxa"/>
            </w:tcMar>
            <w:vAlign w:val="top"/>
          </w:tcPr>
          <w:p>
            <w:hyperlink r:id="rId24">
              <w:r>
                <w:rPr>
                  <w:rFonts w:ascii="Inter" w:hAnsi="Inter"/>
                  <w:color w:val="2C5F8A"/>
                  <w:u w:val="single"/>
                  <w:sz w:val="16"/>
                </w:rPr>
                <w:t>https://usca.bcorporation.net/about-b-corps/</w:t>
              </w:r>
            </w:hyperlink>
          </w:p>
        </w:tc>
      </w:tr>
      <w:tr>
        <w:trPr>
          <w:cantSplit/>
        </w:trPr>
        <w:tc>
          <w:tcPr>
            <w:tcW w:type="dxa" w:w="2232"/>
            <w:tcMar>
              <w:top w:w="70" w:type="dxa"/>
              <w:start w:w="90" w:type="dxa"/>
              <w:bottom w:w="70" w:type="dxa"/>
              <w:end w:w="90" w:type="dxa"/>
            </w:tcMar>
            <w:vAlign w:val="top"/>
          </w:tcPr>
          <w:p>
            <w:r>
              <w:rPr>
                <w:rFonts w:ascii="Inter" w:hAnsi="Inter" w:eastAsia="Inter"/>
                <w:b/>
                <w:color w:val="1F2A44"/>
                <w:sz w:val="16"/>
              </w:rPr>
              <w:t>Why certify?</w:t>
            </w:r>
          </w:p>
        </w:tc>
        <w:tc>
          <w:tcPr>
            <w:tcW w:type="dxa" w:w="3384"/>
            <w:tcMar>
              <w:top w:w="70" w:type="dxa"/>
              <w:start w:w="90" w:type="dxa"/>
              <w:bottom w:w="70" w:type="dxa"/>
              <w:end w:w="90" w:type="dxa"/>
            </w:tcMar>
            <w:vAlign w:val="top"/>
          </w:tcPr>
          <w:p>
            <w:r>
              <w:rPr>
                <w:rFonts w:ascii="Inter" w:hAnsi="Inter" w:eastAsia="Inter"/>
                <w:color w:val="222222"/>
                <w:sz w:val="16"/>
              </w:rPr>
              <w:t>Reasons to participate and trust signals</w:t>
            </w:r>
          </w:p>
        </w:tc>
        <w:tc>
          <w:tcPr>
            <w:tcW w:type="dxa" w:w="3888"/>
            <w:tcMar>
              <w:top w:w="70" w:type="dxa"/>
              <w:start w:w="90" w:type="dxa"/>
              <w:bottom w:w="70" w:type="dxa"/>
              <w:end w:w="90" w:type="dxa"/>
            </w:tcMar>
            <w:vAlign w:val="top"/>
          </w:tcPr>
          <w:p>
            <w:hyperlink r:id="rId25">
              <w:r>
                <w:rPr>
                  <w:rFonts w:ascii="Inter" w:hAnsi="Inter"/>
                  <w:color w:val="2C5F8A"/>
                  <w:u w:val="single"/>
                  <w:sz w:val="16"/>
                </w:rPr>
                <w:t>https://usca.bcorporation.net/why-certify/</w:t>
              </w:r>
            </w:hyperlink>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Process and requirements</w:t>
            </w:r>
          </w:p>
        </w:tc>
        <w:tc>
          <w:tcPr>
            <w:tcW w:type="dxa" w:w="3384"/>
            <w:shd w:fill="FAFBF8"/>
            <w:tcMar>
              <w:top w:w="70" w:type="dxa"/>
              <w:start w:w="90" w:type="dxa"/>
              <w:bottom w:w="70" w:type="dxa"/>
              <w:end w:w="90" w:type="dxa"/>
            </w:tcMar>
            <w:vAlign w:val="top"/>
          </w:tcPr>
          <w:p>
            <w:r>
              <w:rPr>
                <w:rFonts w:ascii="Inter" w:hAnsi="Inter" w:eastAsia="Inter"/>
                <w:color w:val="222222"/>
                <w:sz w:val="16"/>
              </w:rPr>
              <w:t>Participation stages, requirements, and fees</w:t>
            </w:r>
          </w:p>
        </w:tc>
        <w:tc>
          <w:tcPr>
            <w:tcW w:type="dxa" w:w="3888"/>
            <w:shd w:fill="FAFBF8"/>
            <w:tcMar>
              <w:top w:w="70" w:type="dxa"/>
              <w:start w:w="90" w:type="dxa"/>
              <w:bottom w:w="70" w:type="dxa"/>
              <w:end w:w="90" w:type="dxa"/>
            </w:tcMar>
            <w:vAlign w:val="top"/>
          </w:tcPr>
          <w:p>
            <w:hyperlink r:id="rId26">
              <w:r>
                <w:rPr>
                  <w:rFonts w:ascii="Inter" w:hAnsi="Inter"/>
                  <w:color w:val="2C5F8A"/>
                  <w:u w:val="single"/>
                  <w:sz w:val="16"/>
                </w:rPr>
                <w:t>https://usca.bcorporation.net/process-requirements-fees/</w:t>
              </w:r>
            </w:hyperlink>
          </w:p>
        </w:tc>
      </w:tr>
      <w:tr>
        <w:trPr>
          <w:cantSplit/>
        </w:trPr>
        <w:tc>
          <w:tcPr>
            <w:tcW w:type="dxa" w:w="2232"/>
            <w:tcMar>
              <w:top w:w="70" w:type="dxa"/>
              <w:start w:w="90" w:type="dxa"/>
              <w:bottom w:w="70" w:type="dxa"/>
              <w:end w:w="90" w:type="dxa"/>
            </w:tcMar>
            <w:vAlign w:val="top"/>
          </w:tcPr>
          <w:p>
            <w:r>
              <w:rPr>
                <w:rFonts w:ascii="Inter" w:hAnsi="Inter" w:eastAsia="Inter"/>
                <w:b/>
                <w:color w:val="1F2A44"/>
                <w:sz w:val="16"/>
              </w:rPr>
              <w:t>FAQ</w:t>
            </w:r>
          </w:p>
        </w:tc>
        <w:tc>
          <w:tcPr>
            <w:tcW w:type="dxa" w:w="3384"/>
            <w:tcMar>
              <w:top w:w="70" w:type="dxa"/>
              <w:start w:w="90" w:type="dxa"/>
              <w:bottom w:w="70" w:type="dxa"/>
              <w:end w:w="90" w:type="dxa"/>
            </w:tcMar>
            <w:vAlign w:val="top"/>
          </w:tcPr>
          <w:p>
            <w:r>
              <w:rPr>
                <w:rFonts w:ascii="Inter" w:hAnsi="Inter" w:eastAsia="Inter"/>
                <w:color w:val="222222"/>
                <w:sz w:val="16"/>
              </w:rPr>
              <w:t>Governance, disclosures, complaints, and process clarification</w:t>
            </w:r>
          </w:p>
        </w:tc>
        <w:tc>
          <w:tcPr>
            <w:tcW w:type="dxa" w:w="3888"/>
            <w:tcMar>
              <w:top w:w="70" w:type="dxa"/>
              <w:start w:w="90" w:type="dxa"/>
              <w:bottom w:w="70" w:type="dxa"/>
              <w:end w:w="90" w:type="dxa"/>
            </w:tcMar>
            <w:vAlign w:val="top"/>
          </w:tcPr>
          <w:p>
            <w:hyperlink r:id="rId27">
              <w:r>
                <w:rPr>
                  <w:rFonts w:ascii="Inter" w:hAnsi="Inter"/>
                  <w:color w:val="2C5F8A"/>
                  <w:u w:val="single"/>
                  <w:sz w:val="16"/>
                </w:rPr>
                <w:t>https://usca.bcorporation.net/faq/</w:t>
              </w:r>
            </w:hyperlink>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Who can certify?</w:t>
            </w:r>
          </w:p>
        </w:tc>
        <w:tc>
          <w:tcPr>
            <w:tcW w:type="dxa" w:w="3384"/>
            <w:shd w:fill="FAFBF8"/>
            <w:tcMar>
              <w:top w:w="70" w:type="dxa"/>
              <w:start w:w="90" w:type="dxa"/>
              <w:bottom w:w="70" w:type="dxa"/>
              <w:end w:w="90" w:type="dxa"/>
            </w:tcMar>
            <w:vAlign w:val="top"/>
          </w:tcPr>
          <w:p>
            <w:r>
              <w:rPr>
                <w:rFonts w:ascii="Inter" w:hAnsi="Inter" w:eastAsia="Inter"/>
                <w:color w:val="222222"/>
                <w:sz w:val="16"/>
              </w:rPr>
              <w:t>Eligibility boundaries</w:t>
            </w:r>
          </w:p>
        </w:tc>
        <w:tc>
          <w:tcPr>
            <w:tcW w:type="dxa" w:w="3888"/>
            <w:shd w:fill="FAFBF8"/>
            <w:tcMar>
              <w:top w:w="70" w:type="dxa"/>
              <w:start w:w="90" w:type="dxa"/>
              <w:bottom w:w="70" w:type="dxa"/>
              <w:end w:w="90" w:type="dxa"/>
            </w:tcMar>
            <w:vAlign w:val="top"/>
          </w:tcPr>
          <w:p>
            <w:hyperlink r:id="rId28">
              <w:r>
                <w:rPr>
                  <w:rFonts w:ascii="Inter" w:hAnsi="Inter"/>
                  <w:color w:val="2C5F8A"/>
                  <w:u w:val="single"/>
                  <w:sz w:val="16"/>
                </w:rPr>
                <w:t>https://usca.bcorporation.net/who-can-certify/</w:t>
              </w:r>
            </w:hyperlink>
          </w:p>
        </w:tc>
      </w:tr>
    </w:tbl>
    <w:p>
      <w:r>
        <w:br w:type="page"/>
      </w:r>
    </w:p>
    <w:p>
      <w:pPr>
        <w:spacing w:before="200" w:after="100"/>
        <w:keepNext/>
        <w:pBdr>
          <w:bottom w:val="single" w:sz="8" w:space="4" w:color="B88A33"/>
        </w:pBdr>
      </w:pPr>
      <w:r>
        <w:rPr>
          <w:rFonts w:ascii="Inter Display" w:hAnsi="Inter Display" w:eastAsia="Inter Display"/>
          <w:b/>
          <w:color w:val="1F2A44"/>
          <w:sz w:val="36"/>
        </w:rPr>
        <w:t>OpenDoorClimate</w:t>
      </w:r>
    </w:p>
    <w:p>
      <w:pPr>
        <w:spacing w:after="80"/>
        <w:keepNext/>
      </w:pPr>
      <w:r>
        <w:rPr>
          <w:rFonts w:ascii="Inter" w:hAnsi="Inter" w:eastAsia="Inter"/>
          <w:i/>
          <w:color w:val="5B6573"/>
          <w:sz w:val="18"/>
        </w:rPr>
        <w:t>A focused one-on-one model with minimal platform complexity</w:t>
      </w:r>
    </w:p>
    <w:p>
      <w:pPr>
        <w:spacing w:after="80" w:line="259" w:lineRule="auto"/>
      </w:pPr>
      <w:r>
        <w:rPr>
          <w:rFonts w:ascii="Inter" w:hAnsi="Inter" w:eastAsia="Inter"/>
          <w:color w:val="222222"/>
          <w:sz w:val="20"/>
        </w:rPr>
        <w:t>OpenDoorClimate is a narrow connection service for climate jobseekers and climate professionals. Its website explains a simple value exchange: jobseekers can request short informational conversations, while professionals can make themselves available through a public directory.</w:t>
      </w:r>
    </w:p>
    <w:p>
      <w:pPr>
        <w:spacing w:before="120" w:after="100"/>
        <w:keepNext/>
      </w:pPr>
      <w:r>
        <w:rPr>
          <w:rFonts w:ascii="Inter Display" w:hAnsi="Inter Display" w:eastAsia="Inter Display"/>
          <w:b/>
          <w:color w:val="496A4B"/>
          <w:sz w:val="27"/>
        </w:rPr>
        <w:t>Benchmark Matrix</w:t>
      </w:r>
    </w:p>
    <w:tbl>
      <w:tblPr>
        <w:tblW w:type="auto" w:w="0"/>
        <w:jc w:val="center"/>
        <w:tblLayout w:type="fixed"/>
        <w:tblLook w:firstColumn="1" w:firstRow="1" w:lastColumn="0" w:lastRow="0" w:noHBand="0" w:noVBand="1" w:val="04A0"/>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Pr>
      <w:tblGrid>
        <w:gridCol w:w="2088"/>
        <w:gridCol w:w="7416"/>
      </w:tblGrid>
      <w:tr>
        <w:trPr>
          <w:tblHeader w:val="true"/>
        </w:trPr>
        <w:tc>
          <w:tcPr>
            <w:tcW w:type="dxa" w:w="4997"/>
            <w:shd w:fill="1F2A44"/>
            <w:tcMar>
              <w:top w:w="90" w:type="dxa"/>
              <w:start w:w="100" w:type="dxa"/>
              <w:bottom w:w="90" w:type="dxa"/>
              <w:end w:w="100" w:type="dxa"/>
            </w:tcMar>
          </w:tcPr>
          <w:p>
            <w:pPr>
              <w:jc w:val="left"/>
            </w:pPr>
            <w:r>
              <w:rPr>
                <w:rFonts w:ascii="Inter" w:hAnsi="Inter" w:eastAsia="Inter"/>
                <w:b/>
                <w:color w:val="FFFFFF"/>
                <w:sz w:val="18"/>
              </w:rPr>
              <w:t>Research Area</w:t>
            </w:r>
          </w:p>
        </w:tc>
        <w:tc>
          <w:tcPr>
            <w:tcW w:type="dxa" w:w="4997"/>
            <w:shd w:fill="1F2A44"/>
            <w:tcMar>
              <w:top w:w="90" w:type="dxa"/>
              <w:start w:w="100" w:type="dxa"/>
              <w:bottom w:w="90" w:type="dxa"/>
              <w:end w:w="100" w:type="dxa"/>
            </w:tcMar>
          </w:tcPr>
          <w:p>
            <w:pPr>
              <w:jc w:val="left"/>
            </w:pPr>
            <w:r>
              <w:rPr>
                <w:rFonts w:ascii="Inter" w:hAnsi="Inter" w:eastAsia="Inter"/>
                <w:b/>
                <w:color w:val="FFFFFF"/>
                <w:sz w:val="18"/>
              </w:rPr>
              <w:t>Findings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Audience</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Two explicit groups: climate professionals willing to help and people seeking to enter climate careers.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Hero</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Presents human-to-human conversation as a practical way to make career networking more accessible.</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Navigation</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Minimal navigation focused on jobseekers, professionals, directory access, resources, and background information.</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Value proposition</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Short informational conversations that reduce the networking barrier for people entering climate work.</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Primary CTA</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Browse the directory, follow a jobseeker process, or volunteer as a professional.</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Participation layers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Public directory and instructions -&gt; direct outreach -&gt; optional use of external learning or community platforms.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Trust signals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Visible professional profiles and LinkedIn identities, clear instructions, and association with established climate communities.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One-on-one support</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The central offer is a bounded informational chat, commonly framed as approximately 15-30 minutes and arranged off-platform.</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Opportunities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Informational interviews, network expansion, and possible awareness of career opportunities.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Safeguards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Basic etiquette and time boundaries are visible, but public mediation, complaints, and participant-protection systems are limited.</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Community platform</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The core website acts as a router and directory. Deeper community engagement occurs through external partner platforms.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Strengths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Extreme clarity, low administrative overhead, and a direct explanation of who gives, who receives, and what the interaction includes.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Risks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Volunteer reliability, limited mediation, public-directory exposure, and dependence on third-party platforms create safeguarding risks.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Responsible application</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Future Liberation conversations should explain who they are for, what each person can expect, the approximate duration, appropriate topics, privacy boundaries, and how concerns are reported. A public directory is not required for the MVP.</w:t>
            </w:r>
          </w:p>
        </w:tc>
      </w:tr>
    </w:tbl>
    <w:p>
      <w:pPr>
        <w:spacing w:after="0"/>
      </w:pPr>
    </w:p>
    <w:p>
      <w:pPr>
        <w:spacing w:before="120" w:after="100"/>
        <w:keepNext/>
      </w:pPr>
      <w:r>
        <w:rPr>
          <w:rFonts w:ascii="Inter Display" w:hAnsi="Inter Display" w:eastAsia="Inter Display"/>
          <w:b/>
          <w:color w:val="496A4B"/>
          <w:sz w:val="27"/>
        </w:rPr>
        <w:t>Top Three Lessons</w:t>
      </w:r>
    </w:p>
    <w:p>
      <w:pPr>
        <w:spacing w:after="40"/>
        <w:ind w:left="432" w:hanging="346"/>
      </w:pPr>
      <w:r>
        <w:rPr>
          <w:rFonts w:ascii="Inter" w:hAnsi="Inter" w:eastAsia="Inter"/>
          <w:b/>
          <w:color w:val="1F2A44"/>
          <w:sz w:val="20"/>
        </w:rPr>
        <w:t>1.</w:t>
      </w:r>
      <w:r>
        <w:rPr>
          <w:rFonts w:ascii="Inter" w:hAnsi="Inter" w:eastAsia="Inter"/>
          <w:color w:val="222222"/>
          <w:sz w:val="20"/>
        </w:rPr>
        <w:t xml:space="preserve">  A narrow and clearly bounded one-on-one offer can be easier to understand than a broad promise of community support.</w:t>
      </w:r>
    </w:p>
    <w:p>
      <w:pPr>
        <w:spacing w:after="40"/>
        <w:ind w:left="432" w:hanging="346"/>
      </w:pPr>
      <w:r>
        <w:rPr>
          <w:rFonts w:ascii="Inter" w:hAnsi="Inter" w:eastAsia="Inter"/>
          <w:b/>
          <w:color w:val="1F2A44"/>
          <w:sz w:val="20"/>
        </w:rPr>
        <w:t>2.</w:t>
      </w:r>
      <w:r>
        <w:rPr>
          <w:rFonts w:ascii="Inter" w:hAnsi="Inter" w:eastAsia="Inter"/>
          <w:color w:val="222222"/>
          <w:sz w:val="20"/>
        </w:rPr>
        <w:t xml:space="preserve">  Templates, time expectations, and purpose statements reduce ambiguity and protect participant capacity.</w:t>
      </w:r>
    </w:p>
    <w:p>
      <w:pPr>
        <w:spacing w:after="40"/>
        <w:ind w:left="432" w:hanging="346"/>
      </w:pPr>
      <w:r>
        <w:rPr>
          <w:rFonts w:ascii="Inter" w:hAnsi="Inter" w:eastAsia="Inter"/>
          <w:b/>
          <w:color w:val="1F2A44"/>
          <w:sz w:val="20"/>
        </w:rPr>
        <w:t>3.</w:t>
      </w:r>
      <w:r>
        <w:rPr>
          <w:rFonts w:ascii="Inter" w:hAnsi="Inter" w:eastAsia="Inter"/>
          <w:color w:val="222222"/>
          <w:sz w:val="20"/>
        </w:rPr>
        <w:t xml:space="preserve">  Existing tools can support early connection models, but lightweight technology does not remove the need for safeguarding and accountability.</w:t>
      </w:r>
    </w:p>
    <w:p>
      <w:pPr>
        <w:spacing w:before="120" w:after="100"/>
        <w:keepNext/>
      </w:pPr>
      <w:r>
        <w:rPr>
          <w:rFonts w:ascii="Inter Display" w:hAnsi="Inter Display" w:eastAsia="Inter Display"/>
          <w:b/>
          <w:color w:val="496A4B"/>
          <w:sz w:val="27"/>
        </w:rPr>
        <w:t>Responsible Relevance to the Ecosystem</w:t>
      </w:r>
    </w:p>
    <w:p>
      <w:pPr>
        <w:spacing w:after="60"/>
      </w:pPr>
      <w:r>
        <w:rPr>
          <w:rFonts w:ascii="Inter" w:hAnsi="Inter" w:eastAsia="Inter"/>
          <w:b/>
          <w:color w:val="496A4B"/>
          <w:sz w:val="19"/>
        </w:rPr>
        <w:t xml:space="preserve">Liberation from Suffering Network: </w:t>
      </w:r>
      <w:r>
        <w:rPr>
          <w:rFonts w:ascii="Inter" w:hAnsi="Inter" w:eastAsia="Inter"/>
          <w:color w:val="222222"/>
          <w:sz w:val="19"/>
        </w:rPr>
        <w:t>Design one-on-one conversations as a defined step with boundaries, mutual expectations, and a small next action.</w:t>
      </w:r>
    </w:p>
    <w:p>
      <w:pPr>
        <w:spacing w:after="60"/>
      </w:pPr>
      <w:r>
        <w:rPr>
          <w:rFonts w:ascii="Inter" w:hAnsi="Inter" w:eastAsia="Inter"/>
          <w:b/>
          <w:color w:val="496A4B"/>
          <w:sz w:val="19"/>
        </w:rPr>
        <w:t xml:space="preserve">Shared Website: </w:t>
      </w:r>
      <w:r>
        <w:rPr>
          <w:rFonts w:ascii="Inter" w:hAnsi="Inter" w:eastAsia="Inter"/>
          <w:color w:val="222222"/>
          <w:sz w:val="19"/>
        </w:rPr>
        <w:t>Clearly separate those seeking support from those offering time or expertise.</w:t>
      </w:r>
    </w:p>
    <w:p>
      <w:pPr>
        <w:spacing w:after="60"/>
      </w:pPr>
      <w:r>
        <w:rPr>
          <w:rFonts w:ascii="Inter" w:hAnsi="Inter" w:eastAsia="Inter"/>
          <w:b/>
          <w:color w:val="496A4B"/>
          <w:sz w:val="19"/>
        </w:rPr>
        <w:t xml:space="preserve">Future Phase: </w:t>
      </w:r>
      <w:r>
        <w:rPr>
          <w:rFonts w:ascii="Inter" w:hAnsi="Inter" w:eastAsia="Inter"/>
          <w:color w:val="222222"/>
          <w:sz w:val="19"/>
        </w:rPr>
        <w:t>Directories or automated introductions should wait until vetting, consent, reporting, and moderation are defined.</w:t>
      </w:r>
    </w:p>
    <w:p>
      <w:pPr>
        <w:spacing w:before="120" w:after="100"/>
        <w:keepNext/>
      </w:pPr>
      <w:r>
        <w:rPr>
          <w:rFonts w:ascii="Inter Display" w:hAnsi="Inter Display" w:eastAsia="Inter Display"/>
          <w:b/>
          <w:color w:val="496A4B"/>
          <w:sz w:val="27"/>
        </w:rPr>
        <w:t>Key Official Pages Reviewed</w:t>
      </w:r>
    </w:p>
    <w:tbl>
      <w:tblPr>
        <w:tblW w:type="auto" w:w="0"/>
        <w:jc w:val="center"/>
        <w:tblLayout w:type="fixed"/>
        <w:tblLook w:firstColumn="1" w:firstRow="1" w:lastColumn="0" w:lastRow="0" w:noHBand="0" w:noVBand="1" w:val="04A0"/>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Pr>
      <w:tblGrid>
        <w:gridCol w:w="2232"/>
        <w:gridCol w:w="3384"/>
        <w:gridCol w:w="3888"/>
      </w:tblGrid>
      <w:tr>
        <w:trPr>
          <w:tblHeader w:val="true"/>
        </w:trPr>
        <w:tc>
          <w:tcPr>
            <w:tcW w:type="dxa" w:w="3331"/>
            <w:shd w:fill="496A4B"/>
            <w:tcMar>
              <w:top w:w="80" w:type="dxa"/>
              <w:start w:w="90" w:type="dxa"/>
              <w:bottom w:w="80" w:type="dxa"/>
              <w:end w:w="90" w:type="dxa"/>
            </w:tcMar>
          </w:tcPr>
          <w:p>
            <w:r>
              <w:rPr>
                <w:rFonts w:ascii="Inter" w:hAnsi="Inter" w:eastAsia="Inter"/>
                <w:b/>
                <w:color w:val="FFFFFF"/>
                <w:sz w:val="17"/>
              </w:rPr>
              <w:t>Page</w:t>
            </w:r>
          </w:p>
        </w:tc>
        <w:tc>
          <w:tcPr>
            <w:tcW w:type="dxa" w:w="3331"/>
            <w:shd w:fill="496A4B"/>
            <w:tcMar>
              <w:top w:w="80" w:type="dxa"/>
              <w:start w:w="90" w:type="dxa"/>
              <w:bottom w:w="80" w:type="dxa"/>
              <w:end w:w="90" w:type="dxa"/>
            </w:tcMar>
          </w:tcPr>
          <w:p>
            <w:r>
              <w:rPr>
                <w:rFonts w:ascii="Inter" w:hAnsi="Inter" w:eastAsia="Inter"/>
                <w:b/>
                <w:color w:val="FFFFFF"/>
                <w:sz w:val="17"/>
              </w:rPr>
              <w:t>Purpose</w:t>
            </w:r>
          </w:p>
        </w:tc>
        <w:tc>
          <w:tcPr>
            <w:tcW w:type="dxa" w:w="3331"/>
            <w:shd w:fill="496A4B"/>
            <w:tcMar>
              <w:top w:w="80" w:type="dxa"/>
              <w:start w:w="90" w:type="dxa"/>
              <w:bottom w:w="80" w:type="dxa"/>
              <w:end w:w="90" w:type="dxa"/>
            </w:tcMar>
          </w:tcPr>
          <w:p>
            <w:r>
              <w:rPr>
                <w:rFonts w:ascii="Inter" w:hAnsi="Inter" w:eastAsia="Inter"/>
                <w:b/>
                <w:color w:val="FFFFFF"/>
                <w:sz w:val="17"/>
              </w:rPr>
              <w:t>Official URL</w:t>
            </w:r>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Homepage</w:t>
            </w:r>
          </w:p>
        </w:tc>
        <w:tc>
          <w:tcPr>
            <w:tcW w:type="dxa" w:w="3384"/>
            <w:shd w:fill="FAFBF8"/>
            <w:tcMar>
              <w:top w:w="70" w:type="dxa"/>
              <w:start w:w="90" w:type="dxa"/>
              <w:bottom w:w="70" w:type="dxa"/>
              <w:end w:w="90" w:type="dxa"/>
            </w:tcMar>
            <w:vAlign w:val="top"/>
          </w:tcPr>
          <w:p>
            <w:r>
              <w:rPr>
                <w:rFonts w:ascii="Inter" w:hAnsi="Inter" w:eastAsia="Inter"/>
                <w:color w:val="222222"/>
                <w:sz w:val="16"/>
              </w:rPr>
              <w:t>Core promise and dual audience</w:t>
            </w:r>
          </w:p>
        </w:tc>
        <w:tc>
          <w:tcPr>
            <w:tcW w:type="dxa" w:w="3888"/>
            <w:shd w:fill="FAFBF8"/>
            <w:tcMar>
              <w:top w:w="70" w:type="dxa"/>
              <w:start w:w="90" w:type="dxa"/>
              <w:bottom w:w="70" w:type="dxa"/>
              <w:end w:w="90" w:type="dxa"/>
            </w:tcMar>
            <w:vAlign w:val="top"/>
          </w:tcPr>
          <w:p>
            <w:hyperlink r:id="rId29">
              <w:r>
                <w:rPr>
                  <w:rFonts w:ascii="Inter" w:hAnsi="Inter"/>
                  <w:color w:val="2C5F8A"/>
                  <w:u w:val="single"/>
                  <w:sz w:val="16"/>
                </w:rPr>
                <w:t>https://www.opendoorclimate.com/</w:t>
              </w:r>
            </w:hyperlink>
          </w:p>
        </w:tc>
      </w:tr>
      <w:tr>
        <w:trPr>
          <w:cantSplit/>
        </w:trPr>
        <w:tc>
          <w:tcPr>
            <w:tcW w:type="dxa" w:w="2232"/>
            <w:tcMar>
              <w:top w:w="70" w:type="dxa"/>
              <w:start w:w="90" w:type="dxa"/>
              <w:bottom w:w="70" w:type="dxa"/>
              <w:end w:w="90" w:type="dxa"/>
            </w:tcMar>
            <w:vAlign w:val="top"/>
          </w:tcPr>
          <w:p>
            <w:r>
              <w:rPr>
                <w:rFonts w:ascii="Inter" w:hAnsi="Inter" w:eastAsia="Inter"/>
                <w:b/>
                <w:color w:val="1F2A44"/>
                <w:sz w:val="16"/>
              </w:rPr>
              <w:t>Jobseeker</w:t>
            </w:r>
          </w:p>
        </w:tc>
        <w:tc>
          <w:tcPr>
            <w:tcW w:type="dxa" w:w="3384"/>
            <w:tcMar>
              <w:top w:w="70" w:type="dxa"/>
              <w:start w:w="90" w:type="dxa"/>
              <w:bottom w:w="70" w:type="dxa"/>
              <w:end w:w="90" w:type="dxa"/>
            </w:tcMar>
            <w:vAlign w:val="top"/>
          </w:tcPr>
          <w:p>
            <w:r>
              <w:rPr>
                <w:rFonts w:ascii="Inter" w:hAnsi="Inter" w:eastAsia="Inter"/>
                <w:color w:val="222222"/>
                <w:sz w:val="16"/>
              </w:rPr>
              <w:t>Instructions, templates, and conversation expectations</w:t>
            </w:r>
          </w:p>
        </w:tc>
        <w:tc>
          <w:tcPr>
            <w:tcW w:type="dxa" w:w="3888"/>
            <w:tcMar>
              <w:top w:w="70" w:type="dxa"/>
              <w:start w:w="90" w:type="dxa"/>
              <w:bottom w:w="70" w:type="dxa"/>
              <w:end w:w="90" w:type="dxa"/>
            </w:tcMar>
            <w:vAlign w:val="top"/>
          </w:tcPr>
          <w:p>
            <w:hyperlink r:id="rId30">
              <w:r>
                <w:rPr>
                  <w:rFonts w:ascii="Inter" w:hAnsi="Inter"/>
                  <w:color w:val="2C5F8A"/>
                  <w:u w:val="single"/>
                  <w:sz w:val="16"/>
                </w:rPr>
                <w:t>https://www.opendoorclimate.com/jobseeker</w:t>
              </w:r>
            </w:hyperlink>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Directory</w:t>
            </w:r>
          </w:p>
        </w:tc>
        <w:tc>
          <w:tcPr>
            <w:tcW w:type="dxa" w:w="3384"/>
            <w:shd w:fill="FAFBF8"/>
            <w:tcMar>
              <w:top w:w="70" w:type="dxa"/>
              <w:start w:w="90" w:type="dxa"/>
              <w:bottom w:w="70" w:type="dxa"/>
              <w:end w:w="90" w:type="dxa"/>
            </w:tcMar>
            <w:vAlign w:val="top"/>
          </w:tcPr>
          <w:p>
            <w:r>
              <w:rPr>
                <w:rFonts w:ascii="Inter" w:hAnsi="Inter" w:eastAsia="Inter"/>
                <w:color w:val="222222"/>
                <w:sz w:val="16"/>
              </w:rPr>
              <w:t>Public professional directory and connection model</w:t>
            </w:r>
          </w:p>
        </w:tc>
        <w:tc>
          <w:tcPr>
            <w:tcW w:type="dxa" w:w="3888"/>
            <w:shd w:fill="FAFBF8"/>
            <w:tcMar>
              <w:top w:w="70" w:type="dxa"/>
              <w:start w:w="90" w:type="dxa"/>
              <w:bottom w:w="70" w:type="dxa"/>
              <w:end w:w="90" w:type="dxa"/>
            </w:tcMar>
            <w:vAlign w:val="top"/>
          </w:tcPr>
          <w:p>
            <w:hyperlink r:id="rId31">
              <w:r>
                <w:rPr>
                  <w:rFonts w:ascii="Inter" w:hAnsi="Inter"/>
                  <w:color w:val="2C5F8A"/>
                  <w:u w:val="single"/>
                  <w:sz w:val="16"/>
                </w:rPr>
                <w:t>https://www.opendoorclimate.com/directory</w:t>
              </w:r>
            </w:hyperlink>
          </w:p>
        </w:tc>
      </w:tr>
      <w:tr>
        <w:trPr>
          <w:cantSplit/>
        </w:trPr>
        <w:tc>
          <w:tcPr>
            <w:tcW w:type="dxa" w:w="2232"/>
            <w:tcMar>
              <w:top w:w="70" w:type="dxa"/>
              <w:start w:w="90" w:type="dxa"/>
              <w:bottom w:w="70" w:type="dxa"/>
              <w:end w:w="90" w:type="dxa"/>
            </w:tcMar>
            <w:vAlign w:val="top"/>
          </w:tcPr>
          <w:p>
            <w:r>
              <w:rPr>
                <w:rFonts w:ascii="Inter" w:hAnsi="Inter" w:eastAsia="Inter"/>
                <w:b/>
                <w:color w:val="1F2A44"/>
                <w:sz w:val="16"/>
              </w:rPr>
              <w:t>Climate Hive jobseeker resources</w:t>
            </w:r>
          </w:p>
        </w:tc>
        <w:tc>
          <w:tcPr>
            <w:tcW w:type="dxa" w:w="3384"/>
            <w:tcMar>
              <w:top w:w="70" w:type="dxa"/>
              <w:start w:w="90" w:type="dxa"/>
              <w:bottom w:w="70" w:type="dxa"/>
              <w:end w:w="90" w:type="dxa"/>
            </w:tcMar>
            <w:vAlign w:val="top"/>
          </w:tcPr>
          <w:p>
            <w:r>
              <w:rPr>
                <w:rFonts w:ascii="Inter" w:hAnsi="Inter" w:eastAsia="Inter"/>
                <w:color w:val="222222"/>
                <w:sz w:val="16"/>
              </w:rPr>
              <w:t>External resource and community routing</w:t>
            </w:r>
          </w:p>
        </w:tc>
        <w:tc>
          <w:tcPr>
            <w:tcW w:type="dxa" w:w="3888"/>
            <w:tcMar>
              <w:top w:w="70" w:type="dxa"/>
              <w:start w:w="90" w:type="dxa"/>
              <w:bottom w:w="70" w:type="dxa"/>
              <w:end w:w="90" w:type="dxa"/>
            </w:tcMar>
            <w:vAlign w:val="top"/>
          </w:tcPr>
          <w:p>
            <w:hyperlink r:id="rId32">
              <w:r>
                <w:rPr>
                  <w:rFonts w:ascii="Inter" w:hAnsi="Inter"/>
                  <w:color w:val="2C5F8A"/>
                  <w:u w:val="single"/>
                  <w:sz w:val="16"/>
                </w:rPr>
                <w:t>https://www.climate-hive.com/jobseeker-resources</w:t>
              </w:r>
            </w:hyperlink>
          </w:p>
        </w:tc>
      </w:tr>
    </w:tbl>
    <w:p>
      <w:r>
        <w:br w:type="page"/>
      </w:r>
    </w:p>
    <w:p>
      <w:pPr>
        <w:spacing w:before="200" w:after="100"/>
        <w:keepNext/>
        <w:pBdr>
          <w:bottom w:val="single" w:sz="8" w:space="4" w:color="B88A33"/>
        </w:pBdr>
      </w:pPr>
      <w:r>
        <w:rPr>
          <w:rFonts w:ascii="Inter Display" w:hAnsi="Inter Display" w:eastAsia="Inter Display"/>
          <w:b/>
          <w:color w:val="1F2A44"/>
          <w:sz w:val="36"/>
        </w:rPr>
        <w:t>Animal Advocacy Careers</w:t>
      </w:r>
    </w:p>
    <w:p>
      <w:pPr>
        <w:spacing w:after="80"/>
        <w:keepNext/>
      </w:pPr>
      <w:r>
        <w:rPr>
          <w:rFonts w:ascii="Inter" w:hAnsi="Inter" w:eastAsia="Inter"/>
          <w:i/>
          <w:color w:val="5B6573"/>
          <w:sz w:val="18"/>
        </w:rPr>
        <w:t>Mission alignment, career support, skill development, organizational capacity, and roles</w:t>
      </w:r>
    </w:p>
    <w:p>
      <w:pPr>
        <w:spacing w:after="80" w:line="259" w:lineRule="auto"/>
      </w:pPr>
      <w:r>
        <w:rPr>
          <w:rFonts w:ascii="Inter" w:hAnsi="Inter" w:eastAsia="Inter"/>
          <w:color w:val="222222"/>
          <w:sz w:val="20"/>
        </w:rPr>
        <w:t>Animal Advocacy Careers connects individual career development with the talent needs of animal advocacy organizations. Its public site combines educational material, career support, opportunities, and impact reporting. Some benchmark evidence is historical and should be rechecked before public use.</w:t>
      </w:r>
    </w:p>
    <w:p>
      <w:pPr>
        <w:spacing w:before="120" w:after="100"/>
        <w:keepNext/>
      </w:pPr>
      <w:r>
        <w:rPr>
          <w:rFonts w:ascii="Inter Display" w:hAnsi="Inter Display" w:eastAsia="Inter Display"/>
          <w:b/>
          <w:color w:val="496A4B"/>
          <w:sz w:val="27"/>
        </w:rPr>
        <w:t>Benchmark Matrix</w:t>
      </w:r>
    </w:p>
    <w:tbl>
      <w:tblPr>
        <w:tblW w:type="auto" w:w="0"/>
        <w:jc w:val="center"/>
        <w:tblLayout w:type="fixed"/>
        <w:tblLook w:firstColumn="1" w:firstRow="1" w:lastColumn="0" w:lastRow="0" w:noHBand="0" w:noVBand="1" w:val="04A0"/>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Pr>
      <w:tblGrid>
        <w:gridCol w:w="2088"/>
        <w:gridCol w:w="7416"/>
      </w:tblGrid>
      <w:tr>
        <w:trPr>
          <w:tblHeader w:val="true"/>
        </w:trPr>
        <w:tc>
          <w:tcPr>
            <w:tcW w:type="dxa" w:w="4997"/>
            <w:shd w:fill="1F2A44"/>
            <w:tcMar>
              <w:top w:w="90" w:type="dxa"/>
              <w:start w:w="100" w:type="dxa"/>
              <w:bottom w:w="90" w:type="dxa"/>
              <w:end w:w="100" w:type="dxa"/>
            </w:tcMar>
          </w:tcPr>
          <w:p>
            <w:pPr>
              <w:jc w:val="left"/>
            </w:pPr>
            <w:r>
              <w:rPr>
                <w:rFonts w:ascii="Inter" w:hAnsi="Inter" w:eastAsia="Inter"/>
                <w:b/>
                <w:color w:val="FFFFFF"/>
                <w:sz w:val="18"/>
              </w:rPr>
              <w:t>Research Area</w:t>
            </w:r>
          </w:p>
        </w:tc>
        <w:tc>
          <w:tcPr>
            <w:tcW w:type="dxa" w:w="4997"/>
            <w:shd w:fill="1F2A44"/>
            <w:tcMar>
              <w:top w:w="90" w:type="dxa"/>
              <w:start w:w="100" w:type="dxa"/>
              <w:bottom w:w="90" w:type="dxa"/>
              <w:end w:w="100" w:type="dxa"/>
            </w:tcMar>
          </w:tcPr>
          <w:p>
            <w:pPr>
              <w:jc w:val="left"/>
            </w:pPr>
            <w:r>
              <w:rPr>
                <w:rFonts w:ascii="Inter" w:hAnsi="Inter" w:eastAsia="Inter"/>
                <w:b/>
                <w:color w:val="FFFFFF"/>
                <w:sz w:val="18"/>
              </w:rPr>
              <w:t>Findings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Audience</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People exploring or transitioning into animal advocacy careers and organizations seeking stronger talent or capacity.</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Hero</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Communicates a dual-sided purpose: helping people build impactful careers while strengthening the movement with talent and support.</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Navigation</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Common pathways include online learning, career support, job opportunities, giving, impact, and organizational background.</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Value proposition</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Individuals can build relevant knowledge and career plans; organizations can benefit from stronger hiring, placements, or capability development.</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Primary CTA</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Start with educational material, explore advising, or review opportunities.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Participation layers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Public resources or course -&gt; career support -&gt; skilled volunteering or placement -&gt; longer-term role. Some stages are evidenced in historical reports and may have changed.</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Trust signals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Impact reports, cost-effectiveness explanations, partner feedback, and metrics tied to placements or organizational capacity.</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One-on-one support</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Structured career coaching or advising, generally linked to mission fit and a practical job-search or transition plan.</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Opportunities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Job board, skilled volunteering, placements, and organization-facing talent support. Current availability should be rechecked.</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Safeguards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Safeguarding and conduct information were not especially prominent in the research output; this absence should not be interpreted as proof that no internal policy exists.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Community platform</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The report references private professional community channels; current access and function should be verified before using this as a design precedent.</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Strengths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Connects mission and identity to concrete skill development, roles, and measurable organizational value.</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Risks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Donor, jobseeker, and organization-facing messages can compete. Historical impact evidence may be mistaken for current operating detail.</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Responsible application</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Give builders a clear pathway from learning or interest to scoped opportunities and proof of work. Do not require a course or promise placement unless the team has approved and can operate that model.</w:t>
            </w:r>
          </w:p>
        </w:tc>
      </w:tr>
    </w:tbl>
    <w:p>
      <w:pPr>
        <w:spacing w:after="0"/>
      </w:pPr>
    </w:p>
    <w:p>
      <w:pPr>
        <w:spacing w:before="120" w:after="100"/>
        <w:keepNext/>
      </w:pPr>
      <w:r>
        <w:rPr>
          <w:rFonts w:ascii="Inter Display" w:hAnsi="Inter Display" w:eastAsia="Inter Display"/>
          <w:b/>
          <w:color w:val="496A4B"/>
          <w:sz w:val="27"/>
        </w:rPr>
        <w:t>Top Three Lessons</w:t>
      </w:r>
    </w:p>
    <w:p>
      <w:pPr>
        <w:spacing w:after="40"/>
        <w:ind w:left="432" w:hanging="346"/>
      </w:pPr>
      <w:r>
        <w:rPr>
          <w:rFonts w:ascii="Inter" w:hAnsi="Inter" w:eastAsia="Inter"/>
          <w:b/>
          <w:color w:val="1F2A44"/>
          <w:sz w:val="20"/>
        </w:rPr>
        <w:t>1.</w:t>
      </w:r>
      <w:r>
        <w:rPr>
          <w:rFonts w:ascii="Inter" w:hAnsi="Inter" w:eastAsia="Inter"/>
          <w:color w:val="222222"/>
          <w:sz w:val="20"/>
        </w:rPr>
        <w:t xml:space="preserve">  A dual-sided website can explain value to both contributors and organizations when each receives a distinct pathway.</w:t>
      </w:r>
    </w:p>
    <w:p>
      <w:pPr>
        <w:spacing w:after="40"/>
        <w:ind w:left="432" w:hanging="346"/>
      </w:pPr>
      <w:r>
        <w:rPr>
          <w:rFonts w:ascii="Inter" w:hAnsi="Inter" w:eastAsia="Inter"/>
          <w:b/>
          <w:color w:val="1F2A44"/>
          <w:sz w:val="20"/>
        </w:rPr>
        <w:t>2.</w:t>
      </w:r>
      <w:r>
        <w:rPr>
          <w:rFonts w:ascii="Inter" w:hAnsi="Inter" w:eastAsia="Inter"/>
          <w:color w:val="222222"/>
          <w:sz w:val="20"/>
        </w:rPr>
        <w:t xml:space="preserve">  Intermediate experiences, such as scoped projects or skills practice, can bridge the gap between interest and long-term work.</w:t>
      </w:r>
    </w:p>
    <w:p>
      <w:pPr>
        <w:spacing w:after="40"/>
        <w:ind w:left="432" w:hanging="346"/>
      </w:pPr>
      <w:r>
        <w:rPr>
          <w:rFonts w:ascii="Inter" w:hAnsi="Inter" w:eastAsia="Inter"/>
          <w:b/>
          <w:color w:val="1F2A44"/>
          <w:sz w:val="20"/>
        </w:rPr>
        <w:t>3.</w:t>
      </w:r>
      <w:r>
        <w:rPr>
          <w:rFonts w:ascii="Inter" w:hAnsi="Inter" w:eastAsia="Inter"/>
          <w:color w:val="222222"/>
          <w:sz w:val="20"/>
        </w:rPr>
        <w:t xml:space="preserve">  Capacity-building claims become more credible when outcomes are measured, but metrics must match current data quality and operational reality.</w:t>
      </w:r>
    </w:p>
    <w:p>
      <w:pPr>
        <w:spacing w:before="120" w:after="100"/>
        <w:keepNext/>
      </w:pPr>
      <w:r>
        <w:rPr>
          <w:rFonts w:ascii="Inter Display" w:hAnsi="Inter Display" w:eastAsia="Inter Display"/>
          <w:b/>
          <w:color w:val="496A4B"/>
          <w:sz w:val="27"/>
        </w:rPr>
        <w:t>Responsible Relevance to the Ecosystem</w:t>
      </w:r>
    </w:p>
    <w:p>
      <w:pPr>
        <w:spacing w:after="60"/>
      </w:pPr>
      <w:r>
        <w:rPr>
          <w:rFonts w:ascii="Inter" w:hAnsi="Inter" w:eastAsia="Inter"/>
          <w:b/>
          <w:color w:val="496A4B"/>
          <w:sz w:val="19"/>
        </w:rPr>
        <w:t xml:space="preserve">DoGoodie: </w:t>
      </w:r>
      <w:r>
        <w:rPr>
          <w:rFonts w:ascii="Inter" w:hAnsi="Inter" w:eastAsia="Inter"/>
          <w:color w:val="222222"/>
          <w:sz w:val="19"/>
        </w:rPr>
        <w:t>Clarify builder expectations, scoped project formats, proof of work, and organization-facing value.</w:t>
      </w:r>
    </w:p>
    <w:p>
      <w:pPr>
        <w:spacing w:after="60"/>
      </w:pPr>
      <w:r>
        <w:rPr>
          <w:rFonts w:ascii="Inter" w:hAnsi="Inter" w:eastAsia="Inter"/>
          <w:b/>
          <w:color w:val="496A4B"/>
          <w:sz w:val="19"/>
        </w:rPr>
        <w:t xml:space="preserve">Liberation from Suffering Network: </w:t>
      </w:r>
      <w:r>
        <w:rPr>
          <w:rFonts w:ascii="Inter" w:hAnsi="Inter" w:eastAsia="Inter"/>
          <w:color w:val="222222"/>
          <w:sz w:val="19"/>
        </w:rPr>
        <w:t>Treat economic support and introductions as possible outcomes, not guaranteed benefits.</w:t>
      </w:r>
    </w:p>
    <w:p>
      <w:pPr>
        <w:spacing w:after="60"/>
      </w:pPr>
      <w:r>
        <w:rPr>
          <w:rFonts w:ascii="Inter" w:hAnsi="Inter" w:eastAsia="Inter"/>
          <w:b/>
          <w:color w:val="496A4B"/>
          <w:sz w:val="19"/>
        </w:rPr>
        <w:t xml:space="preserve">Shared Website / Start Here: </w:t>
      </w:r>
      <w:r>
        <w:rPr>
          <w:rFonts w:ascii="Inter" w:hAnsi="Inter" w:eastAsia="Inter"/>
          <w:color w:val="222222"/>
          <w:sz w:val="19"/>
        </w:rPr>
        <w:t>Route organizations and potential builders separately from the first interaction.</w:t>
      </w:r>
    </w:p>
    <w:p>
      <w:pPr>
        <w:spacing w:before="120" w:after="100"/>
        <w:keepNext/>
      </w:pPr>
      <w:r>
        <w:rPr>
          <w:rFonts w:ascii="Inter Display" w:hAnsi="Inter Display" w:eastAsia="Inter Display"/>
          <w:b/>
          <w:color w:val="496A4B"/>
          <w:sz w:val="27"/>
        </w:rPr>
        <w:t>Key Official Pages Reviewed</w:t>
      </w:r>
    </w:p>
    <w:tbl>
      <w:tblPr>
        <w:tblW w:type="auto" w:w="0"/>
        <w:jc w:val="center"/>
        <w:tblLayout w:type="fixed"/>
        <w:tblLook w:firstColumn="1" w:firstRow="1" w:lastColumn="0" w:lastRow="0" w:noHBand="0" w:noVBand="1" w:val="04A0"/>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Pr>
      <w:tblGrid>
        <w:gridCol w:w="2232"/>
        <w:gridCol w:w="3384"/>
        <w:gridCol w:w="3888"/>
      </w:tblGrid>
      <w:tr>
        <w:trPr>
          <w:tblHeader w:val="true"/>
        </w:trPr>
        <w:tc>
          <w:tcPr>
            <w:tcW w:type="dxa" w:w="3331"/>
            <w:shd w:fill="496A4B"/>
            <w:tcMar>
              <w:top w:w="80" w:type="dxa"/>
              <w:start w:w="90" w:type="dxa"/>
              <w:bottom w:w="80" w:type="dxa"/>
              <w:end w:w="90" w:type="dxa"/>
            </w:tcMar>
          </w:tcPr>
          <w:p>
            <w:r>
              <w:rPr>
                <w:rFonts w:ascii="Inter" w:hAnsi="Inter" w:eastAsia="Inter"/>
                <w:b/>
                <w:color w:val="FFFFFF"/>
                <w:sz w:val="17"/>
              </w:rPr>
              <w:t>Page</w:t>
            </w:r>
          </w:p>
        </w:tc>
        <w:tc>
          <w:tcPr>
            <w:tcW w:type="dxa" w:w="3331"/>
            <w:shd w:fill="496A4B"/>
            <w:tcMar>
              <w:top w:w="80" w:type="dxa"/>
              <w:start w:w="90" w:type="dxa"/>
              <w:bottom w:w="80" w:type="dxa"/>
              <w:end w:w="90" w:type="dxa"/>
            </w:tcMar>
          </w:tcPr>
          <w:p>
            <w:r>
              <w:rPr>
                <w:rFonts w:ascii="Inter" w:hAnsi="Inter" w:eastAsia="Inter"/>
                <w:b/>
                <w:color w:val="FFFFFF"/>
                <w:sz w:val="17"/>
              </w:rPr>
              <w:t>Purpose</w:t>
            </w:r>
          </w:p>
        </w:tc>
        <w:tc>
          <w:tcPr>
            <w:tcW w:type="dxa" w:w="3331"/>
            <w:shd w:fill="496A4B"/>
            <w:tcMar>
              <w:top w:w="80" w:type="dxa"/>
              <w:start w:w="90" w:type="dxa"/>
              <w:bottom w:w="80" w:type="dxa"/>
              <w:end w:w="90" w:type="dxa"/>
            </w:tcMar>
          </w:tcPr>
          <w:p>
            <w:r>
              <w:rPr>
                <w:rFonts w:ascii="Inter" w:hAnsi="Inter" w:eastAsia="Inter"/>
                <w:b/>
                <w:color w:val="FFFFFF"/>
                <w:sz w:val="17"/>
              </w:rPr>
              <w:t>Official URL</w:t>
            </w:r>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Homepage</w:t>
            </w:r>
          </w:p>
        </w:tc>
        <w:tc>
          <w:tcPr>
            <w:tcW w:type="dxa" w:w="3384"/>
            <w:shd w:fill="FAFBF8"/>
            <w:tcMar>
              <w:top w:w="70" w:type="dxa"/>
              <w:start w:w="90" w:type="dxa"/>
              <w:bottom w:w="70" w:type="dxa"/>
              <w:end w:w="90" w:type="dxa"/>
            </w:tcMar>
            <w:vAlign w:val="top"/>
          </w:tcPr>
          <w:p>
            <w:r>
              <w:rPr>
                <w:rFonts w:ascii="Inter" w:hAnsi="Inter" w:eastAsia="Inter"/>
                <w:color w:val="222222"/>
                <w:sz w:val="16"/>
              </w:rPr>
              <w:t>Mission, audience, and primary pathways</w:t>
            </w:r>
          </w:p>
        </w:tc>
        <w:tc>
          <w:tcPr>
            <w:tcW w:type="dxa" w:w="3888"/>
            <w:shd w:fill="FAFBF8"/>
            <w:tcMar>
              <w:top w:w="70" w:type="dxa"/>
              <w:start w:w="90" w:type="dxa"/>
              <w:bottom w:w="70" w:type="dxa"/>
              <w:end w:w="90" w:type="dxa"/>
            </w:tcMar>
            <w:vAlign w:val="top"/>
          </w:tcPr>
          <w:p>
            <w:hyperlink r:id="rId33">
              <w:r>
                <w:rPr>
                  <w:rFonts w:ascii="Inter" w:hAnsi="Inter"/>
                  <w:color w:val="2C5F8A"/>
                  <w:u w:val="single"/>
                  <w:sz w:val="16"/>
                </w:rPr>
                <w:t>https://animaladvocacycareers.org/</w:t>
              </w:r>
            </w:hyperlink>
          </w:p>
        </w:tc>
      </w:tr>
      <w:tr>
        <w:trPr>
          <w:cantSplit/>
        </w:trPr>
        <w:tc>
          <w:tcPr>
            <w:tcW w:type="dxa" w:w="2232"/>
            <w:tcMar>
              <w:top w:w="70" w:type="dxa"/>
              <w:start w:w="90" w:type="dxa"/>
              <w:bottom w:w="70" w:type="dxa"/>
              <w:end w:w="90" w:type="dxa"/>
            </w:tcMar>
            <w:vAlign w:val="top"/>
          </w:tcPr>
          <w:p>
            <w:r>
              <w:rPr>
                <w:rFonts w:ascii="Inter" w:hAnsi="Inter" w:eastAsia="Inter"/>
                <w:b/>
                <w:color w:val="1F2A44"/>
                <w:sz w:val="16"/>
              </w:rPr>
              <w:t>Career coaching</w:t>
            </w:r>
          </w:p>
        </w:tc>
        <w:tc>
          <w:tcPr>
            <w:tcW w:type="dxa" w:w="3384"/>
            <w:tcMar>
              <w:top w:w="70" w:type="dxa"/>
              <w:start w:w="90" w:type="dxa"/>
              <w:bottom w:w="70" w:type="dxa"/>
              <w:end w:w="90" w:type="dxa"/>
            </w:tcMar>
            <w:vAlign w:val="top"/>
          </w:tcPr>
          <w:p>
            <w:r>
              <w:rPr>
                <w:rFonts w:ascii="Inter" w:hAnsi="Inter" w:eastAsia="Inter"/>
                <w:color w:val="222222"/>
                <w:sz w:val="16"/>
              </w:rPr>
              <w:t>Personalized career-support structure</w:t>
            </w:r>
          </w:p>
        </w:tc>
        <w:tc>
          <w:tcPr>
            <w:tcW w:type="dxa" w:w="3888"/>
            <w:tcMar>
              <w:top w:w="70" w:type="dxa"/>
              <w:start w:w="90" w:type="dxa"/>
              <w:bottom w:w="70" w:type="dxa"/>
              <w:end w:w="90" w:type="dxa"/>
            </w:tcMar>
            <w:vAlign w:val="top"/>
          </w:tcPr>
          <w:p>
            <w:hyperlink r:id="rId34">
              <w:r>
                <w:rPr>
                  <w:rFonts w:ascii="Inter" w:hAnsi="Inter"/>
                  <w:color w:val="2C5F8A"/>
                  <w:u w:val="single"/>
                  <w:sz w:val="16"/>
                </w:rPr>
                <w:t>https://animaladvocacycareers.org/career-coaching/</w:t>
              </w:r>
            </w:hyperlink>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Our impact</w:t>
            </w:r>
          </w:p>
        </w:tc>
        <w:tc>
          <w:tcPr>
            <w:tcW w:type="dxa" w:w="3384"/>
            <w:shd w:fill="FAFBF8"/>
            <w:tcMar>
              <w:top w:w="70" w:type="dxa"/>
              <w:start w:w="90" w:type="dxa"/>
              <w:bottom w:w="70" w:type="dxa"/>
              <w:end w:w="90" w:type="dxa"/>
            </w:tcMar>
            <w:vAlign w:val="top"/>
          </w:tcPr>
          <w:p>
            <w:r>
              <w:rPr>
                <w:rFonts w:ascii="Inter" w:hAnsi="Inter" w:eastAsia="Inter"/>
                <w:color w:val="222222"/>
                <w:sz w:val="16"/>
              </w:rPr>
              <w:t>Current public impact framing</w:t>
            </w:r>
          </w:p>
        </w:tc>
        <w:tc>
          <w:tcPr>
            <w:tcW w:type="dxa" w:w="3888"/>
            <w:shd w:fill="FAFBF8"/>
            <w:tcMar>
              <w:top w:w="70" w:type="dxa"/>
              <w:start w:w="90" w:type="dxa"/>
              <w:bottom w:w="70" w:type="dxa"/>
              <w:end w:w="90" w:type="dxa"/>
            </w:tcMar>
            <w:vAlign w:val="top"/>
          </w:tcPr>
          <w:p>
            <w:hyperlink r:id="rId35">
              <w:r>
                <w:rPr>
                  <w:rFonts w:ascii="Inter" w:hAnsi="Inter"/>
                  <w:color w:val="2C5F8A"/>
                  <w:u w:val="single"/>
                  <w:sz w:val="16"/>
                </w:rPr>
                <w:t>https://animaladvocacycareers.org/about/impact/</w:t>
              </w:r>
            </w:hyperlink>
          </w:p>
        </w:tc>
      </w:tr>
      <w:tr>
        <w:trPr>
          <w:cantSplit/>
        </w:trPr>
        <w:tc>
          <w:tcPr>
            <w:tcW w:type="dxa" w:w="2232"/>
            <w:tcMar>
              <w:top w:w="70" w:type="dxa"/>
              <w:start w:w="90" w:type="dxa"/>
              <w:bottom w:w="70" w:type="dxa"/>
              <w:end w:w="90" w:type="dxa"/>
            </w:tcMar>
            <w:vAlign w:val="top"/>
          </w:tcPr>
          <w:p>
            <w:r>
              <w:rPr>
                <w:rFonts w:ascii="Inter" w:hAnsi="Inter" w:eastAsia="Inter"/>
                <w:b/>
                <w:color w:val="1F2A44"/>
                <w:sz w:val="16"/>
              </w:rPr>
              <w:t>2021 annual report</w:t>
            </w:r>
          </w:p>
        </w:tc>
        <w:tc>
          <w:tcPr>
            <w:tcW w:type="dxa" w:w="3384"/>
            <w:tcMar>
              <w:top w:w="70" w:type="dxa"/>
              <w:start w:w="90" w:type="dxa"/>
              <w:bottom w:w="70" w:type="dxa"/>
              <w:end w:w="90" w:type="dxa"/>
            </w:tcMar>
            <w:vAlign w:val="top"/>
          </w:tcPr>
          <w:p>
            <w:r>
              <w:rPr>
                <w:rFonts w:ascii="Inter" w:hAnsi="Inter" w:eastAsia="Inter"/>
                <w:color w:val="222222"/>
                <w:sz w:val="16"/>
              </w:rPr>
              <w:t>Historical capacity and placement measurement example</w:t>
            </w:r>
          </w:p>
        </w:tc>
        <w:tc>
          <w:tcPr>
            <w:tcW w:type="dxa" w:w="3888"/>
            <w:tcMar>
              <w:top w:w="70" w:type="dxa"/>
              <w:start w:w="90" w:type="dxa"/>
              <w:bottom w:w="70" w:type="dxa"/>
              <w:end w:w="90" w:type="dxa"/>
            </w:tcMar>
            <w:vAlign w:val="top"/>
          </w:tcPr>
          <w:p>
            <w:hyperlink r:id="rId36">
              <w:r>
                <w:rPr>
                  <w:rFonts w:ascii="Inter" w:hAnsi="Inter"/>
                  <w:color w:val="2C5F8A"/>
                  <w:u w:val="single"/>
                  <w:sz w:val="16"/>
                </w:rPr>
                <w:t>https://animaladvocacycareers.org/post/2021-annual-report/</w:t>
              </w:r>
            </w:hyperlink>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Job board</w:t>
            </w:r>
          </w:p>
        </w:tc>
        <w:tc>
          <w:tcPr>
            <w:tcW w:type="dxa" w:w="3384"/>
            <w:shd w:fill="FAFBF8"/>
            <w:tcMar>
              <w:top w:w="70" w:type="dxa"/>
              <w:start w:w="90" w:type="dxa"/>
              <w:bottom w:w="70" w:type="dxa"/>
              <w:end w:w="90" w:type="dxa"/>
            </w:tcMar>
            <w:vAlign w:val="top"/>
          </w:tcPr>
          <w:p>
            <w:r>
              <w:rPr>
                <w:rFonts w:ascii="Inter" w:hAnsi="Inter" w:eastAsia="Inter"/>
                <w:color w:val="222222"/>
                <w:sz w:val="16"/>
              </w:rPr>
              <w:t>Opportunity presentation</w:t>
            </w:r>
          </w:p>
        </w:tc>
        <w:tc>
          <w:tcPr>
            <w:tcW w:type="dxa" w:w="3888"/>
            <w:shd w:fill="FAFBF8"/>
            <w:tcMar>
              <w:top w:w="70" w:type="dxa"/>
              <w:start w:w="90" w:type="dxa"/>
              <w:bottom w:w="70" w:type="dxa"/>
              <w:end w:w="90" w:type="dxa"/>
            </w:tcMar>
            <w:vAlign w:val="top"/>
          </w:tcPr>
          <w:p>
            <w:hyperlink r:id="rId37">
              <w:r>
                <w:rPr>
                  <w:rFonts w:ascii="Inter" w:hAnsi="Inter"/>
                  <w:color w:val="2C5F8A"/>
                  <w:u w:val="single"/>
                  <w:sz w:val="16"/>
                </w:rPr>
                <w:t>https://animaladvocacycareers.org/job-board/</w:t>
              </w:r>
            </w:hyperlink>
          </w:p>
        </w:tc>
      </w:tr>
    </w:tbl>
    <w:p>
      <w:r>
        <w:br w:type="page"/>
      </w:r>
    </w:p>
    <w:p>
      <w:pPr>
        <w:spacing w:before="200" w:after="100"/>
        <w:keepNext/>
        <w:pBdr>
          <w:bottom w:val="single" w:sz="8" w:space="4" w:color="B88A33"/>
        </w:pBdr>
      </w:pPr>
      <w:r>
        <w:rPr>
          <w:rFonts w:ascii="Inter Display" w:hAnsi="Inter Display" w:eastAsia="Inter Display"/>
          <w:b/>
          <w:color w:val="1F2A44"/>
          <w:sz w:val="36"/>
        </w:rPr>
        <w:t>Plum Village</w:t>
      </w:r>
    </w:p>
    <w:p>
      <w:pPr>
        <w:spacing w:after="80"/>
        <w:keepNext/>
      </w:pPr>
      <w:r>
        <w:rPr>
          <w:rFonts w:ascii="Inter" w:hAnsi="Inter" w:eastAsia="Inter"/>
          <w:i/>
          <w:color w:val="5B6573"/>
          <w:sz w:val="18"/>
        </w:rPr>
        <w:t>Public learning, local participation, structured commitments, and deeper community</w:t>
      </w:r>
    </w:p>
    <w:p>
      <w:pPr>
        <w:spacing w:after="80" w:line="259" w:lineRule="auto"/>
      </w:pPr>
      <w:r>
        <w:rPr>
          <w:rFonts w:ascii="Inter" w:hAnsi="Inter" w:eastAsia="Inter"/>
          <w:color w:val="222222"/>
          <w:sz w:val="20"/>
        </w:rPr>
        <w:t>Plum Village offers public teachings, media, local groups, retreats, practice centers, and deeper commitment pathways. Although its religious identity should not be copied, its website provides a useful example of participation layering and positively framed community safeguards.</w:t>
      </w:r>
    </w:p>
    <w:p>
      <w:pPr>
        <w:spacing w:before="120" w:after="100"/>
        <w:keepNext/>
      </w:pPr>
      <w:r>
        <w:rPr>
          <w:rFonts w:ascii="Inter Display" w:hAnsi="Inter Display" w:eastAsia="Inter Display"/>
          <w:b/>
          <w:color w:val="496A4B"/>
          <w:sz w:val="27"/>
        </w:rPr>
        <w:t>Benchmark Matrix</w:t>
      </w:r>
    </w:p>
    <w:tbl>
      <w:tblPr>
        <w:tblW w:type="auto" w:w="0"/>
        <w:jc w:val="center"/>
        <w:tblLayout w:type="fixed"/>
        <w:tblLook w:firstColumn="1" w:firstRow="1" w:lastColumn="0" w:lastRow="0" w:noHBand="0" w:noVBand="1" w:val="04A0"/>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Pr>
      <w:tblGrid>
        <w:gridCol w:w="2088"/>
        <w:gridCol w:w="7416"/>
      </w:tblGrid>
      <w:tr>
        <w:trPr>
          <w:tblHeader w:val="true"/>
        </w:trPr>
        <w:tc>
          <w:tcPr>
            <w:tcW w:type="dxa" w:w="4997"/>
            <w:shd w:fill="1F2A44"/>
            <w:tcMar>
              <w:top w:w="90" w:type="dxa"/>
              <w:start w:w="100" w:type="dxa"/>
              <w:bottom w:w="90" w:type="dxa"/>
              <w:end w:w="100" w:type="dxa"/>
            </w:tcMar>
          </w:tcPr>
          <w:p>
            <w:pPr>
              <w:jc w:val="left"/>
            </w:pPr>
            <w:r>
              <w:rPr>
                <w:rFonts w:ascii="Inter" w:hAnsi="Inter" w:eastAsia="Inter"/>
                <w:b/>
                <w:color w:val="FFFFFF"/>
                <w:sz w:val="18"/>
              </w:rPr>
              <w:t>Research Area</w:t>
            </w:r>
          </w:p>
        </w:tc>
        <w:tc>
          <w:tcPr>
            <w:tcW w:type="dxa" w:w="4997"/>
            <w:shd w:fill="1F2A44"/>
            <w:tcMar>
              <w:top w:w="90" w:type="dxa"/>
              <w:start w:w="100" w:type="dxa"/>
              <w:bottom w:w="90" w:type="dxa"/>
              <w:end w:w="100" w:type="dxa"/>
            </w:tcMar>
          </w:tcPr>
          <w:p>
            <w:pPr>
              <w:jc w:val="left"/>
            </w:pPr>
            <w:r>
              <w:rPr>
                <w:rFonts w:ascii="Inter" w:hAnsi="Inter" w:eastAsia="Inter"/>
                <w:b/>
                <w:color w:val="FFFFFF"/>
                <w:sz w:val="18"/>
              </w:rPr>
              <w:t>Findings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Audience</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The general public, people seeking introductory mindfulness resources, regular lay practitioners, local groups, retreat participants, and people considering deeper community commitments.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Hero</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Emphasizes mindful living, peace, healing, practice, and connection rather than a transactional program offer.</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Navigation</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Organizes around teachings and resources, practice centers, retreats, local groups, trainings, teachers, and ways to support the community.</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Value proposition</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Free public learning, practical exercises, group participation, retreats, and progressively deeper forms of community practice.</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Primary CTA</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Read or listen, find a local group, explore a retreat or practice center, or support the organization.</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Participation layers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Public resources -&gt; local group or event -&gt; structured trainings and commitments -&gt; deeper community or monastic participation.</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Trust signals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Historical continuity, named teachers and centers, published teachings, visible ethical trainings, and clear explanations of community practices.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One-on-one support</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Personal support is generally embedded in relationships, local groups, retreats, and mentorship rather than sold as an on-demand coaching service.</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Opportunities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Local practice, retreats, volunteer support, facilitator roles, learning, and deeper community commitments.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Safeguards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Ethical expectations are integrated into public trainings and community commitments rather than being limited to legal-policy pages.</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Community platform</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Participation is decentralized through local groups and physical or online practice environments rather than one central public social platform.</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Strengths</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The depth of participation is clear, and ethical boundaries are framed as shared practices that protect collective wellbeing.</w:t>
            </w:r>
          </w:p>
        </w:tc>
      </w:tr>
      <w:tr>
        <w:trPr>
          <w:cantSplit/>
        </w:trPr>
        <w:tc>
          <w:tcPr>
            <w:tcW w:type="dxa" w:w="2088"/>
            <w:shd w:fill="EAF0F6"/>
            <w:tcMar>
              <w:top w:w="80" w:type="dxa"/>
              <w:start w:w="100" w:type="dxa"/>
              <w:bottom w:w="80" w:type="dxa"/>
              <w:end w:w="100" w:type="dxa"/>
            </w:tcMar>
            <w:vAlign w:val="top"/>
          </w:tcPr>
          <w:p>
            <w:r>
              <w:rPr>
                <w:rFonts w:ascii="Inter" w:hAnsi="Inter" w:eastAsia="Inter"/>
                <w:b/>
                <w:color w:val="1F2A44"/>
                <w:sz w:val="17"/>
              </w:rPr>
              <w:t>Risks</w:t>
            </w:r>
          </w:p>
        </w:tc>
        <w:tc>
          <w:tcPr>
            <w:tcW w:type="dxa" w:w="7416"/>
            <w:shd w:fill="FAFBFC"/>
            <w:tcMar>
              <w:top w:w="80" w:type="dxa"/>
              <w:start w:w="100" w:type="dxa"/>
              <w:bottom w:w="80" w:type="dxa"/>
              <w:end w:w="100" w:type="dxa"/>
            </w:tcMar>
            <w:vAlign w:val="top"/>
          </w:tcPr>
          <w:p>
            <w:pPr>
              <w:spacing w:line="240" w:lineRule="auto"/>
            </w:pPr>
            <w:r>
              <w:rPr>
                <w:rFonts w:ascii="Inter" w:hAnsi="Inter" w:eastAsia="Inter"/>
                <w:color w:val="222222"/>
                <w:sz w:val="17"/>
              </w:rPr>
              <w:t>Specialized language and deep commitments require prior context; decentralized groups may deliver inconsistent experiences.</w:t>
            </w:r>
          </w:p>
        </w:tc>
      </w:tr>
      <w:tr>
        <w:trPr>
          <w:cantSplit/>
        </w:trPr>
        <w:tc>
          <w:tcPr>
            <w:tcW w:type="dxa" w:w="2088"/>
            <w:shd w:fill="F4F6F8"/>
            <w:tcMar>
              <w:top w:w="80" w:type="dxa"/>
              <w:start w:w="100" w:type="dxa"/>
              <w:bottom w:w="80" w:type="dxa"/>
              <w:end w:w="100" w:type="dxa"/>
            </w:tcMar>
            <w:vAlign w:val="top"/>
          </w:tcPr>
          <w:p>
            <w:r>
              <w:rPr>
                <w:rFonts w:ascii="Inter" w:hAnsi="Inter" w:eastAsia="Inter"/>
                <w:b/>
                <w:color w:val="1F2A44"/>
                <w:sz w:val="17"/>
              </w:rPr>
              <w:t>Responsible application</w:t>
            </w:r>
          </w:p>
        </w:tc>
        <w:tc>
          <w:tcPr>
            <w:tcW w:type="dxa" w:w="7416"/>
            <w:shd w:fill="FFFFFF"/>
            <w:tcMar>
              <w:top w:w="80" w:type="dxa"/>
              <w:start w:w="100" w:type="dxa"/>
              <w:bottom w:w="80" w:type="dxa"/>
              <w:end w:w="100" w:type="dxa"/>
            </w:tcMar>
            <w:vAlign w:val="top"/>
          </w:tcPr>
          <w:p>
            <w:pPr>
              <w:spacing w:line="240" w:lineRule="auto"/>
            </w:pPr>
            <w:r>
              <w:rPr>
                <w:rFonts w:ascii="Inter" w:hAnsi="Inter" w:eastAsia="Inter"/>
                <w:color w:val="222222"/>
                <w:sz w:val="17"/>
              </w:rPr>
              <w:t>Use participation layers for the Liberation Network: public learning, initial conversation, small collaboration, and trusted network. Frame conduct as shared commitments while retaining separate privacy, terms, complaints, and safeguarding documents.</w:t>
            </w:r>
          </w:p>
        </w:tc>
      </w:tr>
    </w:tbl>
    <w:p>
      <w:pPr>
        <w:spacing w:after="0"/>
      </w:pPr>
    </w:p>
    <w:p>
      <w:pPr>
        <w:spacing w:before="120" w:after="100"/>
        <w:keepNext/>
      </w:pPr>
      <w:r>
        <w:rPr>
          <w:rFonts w:ascii="Inter Display" w:hAnsi="Inter Display" w:eastAsia="Inter Display"/>
          <w:b/>
          <w:color w:val="496A4B"/>
          <w:sz w:val="27"/>
        </w:rPr>
        <w:t>Top Three Lessons</w:t>
      </w:r>
    </w:p>
    <w:p>
      <w:pPr>
        <w:spacing w:after="40"/>
        <w:ind w:left="432" w:hanging="346"/>
      </w:pPr>
      <w:r>
        <w:rPr>
          <w:rFonts w:ascii="Inter" w:hAnsi="Inter" w:eastAsia="Inter"/>
          <w:b/>
          <w:color w:val="1F2A44"/>
          <w:sz w:val="20"/>
        </w:rPr>
        <w:t>1.</w:t>
      </w:r>
      <w:r>
        <w:rPr>
          <w:rFonts w:ascii="Inter" w:hAnsi="Inter" w:eastAsia="Inter"/>
          <w:color w:val="222222"/>
          <w:sz w:val="20"/>
        </w:rPr>
        <w:t xml:space="preserve">  Deeper commitments can be introduced gradually rather than required at first contact.</w:t>
      </w:r>
    </w:p>
    <w:p>
      <w:pPr>
        <w:spacing w:after="40"/>
        <w:ind w:left="432" w:hanging="346"/>
      </w:pPr>
      <w:r>
        <w:rPr>
          <w:rFonts w:ascii="Inter" w:hAnsi="Inter" w:eastAsia="Inter"/>
          <w:b/>
          <w:color w:val="1F2A44"/>
          <w:sz w:val="20"/>
        </w:rPr>
        <w:t>2.</w:t>
      </w:r>
      <w:r>
        <w:rPr>
          <w:rFonts w:ascii="Inter" w:hAnsi="Inter" w:eastAsia="Inter"/>
          <w:color w:val="222222"/>
          <w:sz w:val="20"/>
        </w:rPr>
        <w:t xml:space="preserve">  Ethical boundaries can be framed positively as shared responsibilities, while still remaining clear and enforceable.</w:t>
      </w:r>
    </w:p>
    <w:p>
      <w:pPr>
        <w:spacing w:after="40"/>
        <w:ind w:left="432" w:hanging="346"/>
      </w:pPr>
      <w:r>
        <w:rPr>
          <w:rFonts w:ascii="Inter" w:hAnsi="Inter" w:eastAsia="Inter"/>
          <w:b/>
          <w:color w:val="1F2A44"/>
          <w:sz w:val="20"/>
        </w:rPr>
        <w:t>3.</w:t>
      </w:r>
      <w:r>
        <w:rPr>
          <w:rFonts w:ascii="Inter" w:hAnsi="Inter" w:eastAsia="Inter"/>
          <w:color w:val="222222"/>
          <w:sz w:val="20"/>
        </w:rPr>
        <w:t xml:space="preserve">  Peer and local structures can distribute support, but common standards and escalation paths remain necessary.</w:t>
      </w:r>
    </w:p>
    <w:p>
      <w:pPr>
        <w:spacing w:before="120" w:after="100"/>
        <w:keepNext/>
      </w:pPr>
      <w:r>
        <w:rPr>
          <w:rFonts w:ascii="Inter Display" w:hAnsi="Inter Display" w:eastAsia="Inter Display"/>
          <w:b/>
          <w:color w:val="496A4B"/>
          <w:sz w:val="27"/>
        </w:rPr>
        <w:t>Responsible Relevance to the Ecosystem</w:t>
      </w:r>
    </w:p>
    <w:p>
      <w:pPr>
        <w:spacing w:after="60"/>
      </w:pPr>
      <w:r>
        <w:rPr>
          <w:rFonts w:ascii="Inter" w:hAnsi="Inter" w:eastAsia="Inter"/>
          <w:b/>
          <w:color w:val="496A4B"/>
          <w:sz w:val="19"/>
        </w:rPr>
        <w:t xml:space="preserve">Ethical Capacity Lab: </w:t>
      </w:r>
      <w:r>
        <w:rPr>
          <w:rFonts w:ascii="Inter" w:hAnsi="Inter" w:eastAsia="Inter"/>
          <w:color w:val="222222"/>
          <w:sz w:val="19"/>
        </w:rPr>
        <w:t>Publish the ethical rationale behind safeguards and community standards.</w:t>
      </w:r>
    </w:p>
    <w:p>
      <w:pPr>
        <w:spacing w:after="60"/>
      </w:pPr>
      <w:r>
        <w:rPr>
          <w:rFonts w:ascii="Inter" w:hAnsi="Inter" w:eastAsia="Inter"/>
          <w:b/>
          <w:color w:val="496A4B"/>
          <w:sz w:val="19"/>
        </w:rPr>
        <w:t xml:space="preserve">Liberation from Suffering Network: </w:t>
      </w:r>
      <w:r>
        <w:rPr>
          <w:rFonts w:ascii="Inter" w:hAnsi="Inter" w:eastAsia="Inter"/>
          <w:color w:val="222222"/>
          <w:sz w:val="19"/>
        </w:rPr>
        <w:t>Use layered engagement and trust development without copying religious identity, terminology, or lifestyle commitments.</w:t>
      </w:r>
    </w:p>
    <w:p>
      <w:pPr>
        <w:spacing w:after="60"/>
      </w:pPr>
      <w:r>
        <w:rPr>
          <w:rFonts w:ascii="Inter" w:hAnsi="Inter" w:eastAsia="Inter"/>
          <w:b/>
          <w:color w:val="496A4B"/>
          <w:sz w:val="19"/>
        </w:rPr>
        <w:t xml:space="preserve">Shared Website: </w:t>
      </w:r>
      <w:r>
        <w:rPr>
          <w:rFonts w:ascii="Inter" w:hAnsi="Inter" w:eastAsia="Inter"/>
          <w:color w:val="222222"/>
          <w:sz w:val="19"/>
        </w:rPr>
        <w:t>Allow people to learn publicly without pressure to join deeply.</w:t>
      </w:r>
    </w:p>
    <w:p>
      <w:pPr>
        <w:spacing w:before="120" w:after="100"/>
        <w:keepNext/>
      </w:pPr>
      <w:r>
        <w:rPr>
          <w:rFonts w:ascii="Inter Display" w:hAnsi="Inter Display" w:eastAsia="Inter Display"/>
          <w:b/>
          <w:color w:val="496A4B"/>
          <w:sz w:val="27"/>
        </w:rPr>
        <w:t>Key Official Pages Reviewed</w:t>
      </w:r>
    </w:p>
    <w:tbl>
      <w:tblPr>
        <w:tblW w:type="auto" w:w="0"/>
        <w:jc w:val="center"/>
        <w:tblLayout w:type="fixed"/>
        <w:tblLook w:firstColumn="1" w:firstRow="1" w:lastColumn="0" w:lastRow="0" w:noHBand="0" w:noVBand="1" w:val="04A0"/>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Pr>
      <w:tblGrid>
        <w:gridCol w:w="2232"/>
        <w:gridCol w:w="3384"/>
        <w:gridCol w:w="3888"/>
      </w:tblGrid>
      <w:tr>
        <w:trPr>
          <w:tblHeader w:val="true"/>
        </w:trPr>
        <w:tc>
          <w:tcPr>
            <w:tcW w:type="dxa" w:w="3331"/>
            <w:shd w:fill="496A4B"/>
            <w:tcMar>
              <w:top w:w="80" w:type="dxa"/>
              <w:start w:w="90" w:type="dxa"/>
              <w:bottom w:w="80" w:type="dxa"/>
              <w:end w:w="90" w:type="dxa"/>
            </w:tcMar>
          </w:tcPr>
          <w:p>
            <w:r>
              <w:rPr>
                <w:rFonts w:ascii="Inter" w:hAnsi="Inter" w:eastAsia="Inter"/>
                <w:b/>
                <w:color w:val="FFFFFF"/>
                <w:sz w:val="17"/>
              </w:rPr>
              <w:t>Page</w:t>
            </w:r>
          </w:p>
        </w:tc>
        <w:tc>
          <w:tcPr>
            <w:tcW w:type="dxa" w:w="3331"/>
            <w:shd w:fill="496A4B"/>
            <w:tcMar>
              <w:top w:w="80" w:type="dxa"/>
              <w:start w:w="90" w:type="dxa"/>
              <w:bottom w:w="80" w:type="dxa"/>
              <w:end w:w="90" w:type="dxa"/>
            </w:tcMar>
          </w:tcPr>
          <w:p>
            <w:r>
              <w:rPr>
                <w:rFonts w:ascii="Inter" w:hAnsi="Inter" w:eastAsia="Inter"/>
                <w:b/>
                <w:color w:val="FFFFFF"/>
                <w:sz w:val="17"/>
              </w:rPr>
              <w:t>Purpose</w:t>
            </w:r>
          </w:p>
        </w:tc>
        <w:tc>
          <w:tcPr>
            <w:tcW w:type="dxa" w:w="3331"/>
            <w:shd w:fill="496A4B"/>
            <w:tcMar>
              <w:top w:w="80" w:type="dxa"/>
              <w:start w:w="90" w:type="dxa"/>
              <w:bottom w:w="80" w:type="dxa"/>
              <w:end w:w="90" w:type="dxa"/>
            </w:tcMar>
          </w:tcPr>
          <w:p>
            <w:r>
              <w:rPr>
                <w:rFonts w:ascii="Inter" w:hAnsi="Inter" w:eastAsia="Inter"/>
                <w:b/>
                <w:color w:val="FFFFFF"/>
                <w:sz w:val="17"/>
              </w:rPr>
              <w:t>Official URL</w:t>
            </w:r>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Five Mindfulness Trainings</w:t>
            </w:r>
          </w:p>
        </w:tc>
        <w:tc>
          <w:tcPr>
            <w:tcW w:type="dxa" w:w="3384"/>
            <w:shd w:fill="FAFBF8"/>
            <w:tcMar>
              <w:top w:w="70" w:type="dxa"/>
              <w:start w:w="90" w:type="dxa"/>
              <w:bottom w:w="70" w:type="dxa"/>
              <w:end w:w="90" w:type="dxa"/>
            </w:tcMar>
            <w:vAlign w:val="top"/>
          </w:tcPr>
          <w:p>
            <w:r>
              <w:rPr>
                <w:rFonts w:ascii="Inter" w:hAnsi="Inter" w:eastAsia="Inter"/>
                <w:color w:val="222222"/>
                <w:sz w:val="16"/>
              </w:rPr>
              <w:t>Baseline public ethical commitments</w:t>
            </w:r>
          </w:p>
        </w:tc>
        <w:tc>
          <w:tcPr>
            <w:tcW w:type="dxa" w:w="3888"/>
            <w:shd w:fill="FAFBF8"/>
            <w:tcMar>
              <w:top w:w="70" w:type="dxa"/>
              <w:start w:w="90" w:type="dxa"/>
              <w:bottom w:w="70" w:type="dxa"/>
              <w:end w:w="90" w:type="dxa"/>
            </w:tcMar>
            <w:vAlign w:val="top"/>
          </w:tcPr>
          <w:p>
            <w:hyperlink r:id="rId38">
              <w:r>
                <w:rPr>
                  <w:rFonts w:ascii="Inter" w:hAnsi="Inter"/>
                  <w:color w:val="2C5F8A"/>
                  <w:u w:val="single"/>
                  <w:sz w:val="16"/>
                </w:rPr>
                <w:t>https://plumvillage.org/mindfulness/the-5-mindfulness-trainings</w:t>
              </w:r>
            </w:hyperlink>
          </w:p>
        </w:tc>
      </w:tr>
      <w:tr>
        <w:trPr>
          <w:cantSplit/>
        </w:trPr>
        <w:tc>
          <w:tcPr>
            <w:tcW w:type="dxa" w:w="2232"/>
            <w:tcMar>
              <w:top w:w="70" w:type="dxa"/>
              <w:start w:w="90" w:type="dxa"/>
              <w:bottom w:w="70" w:type="dxa"/>
              <w:end w:w="90" w:type="dxa"/>
            </w:tcMar>
            <w:vAlign w:val="top"/>
          </w:tcPr>
          <w:p>
            <w:r>
              <w:rPr>
                <w:rFonts w:ascii="Inter" w:hAnsi="Inter" w:eastAsia="Inter"/>
                <w:b/>
                <w:color w:val="1F2A44"/>
                <w:sz w:val="16"/>
              </w:rPr>
              <w:t>Fourteen Mindfulness Trainings</w:t>
            </w:r>
          </w:p>
        </w:tc>
        <w:tc>
          <w:tcPr>
            <w:tcW w:type="dxa" w:w="3384"/>
            <w:tcMar>
              <w:top w:w="70" w:type="dxa"/>
              <w:start w:w="90" w:type="dxa"/>
              <w:bottom w:w="70" w:type="dxa"/>
              <w:end w:w="90" w:type="dxa"/>
            </w:tcMar>
            <w:vAlign w:val="top"/>
          </w:tcPr>
          <w:p>
            <w:r>
              <w:rPr>
                <w:rFonts w:ascii="Inter" w:hAnsi="Inter" w:eastAsia="Inter"/>
                <w:color w:val="222222"/>
                <w:sz w:val="16"/>
              </w:rPr>
              <w:t>Deeper participation commitments</w:t>
            </w:r>
          </w:p>
        </w:tc>
        <w:tc>
          <w:tcPr>
            <w:tcW w:type="dxa" w:w="3888"/>
            <w:tcMar>
              <w:top w:w="70" w:type="dxa"/>
              <w:start w:w="90" w:type="dxa"/>
              <w:bottom w:w="70" w:type="dxa"/>
              <w:end w:w="90" w:type="dxa"/>
            </w:tcMar>
            <w:vAlign w:val="top"/>
          </w:tcPr>
          <w:p>
            <w:hyperlink r:id="rId39">
              <w:r>
                <w:rPr>
                  <w:rFonts w:ascii="Inter" w:hAnsi="Inter"/>
                  <w:color w:val="2C5F8A"/>
                  <w:u w:val="single"/>
                  <w:sz w:val="16"/>
                </w:rPr>
                <w:t>https://plumvillage.org/mindfulness/the-14-mindfulness-trainings</w:t>
              </w:r>
            </w:hyperlink>
          </w:p>
        </w:tc>
      </w:tr>
      <w:tr>
        <w:trPr>
          <w:cantSplit/>
        </w:trPr>
        <w:tc>
          <w:tcPr>
            <w:tcW w:type="dxa" w:w="2232"/>
            <w:shd w:fill="FAFBF8"/>
            <w:tcMar>
              <w:top w:w="70" w:type="dxa"/>
              <w:start w:w="90" w:type="dxa"/>
              <w:bottom w:w="70" w:type="dxa"/>
              <w:end w:w="90" w:type="dxa"/>
            </w:tcMar>
            <w:vAlign w:val="top"/>
          </w:tcPr>
          <w:p>
            <w:r>
              <w:rPr>
                <w:rFonts w:ascii="Inter" w:hAnsi="Inter" w:eastAsia="Inter"/>
                <w:b/>
                <w:color w:val="1F2A44"/>
                <w:sz w:val="16"/>
              </w:rPr>
              <w:t>Deeper meaning behind monastic rules</w:t>
            </w:r>
          </w:p>
        </w:tc>
        <w:tc>
          <w:tcPr>
            <w:tcW w:type="dxa" w:w="3384"/>
            <w:shd w:fill="FAFBF8"/>
            <w:tcMar>
              <w:top w:w="70" w:type="dxa"/>
              <w:start w:w="90" w:type="dxa"/>
              <w:bottom w:w="70" w:type="dxa"/>
              <w:end w:w="90" w:type="dxa"/>
            </w:tcMar>
            <w:vAlign w:val="top"/>
          </w:tcPr>
          <w:p>
            <w:r>
              <w:rPr>
                <w:rFonts w:ascii="Inter" w:hAnsi="Inter" w:eastAsia="Inter"/>
                <w:color w:val="222222"/>
                <w:sz w:val="16"/>
              </w:rPr>
              <w:t>Rationale for conduct and safeguards</w:t>
            </w:r>
          </w:p>
        </w:tc>
        <w:tc>
          <w:tcPr>
            <w:tcW w:type="dxa" w:w="3888"/>
            <w:shd w:fill="FAFBF8"/>
            <w:tcMar>
              <w:top w:w="70" w:type="dxa"/>
              <w:start w:w="90" w:type="dxa"/>
              <w:bottom w:w="70" w:type="dxa"/>
              <w:end w:w="90" w:type="dxa"/>
            </w:tcMar>
            <w:vAlign w:val="top"/>
          </w:tcPr>
          <w:p>
            <w:hyperlink r:id="rId40">
              <w:r>
                <w:rPr>
                  <w:rFonts w:ascii="Inter" w:hAnsi="Inter"/>
                  <w:color w:val="2C5F8A"/>
                  <w:u w:val="single"/>
                  <w:sz w:val="16"/>
                </w:rPr>
                <w:t>https://plumvillage.org/articles/the-deeper-meaning-behind-monastic-rules</w:t>
              </w:r>
            </w:hyperlink>
          </w:p>
        </w:tc>
      </w:tr>
    </w:tbl>
    <w:p>
      <w:pPr>
        <w:sectPr>
          <w:headerReference w:type="default" r:id="rId9"/>
          <w:footerReference w:type="default" r:id="rId10"/>
          <w:pgSz w:w="12240" w:h="15840"/>
          <w:pgMar w:top="979" w:right="1123" w:bottom="893" w:left="1123" w:header="360" w:footer="360" w:gutter="0"/>
          <w:cols w:space="720"/>
          <w:docGrid w:linePitch="360"/>
        </w:sectPr>
      </w:pPr>
    </w:p>
    <w:p>
      <w:pPr>
        <w:spacing w:before="200" w:after="100"/>
        <w:keepNext/>
        <w:pBdr>
          <w:bottom w:val="single" w:sz="8" w:space="4" w:color="B88A33"/>
        </w:pBdr>
      </w:pPr>
      <w:r>
        <w:rPr>
          <w:rFonts w:ascii="Inter Display" w:hAnsi="Inter Display" w:eastAsia="Inter Display"/>
          <w:b/>
          <w:color w:val="1F2A44"/>
          <w:sz w:val="36"/>
        </w:rPr>
        <w:t>4. Cross-Benchmark Comparison</w:t>
      </w:r>
    </w:p>
    <w:p>
      <w:pPr>
        <w:spacing w:after="80" w:line="259" w:lineRule="auto"/>
      </w:pPr>
      <w:r>
        <w:rPr>
          <w:rFonts w:ascii="Inter" w:hAnsi="Inter" w:eastAsia="Inter"/>
          <w:color w:val="222222"/>
          <w:sz w:val="19"/>
        </w:rPr>
        <w:t>This comparison summarizes the public website pattern most relevant to the project. It is intentionally concise; the detailed evidence remains in the organization sections and source register.</w:t>
      </w:r>
    </w:p>
    <w:tbl>
      <w:tblPr>
        <w:tblW w:type="auto" w:w="0"/>
        <w:jc w:val="center"/>
        <w:tblLayout w:type="fixed"/>
        <w:tblLook w:firstColumn="1" w:firstRow="1" w:lastColumn="0" w:lastRow="0" w:noHBand="0" w:noVBand="1" w:val="04A0"/>
        <w:tblBorders>
          <w:top w:val="single" w:sz="4" w:space="0" w:color="D5D9DD"/>
          <w:left w:val="single" w:sz="4" w:space="0" w:color="D5D9DD"/>
          <w:bottom w:val="single" w:sz="4" w:space="0" w:color="D5D9DD"/>
          <w:right w:val="single" w:sz="4" w:space="0" w:color="D5D9DD"/>
          <w:insideH w:val="single" w:sz="4" w:space="0" w:color="D5D9DD"/>
          <w:insideV w:val="single" w:sz="4" w:space="0" w:color="D5D9DD"/>
        </w:tblBorders>
      </w:tblPr>
      <w:tblGrid>
        <w:gridCol w:w="1440"/>
        <w:gridCol w:w="1656"/>
        <w:gridCol w:w="1800"/>
        <w:gridCol w:w="1296"/>
        <w:gridCol w:w="1512"/>
        <w:gridCol w:w="1800"/>
        <w:gridCol w:w="1656"/>
        <w:gridCol w:w="2232"/>
      </w:tblGrid>
      <w:tr>
        <w:trPr>
          <w:tblHeader w:val="true"/>
        </w:trPr>
        <w:tc>
          <w:tcPr>
            <w:tcW w:type="dxa" w:w="1782"/>
            <w:shd w:fill="1F2A44"/>
            <w:tcMar>
              <w:top w:w="70" w:type="dxa"/>
              <w:start w:w="70" w:type="dxa"/>
              <w:bottom w:w="70" w:type="dxa"/>
              <w:end w:w="70" w:type="dxa"/>
            </w:tcMar>
          </w:tcPr>
          <w:p>
            <w:r>
              <w:rPr>
                <w:rFonts w:ascii="Inter" w:hAnsi="Inter" w:eastAsia="Inter"/>
                <w:b/>
                <w:color w:val="FFFFFF"/>
                <w:sz w:val="15"/>
              </w:rPr>
              <w:t>Organization</w:t>
            </w:r>
          </w:p>
        </w:tc>
        <w:tc>
          <w:tcPr>
            <w:tcW w:type="dxa" w:w="1782"/>
            <w:shd w:fill="1F2A44"/>
            <w:tcMar>
              <w:top w:w="70" w:type="dxa"/>
              <w:start w:w="70" w:type="dxa"/>
              <w:bottom w:w="70" w:type="dxa"/>
              <w:end w:w="70" w:type="dxa"/>
            </w:tcMar>
          </w:tcPr>
          <w:p>
            <w:r>
              <w:rPr>
                <w:rFonts w:ascii="Inter" w:hAnsi="Inter" w:eastAsia="Inter"/>
                <w:b/>
                <w:color w:val="FFFFFF"/>
                <w:sz w:val="15"/>
              </w:rPr>
              <w:t>Audience model</w:t>
            </w:r>
          </w:p>
        </w:tc>
        <w:tc>
          <w:tcPr>
            <w:tcW w:type="dxa" w:w="1782"/>
            <w:shd w:fill="1F2A44"/>
            <w:tcMar>
              <w:top w:w="70" w:type="dxa"/>
              <w:start w:w="70" w:type="dxa"/>
              <w:bottom w:w="70" w:type="dxa"/>
              <w:end w:w="70" w:type="dxa"/>
            </w:tcMar>
          </w:tcPr>
          <w:p>
            <w:r>
              <w:rPr>
                <w:rFonts w:ascii="Inter" w:hAnsi="Inter" w:eastAsia="Inter"/>
                <w:b/>
                <w:color w:val="FFFFFF"/>
                <w:sz w:val="15"/>
              </w:rPr>
              <w:t>Main entry action</w:t>
            </w:r>
          </w:p>
        </w:tc>
        <w:tc>
          <w:tcPr>
            <w:tcW w:type="dxa" w:w="1782"/>
            <w:shd w:fill="1F2A44"/>
            <w:tcMar>
              <w:top w:w="70" w:type="dxa"/>
              <w:start w:w="70" w:type="dxa"/>
              <w:bottom w:w="70" w:type="dxa"/>
              <w:end w:w="70" w:type="dxa"/>
            </w:tcMar>
          </w:tcPr>
          <w:p>
            <w:r>
              <w:rPr>
                <w:rFonts w:ascii="Inter" w:hAnsi="Inter" w:eastAsia="Inter"/>
                <w:b/>
                <w:color w:val="FFFFFF"/>
                <w:sz w:val="15"/>
              </w:rPr>
              <w:t>Participation depth</w:t>
            </w:r>
          </w:p>
        </w:tc>
        <w:tc>
          <w:tcPr>
            <w:tcW w:type="dxa" w:w="1782"/>
            <w:shd w:fill="1F2A44"/>
            <w:tcMar>
              <w:top w:w="70" w:type="dxa"/>
              <w:start w:w="70" w:type="dxa"/>
              <w:bottom w:w="70" w:type="dxa"/>
              <w:end w:w="70" w:type="dxa"/>
            </w:tcMar>
          </w:tcPr>
          <w:p>
            <w:r>
              <w:rPr>
                <w:rFonts w:ascii="Inter" w:hAnsi="Inter" w:eastAsia="Inter"/>
                <w:b/>
                <w:color w:val="FFFFFF"/>
                <w:sz w:val="15"/>
              </w:rPr>
              <w:t>Personalized support</w:t>
            </w:r>
          </w:p>
        </w:tc>
        <w:tc>
          <w:tcPr>
            <w:tcW w:type="dxa" w:w="1782"/>
            <w:shd w:fill="1F2A44"/>
            <w:tcMar>
              <w:top w:w="70" w:type="dxa"/>
              <w:start w:w="70" w:type="dxa"/>
              <w:bottom w:w="70" w:type="dxa"/>
              <w:end w:w="70" w:type="dxa"/>
            </w:tcMar>
          </w:tcPr>
          <w:p>
            <w:r>
              <w:rPr>
                <w:rFonts w:ascii="Inter" w:hAnsi="Inter" w:eastAsia="Inter"/>
                <w:b/>
                <w:color w:val="FFFFFF"/>
                <w:sz w:val="15"/>
              </w:rPr>
              <w:t>Strongest trust mechanism</w:t>
            </w:r>
          </w:p>
        </w:tc>
        <w:tc>
          <w:tcPr>
            <w:tcW w:type="dxa" w:w="1782"/>
            <w:shd w:fill="1F2A44"/>
            <w:tcMar>
              <w:top w:w="70" w:type="dxa"/>
              <w:start w:w="70" w:type="dxa"/>
              <w:bottom w:w="70" w:type="dxa"/>
              <w:end w:w="70" w:type="dxa"/>
            </w:tcMar>
          </w:tcPr>
          <w:p>
            <w:r>
              <w:rPr>
                <w:rFonts w:ascii="Inter" w:hAnsi="Inter" w:eastAsia="Inter"/>
                <w:b/>
                <w:color w:val="FFFFFF"/>
                <w:sz w:val="15"/>
              </w:rPr>
              <w:t>Opportunity model</w:t>
            </w:r>
          </w:p>
        </w:tc>
        <w:tc>
          <w:tcPr>
            <w:tcW w:type="dxa" w:w="1782"/>
            <w:shd w:fill="1F2A44"/>
            <w:tcMar>
              <w:top w:w="70" w:type="dxa"/>
              <w:start w:w="70" w:type="dxa"/>
              <w:bottom w:w="70" w:type="dxa"/>
              <w:end w:w="70" w:type="dxa"/>
            </w:tcMar>
          </w:tcPr>
          <w:p>
            <w:r>
              <w:rPr>
                <w:rFonts w:ascii="Inter" w:hAnsi="Inter" w:eastAsia="Inter"/>
                <w:b/>
                <w:color w:val="FFFFFF"/>
                <w:sz w:val="15"/>
              </w:rPr>
              <w:t>Most relevant lesson</w:t>
            </w:r>
          </w:p>
        </w:tc>
      </w:tr>
      <w:tr>
        <w:trPr>
          <w:cantSplit/>
        </w:trPr>
        <w:tc>
          <w:tcPr>
            <w:tcW w:type="dxa" w:w="1440"/>
            <w:shd w:fill="F8FAF8"/>
            <w:tcMar>
              <w:top w:w="70" w:type="dxa"/>
              <w:start w:w="70" w:type="dxa"/>
              <w:bottom w:w="70" w:type="dxa"/>
              <w:end w:w="70" w:type="dxa"/>
            </w:tcMar>
            <w:vAlign w:val="top"/>
          </w:tcPr>
          <w:p>
            <w:r>
              <w:rPr>
                <w:rFonts w:ascii="Inter" w:hAnsi="Inter" w:eastAsia="Inter"/>
                <w:b/>
                <w:color w:val="1F2A44"/>
                <w:sz w:val="15"/>
              </w:rPr>
              <w:t>80,000 Hours</w:t>
            </w:r>
          </w:p>
        </w:tc>
        <w:tc>
          <w:tcPr>
            <w:tcW w:type="dxa" w:w="1656"/>
            <w:shd w:fill="F8FAF8"/>
            <w:tcMar>
              <w:top w:w="70" w:type="dxa"/>
              <w:start w:w="70" w:type="dxa"/>
              <w:bottom w:w="70" w:type="dxa"/>
              <w:end w:w="70" w:type="dxa"/>
            </w:tcMar>
            <w:vAlign w:val="top"/>
          </w:tcPr>
          <w:p>
            <w:r>
              <w:rPr>
                <w:rFonts w:ascii="Inter" w:hAnsi="Inter" w:eastAsia="Inter"/>
                <w:b w:val="0"/>
                <w:color w:val="222222"/>
                <w:sz w:val="15"/>
              </w:rPr>
              <w:t>Need/readiness-based</w:t>
            </w:r>
          </w:p>
        </w:tc>
        <w:tc>
          <w:tcPr>
            <w:tcW w:type="dxa" w:w="1800"/>
            <w:shd w:fill="F8FAF8"/>
            <w:tcMar>
              <w:top w:w="70" w:type="dxa"/>
              <w:start w:w="70" w:type="dxa"/>
              <w:bottom w:w="70" w:type="dxa"/>
              <w:end w:w="70" w:type="dxa"/>
            </w:tcMar>
            <w:vAlign w:val="top"/>
          </w:tcPr>
          <w:p>
            <w:r>
              <w:rPr>
                <w:rFonts w:ascii="Inter" w:hAnsi="Inter" w:eastAsia="Inter"/>
                <w:b w:val="0"/>
                <w:color w:val="222222"/>
                <w:sz w:val="15"/>
              </w:rPr>
              <w:t>Read guidance or apply for advice</w:t>
            </w:r>
          </w:p>
        </w:tc>
        <w:tc>
          <w:tcPr>
            <w:tcW w:type="dxa" w:w="1296"/>
            <w:shd w:fill="F8FAF8"/>
            <w:tcMar>
              <w:top w:w="70" w:type="dxa"/>
              <w:start w:w="70" w:type="dxa"/>
              <w:bottom w:w="70" w:type="dxa"/>
              <w:end w:w="70" w:type="dxa"/>
            </w:tcMar>
            <w:vAlign w:val="top"/>
          </w:tcPr>
          <w:p>
            <w:r>
              <w:rPr>
                <w:rFonts w:ascii="Inter" w:hAnsi="Inter" w:eastAsia="Inter"/>
                <w:b w:val="0"/>
                <w:color w:val="222222"/>
                <w:sz w:val="15"/>
              </w:rPr>
              <w:t>High</w:t>
            </w:r>
          </w:p>
        </w:tc>
        <w:tc>
          <w:tcPr>
            <w:tcW w:type="dxa" w:w="1512"/>
            <w:shd w:fill="F8FAF8"/>
            <w:tcMar>
              <w:top w:w="70" w:type="dxa"/>
              <w:start w:w="70" w:type="dxa"/>
              <w:bottom w:w="70" w:type="dxa"/>
              <w:end w:w="70" w:type="dxa"/>
            </w:tcMar>
            <w:vAlign w:val="top"/>
          </w:tcPr>
          <w:p>
            <w:r>
              <w:rPr>
                <w:rFonts w:ascii="Inter" w:hAnsi="Inter" w:eastAsia="Inter"/>
                <w:b w:val="0"/>
                <w:color w:val="222222"/>
                <w:sz w:val="15"/>
              </w:rPr>
              <w:t>Selective advising</w:t>
            </w:r>
          </w:p>
        </w:tc>
        <w:tc>
          <w:tcPr>
            <w:tcW w:type="dxa" w:w="1800"/>
            <w:shd w:fill="F8FAF8"/>
            <w:tcMar>
              <w:top w:w="70" w:type="dxa"/>
              <w:start w:w="70" w:type="dxa"/>
              <w:bottom w:w="70" w:type="dxa"/>
              <w:end w:w="70" w:type="dxa"/>
            </w:tcMar>
            <w:vAlign w:val="top"/>
          </w:tcPr>
          <w:p>
            <w:r>
              <w:rPr>
                <w:rFonts w:ascii="Inter" w:hAnsi="Inter" w:eastAsia="Inter"/>
                <w:b w:val="0"/>
                <w:color w:val="222222"/>
                <w:sz w:val="15"/>
              </w:rPr>
              <w:t>Research transparency</w:t>
            </w:r>
          </w:p>
        </w:tc>
        <w:tc>
          <w:tcPr>
            <w:tcW w:type="dxa" w:w="1656"/>
            <w:shd w:fill="F8FAF8"/>
            <w:tcMar>
              <w:top w:w="70" w:type="dxa"/>
              <w:start w:w="70" w:type="dxa"/>
              <w:bottom w:w="70" w:type="dxa"/>
              <w:end w:w="70" w:type="dxa"/>
            </w:tcMar>
            <w:vAlign w:val="top"/>
          </w:tcPr>
          <w:p>
            <w:r>
              <w:rPr>
                <w:rFonts w:ascii="Inter" w:hAnsi="Inter" w:eastAsia="Inter"/>
                <w:b w:val="0"/>
                <w:color w:val="222222"/>
                <w:sz w:val="15"/>
              </w:rPr>
              <w:t>Job board and career pathways</w:t>
            </w:r>
          </w:p>
        </w:tc>
        <w:tc>
          <w:tcPr>
            <w:tcW w:type="dxa" w:w="2232"/>
            <w:shd w:fill="F8FAF8"/>
            <w:tcMar>
              <w:top w:w="70" w:type="dxa"/>
              <w:start w:w="70" w:type="dxa"/>
              <w:bottom w:w="70" w:type="dxa"/>
              <w:end w:w="70" w:type="dxa"/>
            </w:tcMar>
            <w:vAlign w:val="top"/>
          </w:tcPr>
          <w:p>
            <w:r>
              <w:rPr>
                <w:rFonts w:ascii="Inter" w:hAnsi="Inter" w:eastAsia="Inter"/>
                <w:b w:val="0"/>
                <w:color w:val="222222"/>
                <w:sz w:val="15"/>
              </w:rPr>
              <w:t>Layer public learning before scarce support</w:t>
            </w:r>
          </w:p>
        </w:tc>
      </w:tr>
      <w:tr>
        <w:trPr>
          <w:cantSplit/>
        </w:trPr>
        <w:tc>
          <w:tcPr>
            <w:tcW w:type="dxa" w:w="1440"/>
            <w:shd w:fill="FFFFFF"/>
            <w:tcMar>
              <w:top w:w="70" w:type="dxa"/>
              <w:start w:w="70" w:type="dxa"/>
              <w:bottom w:w="70" w:type="dxa"/>
              <w:end w:w="70" w:type="dxa"/>
            </w:tcMar>
            <w:vAlign w:val="top"/>
          </w:tcPr>
          <w:p>
            <w:r>
              <w:rPr>
                <w:rFonts w:ascii="Inter" w:hAnsi="Inter" w:eastAsia="Inter"/>
                <w:b/>
                <w:color w:val="1F2A44"/>
                <w:sz w:val="15"/>
              </w:rPr>
              <w:t>Impact Hub</w:t>
            </w:r>
          </w:p>
        </w:tc>
        <w:tc>
          <w:tcPr>
            <w:tcW w:type="dxa" w:w="1656"/>
            <w:shd w:fill="FFFFFF"/>
            <w:tcMar>
              <w:top w:w="70" w:type="dxa"/>
              <w:start w:w="70" w:type="dxa"/>
              <w:bottom w:w="70" w:type="dxa"/>
              <w:end w:w="70" w:type="dxa"/>
            </w:tcMar>
            <w:vAlign w:val="top"/>
          </w:tcPr>
          <w:p>
            <w:r>
              <w:rPr>
                <w:rFonts w:ascii="Inter" w:hAnsi="Inter" w:eastAsia="Inter"/>
                <w:b w:val="0"/>
                <w:color w:val="222222"/>
                <w:sz w:val="15"/>
              </w:rPr>
              <w:t>Role and geography-based</w:t>
            </w:r>
          </w:p>
        </w:tc>
        <w:tc>
          <w:tcPr>
            <w:tcW w:type="dxa" w:w="1800"/>
            <w:shd w:fill="FFFFFF"/>
            <w:tcMar>
              <w:top w:w="70" w:type="dxa"/>
              <w:start w:w="70" w:type="dxa"/>
              <w:bottom w:w="70" w:type="dxa"/>
              <w:end w:w="70" w:type="dxa"/>
            </w:tcMar>
            <w:vAlign w:val="top"/>
          </w:tcPr>
          <w:p>
            <w:r>
              <w:rPr>
                <w:rFonts w:ascii="Inter" w:hAnsi="Inter" w:eastAsia="Inter"/>
                <w:b w:val="0"/>
                <w:color w:val="222222"/>
                <w:sz w:val="15"/>
              </w:rPr>
              <w:t>Choose program, partner, or local hub</w:t>
            </w:r>
          </w:p>
        </w:tc>
        <w:tc>
          <w:tcPr>
            <w:tcW w:type="dxa" w:w="1296"/>
            <w:shd w:fill="FFFFFF"/>
            <w:tcMar>
              <w:top w:w="70" w:type="dxa"/>
              <w:start w:w="70" w:type="dxa"/>
              <w:bottom w:w="70" w:type="dxa"/>
              <w:end w:w="70" w:type="dxa"/>
            </w:tcMar>
            <w:vAlign w:val="top"/>
          </w:tcPr>
          <w:p>
            <w:r>
              <w:rPr>
                <w:rFonts w:ascii="Inter" w:hAnsi="Inter" w:eastAsia="Inter"/>
                <w:b w:val="0"/>
                <w:color w:val="222222"/>
                <w:sz w:val="15"/>
              </w:rPr>
              <w:t>Medium</w:t>
            </w:r>
          </w:p>
        </w:tc>
        <w:tc>
          <w:tcPr>
            <w:tcW w:type="dxa" w:w="1512"/>
            <w:shd w:fill="FFFFFF"/>
            <w:tcMar>
              <w:top w:w="70" w:type="dxa"/>
              <w:start w:w="70" w:type="dxa"/>
              <w:bottom w:w="70" w:type="dxa"/>
              <w:end w:w="70" w:type="dxa"/>
            </w:tcMar>
            <w:vAlign w:val="top"/>
          </w:tcPr>
          <w:p>
            <w:r>
              <w:rPr>
                <w:rFonts w:ascii="Inter" w:hAnsi="Inter" w:eastAsia="Inter"/>
                <w:b w:val="0"/>
                <w:color w:val="222222"/>
                <w:sz w:val="15"/>
              </w:rPr>
              <w:t>Mostly localized</w:t>
            </w:r>
          </w:p>
        </w:tc>
        <w:tc>
          <w:tcPr>
            <w:tcW w:type="dxa" w:w="1800"/>
            <w:shd w:fill="FFFFFF"/>
            <w:tcMar>
              <w:top w:w="70" w:type="dxa"/>
              <w:start w:w="70" w:type="dxa"/>
              <w:bottom w:w="70" w:type="dxa"/>
              <w:end w:w="70" w:type="dxa"/>
            </w:tcMar>
            <w:vAlign w:val="top"/>
          </w:tcPr>
          <w:p>
            <w:r>
              <w:rPr>
                <w:rFonts w:ascii="Inter" w:hAnsi="Inter" w:eastAsia="Inter"/>
                <w:b w:val="0"/>
                <w:color w:val="222222"/>
                <w:sz w:val="15"/>
              </w:rPr>
              <w:t>Scale, partners, and reports</w:t>
            </w:r>
          </w:p>
        </w:tc>
        <w:tc>
          <w:tcPr>
            <w:tcW w:type="dxa" w:w="1656"/>
            <w:shd w:fill="FFFFFF"/>
            <w:tcMar>
              <w:top w:w="70" w:type="dxa"/>
              <w:start w:w="70" w:type="dxa"/>
              <w:bottom w:w="70" w:type="dxa"/>
              <w:end w:w="70" w:type="dxa"/>
            </w:tcMar>
            <w:vAlign w:val="top"/>
          </w:tcPr>
          <w:p>
            <w:r>
              <w:rPr>
                <w:rFonts w:ascii="Inter" w:hAnsi="Inter" w:eastAsia="Inter"/>
                <w:b w:val="0"/>
                <w:color w:val="222222"/>
                <w:sz w:val="15"/>
              </w:rPr>
              <w:t>Programs and ecosystem partnerships</w:t>
            </w:r>
          </w:p>
        </w:tc>
        <w:tc>
          <w:tcPr>
            <w:tcW w:type="dxa" w:w="2232"/>
            <w:shd w:fill="FFFFFF"/>
            <w:tcMar>
              <w:top w:w="70" w:type="dxa"/>
              <w:start w:w="70" w:type="dxa"/>
              <w:bottom w:w="70" w:type="dxa"/>
              <w:end w:w="70" w:type="dxa"/>
            </w:tcMar>
            <w:vAlign w:val="top"/>
          </w:tcPr>
          <w:p>
            <w:r>
              <w:rPr>
                <w:rFonts w:ascii="Inter" w:hAnsi="Inter" w:eastAsia="Inter"/>
                <w:b w:val="0"/>
                <w:color w:val="222222"/>
                <w:sz w:val="15"/>
              </w:rPr>
              <w:t>Use the parent site as a router</w:t>
            </w:r>
          </w:p>
        </w:tc>
      </w:tr>
      <w:tr>
        <w:trPr>
          <w:cantSplit/>
        </w:trPr>
        <w:tc>
          <w:tcPr>
            <w:tcW w:type="dxa" w:w="1440"/>
            <w:shd w:fill="F8FAF8"/>
            <w:tcMar>
              <w:top w:w="70" w:type="dxa"/>
              <w:start w:w="70" w:type="dxa"/>
              <w:bottom w:w="70" w:type="dxa"/>
              <w:end w:w="70" w:type="dxa"/>
            </w:tcMar>
            <w:vAlign w:val="top"/>
          </w:tcPr>
          <w:p>
            <w:r>
              <w:rPr>
                <w:rFonts w:ascii="Inter" w:hAnsi="Inter" w:eastAsia="Inter"/>
                <w:b/>
                <w:color w:val="1F2A44"/>
                <w:sz w:val="15"/>
              </w:rPr>
              <w:t>Ashoka</w:t>
            </w:r>
          </w:p>
        </w:tc>
        <w:tc>
          <w:tcPr>
            <w:tcW w:type="dxa" w:w="1656"/>
            <w:shd w:fill="F8FAF8"/>
            <w:tcMar>
              <w:top w:w="70" w:type="dxa"/>
              <w:start w:w="70" w:type="dxa"/>
              <w:bottom w:w="70" w:type="dxa"/>
              <w:end w:w="70" w:type="dxa"/>
            </w:tcMar>
            <w:vAlign w:val="top"/>
          </w:tcPr>
          <w:p>
            <w:r>
              <w:rPr>
                <w:rFonts w:ascii="Inter" w:hAnsi="Inter" w:eastAsia="Inter"/>
                <w:b w:val="0"/>
                <w:color w:val="222222"/>
                <w:sz w:val="15"/>
              </w:rPr>
              <w:t>Identity and program-based</w:t>
            </w:r>
          </w:p>
        </w:tc>
        <w:tc>
          <w:tcPr>
            <w:tcW w:type="dxa" w:w="1800"/>
            <w:shd w:fill="F8FAF8"/>
            <w:tcMar>
              <w:top w:w="70" w:type="dxa"/>
              <w:start w:w="70" w:type="dxa"/>
              <w:bottom w:w="70" w:type="dxa"/>
              <w:end w:w="70" w:type="dxa"/>
            </w:tcMar>
            <w:vAlign w:val="top"/>
          </w:tcPr>
          <w:p>
            <w:r>
              <w:rPr>
                <w:rFonts w:ascii="Inter" w:hAnsi="Inter" w:eastAsia="Inter"/>
                <w:b w:val="0"/>
                <w:color w:val="222222"/>
                <w:sz w:val="15"/>
              </w:rPr>
              <w:t>Nominate, join a program, or partner</w:t>
            </w:r>
          </w:p>
        </w:tc>
        <w:tc>
          <w:tcPr>
            <w:tcW w:type="dxa" w:w="1296"/>
            <w:shd w:fill="F8FAF8"/>
            <w:tcMar>
              <w:top w:w="70" w:type="dxa"/>
              <w:start w:w="70" w:type="dxa"/>
              <w:bottom w:w="70" w:type="dxa"/>
              <w:end w:w="70" w:type="dxa"/>
            </w:tcMar>
            <w:vAlign w:val="top"/>
          </w:tcPr>
          <w:p>
            <w:r>
              <w:rPr>
                <w:rFonts w:ascii="Inter" w:hAnsi="Inter" w:eastAsia="Inter"/>
                <w:b w:val="0"/>
                <w:color w:val="222222"/>
                <w:sz w:val="15"/>
              </w:rPr>
              <w:t>High</w:t>
            </w:r>
          </w:p>
        </w:tc>
        <w:tc>
          <w:tcPr>
            <w:tcW w:type="dxa" w:w="1512"/>
            <w:shd w:fill="F8FAF8"/>
            <w:tcMar>
              <w:top w:w="70" w:type="dxa"/>
              <w:start w:w="70" w:type="dxa"/>
              <w:bottom w:w="70" w:type="dxa"/>
              <w:end w:w="70" w:type="dxa"/>
            </w:tcMar>
            <w:vAlign w:val="top"/>
          </w:tcPr>
          <w:p>
            <w:r>
              <w:rPr>
                <w:rFonts w:ascii="Inter" w:hAnsi="Inter" w:eastAsia="Inter"/>
                <w:b w:val="0"/>
                <w:color w:val="222222"/>
                <w:sz w:val="15"/>
              </w:rPr>
              <w:t>Fellowship-linked</w:t>
            </w:r>
          </w:p>
        </w:tc>
        <w:tc>
          <w:tcPr>
            <w:tcW w:type="dxa" w:w="1800"/>
            <w:shd w:fill="F8FAF8"/>
            <w:tcMar>
              <w:top w:w="70" w:type="dxa"/>
              <w:start w:w="70" w:type="dxa"/>
              <w:bottom w:w="70" w:type="dxa"/>
              <w:end w:w="70" w:type="dxa"/>
            </w:tcMar>
            <w:vAlign w:val="top"/>
          </w:tcPr>
          <w:p>
            <w:r>
              <w:rPr>
                <w:rFonts w:ascii="Inter" w:hAnsi="Inter" w:eastAsia="Inter"/>
                <w:b w:val="0"/>
                <w:color w:val="222222"/>
                <w:sz w:val="15"/>
              </w:rPr>
              <w:t>Named people and selection criteria</w:t>
            </w:r>
          </w:p>
        </w:tc>
        <w:tc>
          <w:tcPr>
            <w:tcW w:type="dxa" w:w="1656"/>
            <w:shd w:fill="F8FAF8"/>
            <w:tcMar>
              <w:top w:w="70" w:type="dxa"/>
              <w:start w:w="70" w:type="dxa"/>
              <w:bottom w:w="70" w:type="dxa"/>
              <w:end w:w="70" w:type="dxa"/>
            </w:tcMar>
            <w:vAlign w:val="top"/>
          </w:tcPr>
          <w:p>
            <w:r>
              <w:rPr>
                <w:rFonts w:ascii="Inter" w:hAnsi="Inter" w:eastAsia="Inter"/>
                <w:b w:val="0"/>
                <w:color w:val="222222"/>
                <w:sz w:val="15"/>
              </w:rPr>
              <w:t>Fellowships and partnerships</w:t>
            </w:r>
          </w:p>
        </w:tc>
        <w:tc>
          <w:tcPr>
            <w:tcW w:type="dxa" w:w="2232"/>
            <w:shd w:fill="F8FAF8"/>
            <w:tcMar>
              <w:top w:w="70" w:type="dxa"/>
              <w:start w:w="70" w:type="dxa"/>
              <w:bottom w:w="70" w:type="dxa"/>
              <w:end w:w="70" w:type="dxa"/>
            </w:tcMar>
            <w:vAlign w:val="top"/>
          </w:tcPr>
          <w:p>
            <w:r>
              <w:rPr>
                <w:rFonts w:ascii="Inter" w:hAnsi="Inter" w:eastAsia="Inter"/>
                <w:b w:val="0"/>
                <w:color w:val="222222"/>
                <w:sz w:val="15"/>
              </w:rPr>
              <w:t>Separate broad movement from deep selection</w:t>
            </w:r>
          </w:p>
        </w:tc>
      </w:tr>
      <w:tr>
        <w:trPr>
          <w:cantSplit/>
        </w:trPr>
        <w:tc>
          <w:tcPr>
            <w:tcW w:type="dxa" w:w="1440"/>
            <w:shd w:fill="FFFFFF"/>
            <w:tcMar>
              <w:top w:w="70" w:type="dxa"/>
              <w:start w:w="70" w:type="dxa"/>
              <w:bottom w:w="70" w:type="dxa"/>
              <w:end w:w="70" w:type="dxa"/>
            </w:tcMar>
            <w:vAlign w:val="top"/>
          </w:tcPr>
          <w:p>
            <w:r>
              <w:rPr>
                <w:rFonts w:ascii="Inter" w:hAnsi="Inter" w:eastAsia="Inter"/>
                <w:b/>
                <w:color w:val="1F2A44"/>
                <w:sz w:val="15"/>
              </w:rPr>
              <w:t>B Lab</w:t>
            </w:r>
          </w:p>
        </w:tc>
        <w:tc>
          <w:tcPr>
            <w:tcW w:type="dxa" w:w="1656"/>
            <w:shd w:fill="FFFFFF"/>
            <w:tcMar>
              <w:top w:w="70" w:type="dxa"/>
              <w:start w:w="70" w:type="dxa"/>
              <w:bottom w:w="70" w:type="dxa"/>
              <w:end w:w="70" w:type="dxa"/>
            </w:tcMar>
            <w:vAlign w:val="top"/>
          </w:tcPr>
          <w:p>
            <w:r>
              <w:rPr>
                <w:rFonts w:ascii="Inter" w:hAnsi="Inter" w:eastAsia="Inter"/>
                <w:b w:val="0"/>
                <w:color w:val="222222"/>
                <w:sz w:val="15"/>
              </w:rPr>
              <w:t>Process and business-based</w:t>
            </w:r>
          </w:p>
        </w:tc>
        <w:tc>
          <w:tcPr>
            <w:tcW w:type="dxa" w:w="1800"/>
            <w:shd w:fill="FFFFFF"/>
            <w:tcMar>
              <w:top w:w="70" w:type="dxa"/>
              <w:start w:w="70" w:type="dxa"/>
              <w:bottom w:w="70" w:type="dxa"/>
              <w:end w:w="70" w:type="dxa"/>
            </w:tcMar>
            <w:vAlign w:val="top"/>
          </w:tcPr>
          <w:p>
            <w:r>
              <w:rPr>
                <w:rFonts w:ascii="Inter" w:hAnsi="Inter" w:eastAsia="Inter"/>
                <w:b w:val="0"/>
                <w:color w:val="222222"/>
                <w:sz w:val="15"/>
              </w:rPr>
              <w:t>Begin assessment or certification process</w:t>
            </w:r>
          </w:p>
        </w:tc>
        <w:tc>
          <w:tcPr>
            <w:tcW w:type="dxa" w:w="1296"/>
            <w:shd w:fill="FFFFFF"/>
            <w:tcMar>
              <w:top w:w="70" w:type="dxa"/>
              <w:start w:w="70" w:type="dxa"/>
              <w:bottom w:w="70" w:type="dxa"/>
              <w:end w:w="70" w:type="dxa"/>
            </w:tcMar>
            <w:vAlign w:val="top"/>
          </w:tcPr>
          <w:p>
            <w:r>
              <w:rPr>
                <w:rFonts w:ascii="Inter" w:hAnsi="Inter" w:eastAsia="Inter"/>
                <w:b w:val="0"/>
                <w:color w:val="222222"/>
                <w:sz w:val="15"/>
              </w:rPr>
              <w:t>High</w:t>
            </w:r>
          </w:p>
        </w:tc>
        <w:tc>
          <w:tcPr>
            <w:tcW w:type="dxa" w:w="1512"/>
            <w:shd w:fill="FFFFFF"/>
            <w:tcMar>
              <w:top w:w="70" w:type="dxa"/>
              <w:start w:w="70" w:type="dxa"/>
              <w:bottom w:w="70" w:type="dxa"/>
              <w:end w:w="70" w:type="dxa"/>
            </w:tcMar>
            <w:vAlign w:val="top"/>
          </w:tcPr>
          <w:p>
            <w:r>
              <w:rPr>
                <w:rFonts w:ascii="Inter" w:hAnsi="Inter" w:eastAsia="Inter"/>
                <w:b w:val="0"/>
                <w:color w:val="222222"/>
                <w:sz w:val="15"/>
              </w:rPr>
              <w:t>Specialized support</w:t>
            </w:r>
          </w:p>
        </w:tc>
        <w:tc>
          <w:tcPr>
            <w:tcW w:type="dxa" w:w="1800"/>
            <w:shd w:fill="FFFFFF"/>
            <w:tcMar>
              <w:top w:w="70" w:type="dxa"/>
              <w:start w:w="70" w:type="dxa"/>
              <w:bottom w:w="70" w:type="dxa"/>
              <w:end w:w="70" w:type="dxa"/>
            </w:tcMar>
            <w:vAlign w:val="top"/>
          </w:tcPr>
          <w:p>
            <w:r>
              <w:rPr>
                <w:rFonts w:ascii="Inter" w:hAnsi="Inter" w:eastAsia="Inter"/>
                <w:b w:val="0"/>
                <w:color w:val="222222"/>
                <w:sz w:val="15"/>
              </w:rPr>
              <w:t>Standards and verification</w:t>
            </w:r>
          </w:p>
        </w:tc>
        <w:tc>
          <w:tcPr>
            <w:tcW w:type="dxa" w:w="1656"/>
            <w:shd w:fill="FFFFFF"/>
            <w:tcMar>
              <w:top w:w="70" w:type="dxa"/>
              <w:start w:w="70" w:type="dxa"/>
              <w:bottom w:w="70" w:type="dxa"/>
              <w:end w:w="70" w:type="dxa"/>
            </w:tcMar>
            <w:vAlign w:val="top"/>
          </w:tcPr>
          <w:p>
            <w:r>
              <w:rPr>
                <w:rFonts w:ascii="Inter" w:hAnsi="Inter" w:eastAsia="Inter"/>
                <w:b w:val="0"/>
                <w:color w:val="222222"/>
                <w:sz w:val="15"/>
              </w:rPr>
              <w:t>Certification, directory, consultants</w:t>
            </w:r>
          </w:p>
        </w:tc>
        <w:tc>
          <w:tcPr>
            <w:tcW w:type="dxa" w:w="2232"/>
            <w:shd w:fill="FFFFFF"/>
            <w:tcMar>
              <w:top w:w="70" w:type="dxa"/>
              <w:start w:w="70" w:type="dxa"/>
              <w:bottom w:w="70" w:type="dxa"/>
              <w:end w:w="70" w:type="dxa"/>
            </w:tcMar>
            <w:vAlign w:val="top"/>
          </w:tcPr>
          <w:p>
            <w:r>
              <w:rPr>
                <w:rFonts w:ascii="Inter" w:hAnsi="Inter" w:eastAsia="Inter"/>
                <w:b w:val="0"/>
                <w:color w:val="222222"/>
                <w:sz w:val="15"/>
              </w:rPr>
              <w:t>Clarify governance and process boundaries</w:t>
            </w:r>
          </w:p>
        </w:tc>
      </w:tr>
      <w:tr>
        <w:trPr>
          <w:cantSplit/>
        </w:trPr>
        <w:tc>
          <w:tcPr>
            <w:tcW w:type="dxa" w:w="1440"/>
            <w:shd w:fill="F8FAF8"/>
            <w:tcMar>
              <w:top w:w="70" w:type="dxa"/>
              <w:start w:w="70" w:type="dxa"/>
              <w:bottom w:w="70" w:type="dxa"/>
              <w:end w:w="70" w:type="dxa"/>
            </w:tcMar>
            <w:vAlign w:val="top"/>
          </w:tcPr>
          <w:p>
            <w:r>
              <w:rPr>
                <w:rFonts w:ascii="Inter" w:hAnsi="Inter" w:eastAsia="Inter"/>
                <w:b/>
                <w:color w:val="1F2A44"/>
                <w:sz w:val="15"/>
              </w:rPr>
              <w:t>OpenDoorClimate</w:t>
            </w:r>
          </w:p>
        </w:tc>
        <w:tc>
          <w:tcPr>
            <w:tcW w:type="dxa" w:w="1656"/>
            <w:shd w:fill="F8FAF8"/>
            <w:tcMar>
              <w:top w:w="70" w:type="dxa"/>
              <w:start w:w="70" w:type="dxa"/>
              <w:bottom w:w="70" w:type="dxa"/>
              <w:end w:w="70" w:type="dxa"/>
            </w:tcMar>
            <w:vAlign w:val="top"/>
          </w:tcPr>
          <w:p>
            <w:r>
              <w:rPr>
                <w:rFonts w:ascii="Inter" w:hAnsi="Inter" w:eastAsia="Inter"/>
                <w:b w:val="0"/>
                <w:color w:val="222222"/>
                <w:sz w:val="15"/>
              </w:rPr>
              <w:t>Two-sided role-based</w:t>
            </w:r>
          </w:p>
        </w:tc>
        <w:tc>
          <w:tcPr>
            <w:tcW w:type="dxa" w:w="1800"/>
            <w:shd w:fill="F8FAF8"/>
            <w:tcMar>
              <w:top w:w="70" w:type="dxa"/>
              <w:start w:w="70" w:type="dxa"/>
              <w:bottom w:w="70" w:type="dxa"/>
              <w:end w:w="70" w:type="dxa"/>
            </w:tcMar>
            <w:vAlign w:val="top"/>
          </w:tcPr>
          <w:p>
            <w:r>
              <w:rPr>
                <w:rFonts w:ascii="Inter" w:hAnsi="Inter" w:eastAsia="Inter"/>
                <w:b w:val="0"/>
                <w:color w:val="222222"/>
                <w:sz w:val="15"/>
              </w:rPr>
              <w:t>Browse directory or offer time</w:t>
            </w:r>
          </w:p>
        </w:tc>
        <w:tc>
          <w:tcPr>
            <w:tcW w:type="dxa" w:w="1296"/>
            <w:shd w:fill="F8FAF8"/>
            <w:tcMar>
              <w:top w:w="70" w:type="dxa"/>
              <w:start w:w="70" w:type="dxa"/>
              <w:bottom w:w="70" w:type="dxa"/>
              <w:end w:w="70" w:type="dxa"/>
            </w:tcMar>
            <w:vAlign w:val="top"/>
          </w:tcPr>
          <w:p>
            <w:r>
              <w:rPr>
                <w:rFonts w:ascii="Inter" w:hAnsi="Inter" w:eastAsia="Inter"/>
                <w:b w:val="0"/>
                <w:color w:val="222222"/>
                <w:sz w:val="15"/>
              </w:rPr>
              <w:t>Low</w:t>
            </w:r>
          </w:p>
        </w:tc>
        <w:tc>
          <w:tcPr>
            <w:tcW w:type="dxa" w:w="1512"/>
            <w:shd w:fill="F8FAF8"/>
            <w:tcMar>
              <w:top w:w="70" w:type="dxa"/>
              <w:start w:w="70" w:type="dxa"/>
              <w:bottom w:w="70" w:type="dxa"/>
              <w:end w:w="70" w:type="dxa"/>
            </w:tcMar>
            <w:vAlign w:val="top"/>
          </w:tcPr>
          <w:p>
            <w:r>
              <w:rPr>
                <w:rFonts w:ascii="Inter" w:hAnsi="Inter" w:eastAsia="Inter"/>
                <w:b w:val="0"/>
                <w:color w:val="222222"/>
                <w:sz w:val="15"/>
              </w:rPr>
              <w:t>Short peer conversations</w:t>
            </w:r>
          </w:p>
        </w:tc>
        <w:tc>
          <w:tcPr>
            <w:tcW w:type="dxa" w:w="1800"/>
            <w:shd w:fill="F8FAF8"/>
            <w:tcMar>
              <w:top w:w="70" w:type="dxa"/>
              <w:start w:w="70" w:type="dxa"/>
              <w:bottom w:w="70" w:type="dxa"/>
              <w:end w:w="70" w:type="dxa"/>
            </w:tcMar>
            <w:vAlign w:val="top"/>
          </w:tcPr>
          <w:p>
            <w:r>
              <w:rPr>
                <w:rFonts w:ascii="Inter" w:hAnsi="Inter" w:eastAsia="Inter"/>
                <w:b w:val="0"/>
                <w:color w:val="222222"/>
                <w:sz w:val="15"/>
              </w:rPr>
              <w:t>Visible professional identities</w:t>
            </w:r>
          </w:p>
        </w:tc>
        <w:tc>
          <w:tcPr>
            <w:tcW w:type="dxa" w:w="1656"/>
            <w:shd w:fill="F8FAF8"/>
            <w:tcMar>
              <w:top w:w="70" w:type="dxa"/>
              <w:start w:w="70" w:type="dxa"/>
              <w:bottom w:w="70" w:type="dxa"/>
              <w:end w:w="70" w:type="dxa"/>
            </w:tcMar>
            <w:vAlign w:val="top"/>
          </w:tcPr>
          <w:p>
            <w:r>
              <w:rPr>
                <w:rFonts w:ascii="Inter" w:hAnsi="Inter" w:eastAsia="Inter"/>
                <w:b w:val="0"/>
                <w:color w:val="222222"/>
                <w:sz w:val="15"/>
              </w:rPr>
              <w:t>Informational introductions</w:t>
            </w:r>
          </w:p>
        </w:tc>
        <w:tc>
          <w:tcPr>
            <w:tcW w:type="dxa" w:w="2232"/>
            <w:shd w:fill="F8FAF8"/>
            <w:tcMar>
              <w:top w:w="70" w:type="dxa"/>
              <w:start w:w="70" w:type="dxa"/>
              <w:bottom w:w="70" w:type="dxa"/>
              <w:end w:w="70" w:type="dxa"/>
            </w:tcMar>
            <w:vAlign w:val="top"/>
          </w:tcPr>
          <w:p>
            <w:r>
              <w:rPr>
                <w:rFonts w:ascii="Inter" w:hAnsi="Inter" w:eastAsia="Inter"/>
                <w:b w:val="0"/>
                <w:color w:val="222222"/>
                <w:sz w:val="15"/>
              </w:rPr>
              <w:t>State purpose, time, and boundaries</w:t>
            </w:r>
          </w:p>
        </w:tc>
      </w:tr>
      <w:tr>
        <w:trPr>
          <w:cantSplit/>
        </w:trPr>
        <w:tc>
          <w:tcPr>
            <w:tcW w:type="dxa" w:w="1440"/>
            <w:shd w:fill="FFFFFF"/>
            <w:tcMar>
              <w:top w:w="70" w:type="dxa"/>
              <w:start w:w="70" w:type="dxa"/>
              <w:bottom w:w="70" w:type="dxa"/>
              <w:end w:w="70" w:type="dxa"/>
            </w:tcMar>
            <w:vAlign w:val="top"/>
          </w:tcPr>
          <w:p>
            <w:r>
              <w:rPr>
                <w:rFonts w:ascii="Inter" w:hAnsi="Inter" w:eastAsia="Inter"/>
                <w:b/>
                <w:color w:val="1F2A44"/>
                <w:sz w:val="15"/>
              </w:rPr>
              <w:t>Animal Advocacy Careers</w:t>
            </w:r>
          </w:p>
        </w:tc>
        <w:tc>
          <w:tcPr>
            <w:tcW w:type="dxa" w:w="1656"/>
            <w:shd w:fill="FFFFFF"/>
            <w:tcMar>
              <w:top w:w="70" w:type="dxa"/>
              <w:start w:w="70" w:type="dxa"/>
              <w:bottom w:w="70" w:type="dxa"/>
              <w:end w:w="70" w:type="dxa"/>
            </w:tcMar>
            <w:vAlign w:val="top"/>
          </w:tcPr>
          <w:p>
            <w:r>
              <w:rPr>
                <w:rFonts w:ascii="Inter" w:hAnsi="Inter" w:eastAsia="Inter"/>
                <w:b w:val="0"/>
                <w:color w:val="222222"/>
                <w:sz w:val="15"/>
              </w:rPr>
              <w:t>Need and role-based</w:t>
            </w:r>
          </w:p>
        </w:tc>
        <w:tc>
          <w:tcPr>
            <w:tcW w:type="dxa" w:w="1800"/>
            <w:shd w:fill="FFFFFF"/>
            <w:tcMar>
              <w:top w:w="70" w:type="dxa"/>
              <w:start w:w="70" w:type="dxa"/>
              <w:bottom w:w="70" w:type="dxa"/>
              <w:end w:w="70" w:type="dxa"/>
            </w:tcMar>
            <w:vAlign w:val="top"/>
          </w:tcPr>
          <w:p>
            <w:r>
              <w:rPr>
                <w:rFonts w:ascii="Inter" w:hAnsi="Inter" w:eastAsia="Inter"/>
                <w:b w:val="0"/>
                <w:color w:val="222222"/>
                <w:sz w:val="15"/>
              </w:rPr>
              <w:t>Learn, seek support, or view roles</w:t>
            </w:r>
          </w:p>
        </w:tc>
        <w:tc>
          <w:tcPr>
            <w:tcW w:type="dxa" w:w="1296"/>
            <w:shd w:fill="FFFFFF"/>
            <w:tcMar>
              <w:top w:w="70" w:type="dxa"/>
              <w:start w:w="70" w:type="dxa"/>
              <w:bottom w:w="70" w:type="dxa"/>
              <w:end w:w="70" w:type="dxa"/>
            </w:tcMar>
            <w:vAlign w:val="top"/>
          </w:tcPr>
          <w:p>
            <w:r>
              <w:rPr>
                <w:rFonts w:ascii="Inter" w:hAnsi="Inter" w:eastAsia="Inter"/>
                <w:b w:val="0"/>
                <w:color w:val="222222"/>
                <w:sz w:val="15"/>
              </w:rPr>
              <w:t>Medium to high</w:t>
            </w:r>
          </w:p>
        </w:tc>
        <w:tc>
          <w:tcPr>
            <w:tcW w:type="dxa" w:w="1512"/>
            <w:shd w:fill="FFFFFF"/>
            <w:tcMar>
              <w:top w:w="70" w:type="dxa"/>
              <w:start w:w="70" w:type="dxa"/>
              <w:bottom w:w="70" w:type="dxa"/>
              <w:end w:w="70" w:type="dxa"/>
            </w:tcMar>
            <w:vAlign w:val="top"/>
          </w:tcPr>
          <w:p>
            <w:r>
              <w:rPr>
                <w:rFonts w:ascii="Inter" w:hAnsi="Inter" w:eastAsia="Inter"/>
                <w:b w:val="0"/>
                <w:color w:val="222222"/>
                <w:sz w:val="15"/>
              </w:rPr>
              <w:t>Structured coaching</w:t>
            </w:r>
          </w:p>
        </w:tc>
        <w:tc>
          <w:tcPr>
            <w:tcW w:type="dxa" w:w="1800"/>
            <w:shd w:fill="FFFFFF"/>
            <w:tcMar>
              <w:top w:w="70" w:type="dxa"/>
              <w:start w:w="70" w:type="dxa"/>
              <w:bottom w:w="70" w:type="dxa"/>
              <w:end w:w="70" w:type="dxa"/>
            </w:tcMar>
            <w:vAlign w:val="top"/>
          </w:tcPr>
          <w:p>
            <w:r>
              <w:rPr>
                <w:rFonts w:ascii="Inter" w:hAnsi="Inter" w:eastAsia="Inter"/>
                <w:b w:val="0"/>
                <w:color w:val="222222"/>
                <w:sz w:val="15"/>
              </w:rPr>
              <w:t>Impact evidence and partner value</w:t>
            </w:r>
          </w:p>
        </w:tc>
        <w:tc>
          <w:tcPr>
            <w:tcW w:type="dxa" w:w="1656"/>
            <w:shd w:fill="FFFFFF"/>
            <w:tcMar>
              <w:top w:w="70" w:type="dxa"/>
              <w:start w:w="70" w:type="dxa"/>
              <w:bottom w:w="70" w:type="dxa"/>
              <w:end w:w="70" w:type="dxa"/>
            </w:tcMar>
            <w:vAlign w:val="top"/>
          </w:tcPr>
          <w:p>
            <w:r>
              <w:rPr>
                <w:rFonts w:ascii="Inter" w:hAnsi="Inter" w:eastAsia="Inter"/>
                <w:b w:val="0"/>
                <w:color w:val="222222"/>
                <w:sz w:val="15"/>
              </w:rPr>
              <w:t>Jobs, projects, placements</w:t>
            </w:r>
          </w:p>
        </w:tc>
        <w:tc>
          <w:tcPr>
            <w:tcW w:type="dxa" w:w="2232"/>
            <w:shd w:fill="FFFFFF"/>
            <w:tcMar>
              <w:top w:w="70" w:type="dxa"/>
              <w:start w:w="70" w:type="dxa"/>
              <w:bottom w:w="70" w:type="dxa"/>
              <w:end w:w="70" w:type="dxa"/>
            </w:tcMar>
            <w:vAlign w:val="top"/>
          </w:tcPr>
          <w:p>
            <w:r>
              <w:rPr>
                <w:rFonts w:ascii="Inter" w:hAnsi="Inter" w:eastAsia="Inter"/>
                <w:b w:val="0"/>
                <w:color w:val="222222"/>
                <w:sz w:val="15"/>
              </w:rPr>
              <w:t>Create an intermediate builder pathway</w:t>
            </w:r>
          </w:p>
        </w:tc>
      </w:tr>
      <w:tr>
        <w:trPr>
          <w:cantSplit/>
        </w:trPr>
        <w:tc>
          <w:tcPr>
            <w:tcW w:type="dxa" w:w="1440"/>
            <w:shd w:fill="F8FAF8"/>
            <w:tcMar>
              <w:top w:w="70" w:type="dxa"/>
              <w:start w:w="70" w:type="dxa"/>
              <w:bottom w:w="70" w:type="dxa"/>
              <w:end w:w="70" w:type="dxa"/>
            </w:tcMar>
            <w:vAlign w:val="top"/>
          </w:tcPr>
          <w:p>
            <w:r>
              <w:rPr>
                <w:rFonts w:ascii="Inter" w:hAnsi="Inter" w:eastAsia="Inter"/>
                <w:b/>
                <w:color w:val="1F2A44"/>
                <w:sz w:val="15"/>
              </w:rPr>
              <w:t>Plum Village</w:t>
            </w:r>
          </w:p>
        </w:tc>
        <w:tc>
          <w:tcPr>
            <w:tcW w:type="dxa" w:w="1656"/>
            <w:shd w:fill="F8FAF8"/>
            <w:tcMar>
              <w:top w:w="70" w:type="dxa"/>
              <w:start w:w="70" w:type="dxa"/>
              <w:bottom w:w="70" w:type="dxa"/>
              <w:end w:w="70" w:type="dxa"/>
            </w:tcMar>
            <w:vAlign w:val="top"/>
          </w:tcPr>
          <w:p>
            <w:r>
              <w:rPr>
                <w:rFonts w:ascii="Inter" w:hAnsi="Inter" w:eastAsia="Inter"/>
                <w:b w:val="0"/>
                <w:color w:val="222222"/>
                <w:sz w:val="15"/>
              </w:rPr>
              <w:t>Need and commitment-based</w:t>
            </w:r>
          </w:p>
        </w:tc>
        <w:tc>
          <w:tcPr>
            <w:tcW w:type="dxa" w:w="1800"/>
            <w:shd w:fill="F8FAF8"/>
            <w:tcMar>
              <w:top w:w="70" w:type="dxa"/>
              <w:start w:w="70" w:type="dxa"/>
              <w:bottom w:w="70" w:type="dxa"/>
              <w:end w:w="70" w:type="dxa"/>
            </w:tcMar>
            <w:vAlign w:val="top"/>
          </w:tcPr>
          <w:p>
            <w:r>
              <w:rPr>
                <w:rFonts w:ascii="Inter" w:hAnsi="Inter" w:eastAsia="Inter"/>
                <w:b w:val="0"/>
                <w:color w:val="222222"/>
                <w:sz w:val="15"/>
              </w:rPr>
              <w:t>Read, find a group, or attend</w:t>
            </w:r>
          </w:p>
        </w:tc>
        <w:tc>
          <w:tcPr>
            <w:tcW w:type="dxa" w:w="1296"/>
            <w:shd w:fill="F8FAF8"/>
            <w:tcMar>
              <w:top w:w="70" w:type="dxa"/>
              <w:start w:w="70" w:type="dxa"/>
              <w:bottom w:w="70" w:type="dxa"/>
              <w:end w:w="70" w:type="dxa"/>
            </w:tcMar>
            <w:vAlign w:val="top"/>
          </w:tcPr>
          <w:p>
            <w:r>
              <w:rPr>
                <w:rFonts w:ascii="Inter" w:hAnsi="Inter" w:eastAsia="Inter"/>
                <w:b w:val="0"/>
                <w:color w:val="222222"/>
                <w:sz w:val="15"/>
              </w:rPr>
              <w:t>Very high</w:t>
            </w:r>
          </w:p>
        </w:tc>
        <w:tc>
          <w:tcPr>
            <w:tcW w:type="dxa" w:w="1512"/>
            <w:shd w:fill="F8FAF8"/>
            <w:tcMar>
              <w:top w:w="70" w:type="dxa"/>
              <w:start w:w="70" w:type="dxa"/>
              <w:bottom w:w="70" w:type="dxa"/>
              <w:end w:w="70" w:type="dxa"/>
            </w:tcMar>
            <w:vAlign w:val="top"/>
          </w:tcPr>
          <w:p>
            <w:r>
              <w:rPr>
                <w:rFonts w:ascii="Inter" w:hAnsi="Inter" w:eastAsia="Inter"/>
                <w:b w:val="0"/>
                <w:color w:val="222222"/>
                <w:sz w:val="15"/>
              </w:rPr>
              <w:t>Relationship-based</w:t>
            </w:r>
          </w:p>
        </w:tc>
        <w:tc>
          <w:tcPr>
            <w:tcW w:type="dxa" w:w="1800"/>
            <w:shd w:fill="F8FAF8"/>
            <w:tcMar>
              <w:top w:w="70" w:type="dxa"/>
              <w:start w:w="70" w:type="dxa"/>
              <w:bottom w:w="70" w:type="dxa"/>
              <w:end w:w="70" w:type="dxa"/>
            </w:tcMar>
            <w:vAlign w:val="top"/>
          </w:tcPr>
          <w:p>
            <w:r>
              <w:rPr>
                <w:rFonts w:ascii="Inter" w:hAnsi="Inter" w:eastAsia="Inter"/>
                <w:b w:val="0"/>
                <w:color w:val="222222"/>
                <w:sz w:val="15"/>
              </w:rPr>
              <w:t>Published ethical practices and continuity</w:t>
            </w:r>
          </w:p>
        </w:tc>
        <w:tc>
          <w:tcPr>
            <w:tcW w:type="dxa" w:w="1656"/>
            <w:shd w:fill="F8FAF8"/>
            <w:tcMar>
              <w:top w:w="70" w:type="dxa"/>
              <w:start w:w="70" w:type="dxa"/>
              <w:bottom w:w="70" w:type="dxa"/>
              <w:end w:w="70" w:type="dxa"/>
            </w:tcMar>
            <w:vAlign w:val="top"/>
          </w:tcPr>
          <w:p>
            <w:r>
              <w:rPr>
                <w:rFonts w:ascii="Inter" w:hAnsi="Inter" w:eastAsia="Inter"/>
                <w:b w:val="0"/>
                <w:color w:val="222222"/>
                <w:sz w:val="15"/>
              </w:rPr>
              <w:t>Groups, retreats, service</w:t>
            </w:r>
          </w:p>
        </w:tc>
        <w:tc>
          <w:tcPr>
            <w:tcW w:type="dxa" w:w="2232"/>
            <w:shd w:fill="F8FAF8"/>
            <w:tcMar>
              <w:top w:w="70" w:type="dxa"/>
              <w:start w:w="70" w:type="dxa"/>
              <w:bottom w:w="70" w:type="dxa"/>
              <w:end w:w="70" w:type="dxa"/>
            </w:tcMar>
            <w:vAlign w:val="top"/>
          </w:tcPr>
          <w:p>
            <w:r>
              <w:rPr>
                <w:rFonts w:ascii="Inter" w:hAnsi="Inter" w:eastAsia="Inter"/>
                <w:b w:val="0"/>
                <w:color w:val="222222"/>
                <w:sz w:val="15"/>
              </w:rPr>
              <w:t>Layer participation and shared commitments</w:t>
            </w:r>
          </w:p>
        </w:tc>
      </w:tr>
    </w:tbl>
    <w:p>
      <w:pPr>
        <w:sectPr>
          <w:pgSz w:w="15840" w:h="12240" w:orient="landscape"/>
          <w:pgMar w:top="792" w:right="792" w:bottom="792" w:left="792" w:header="288" w:footer="288" w:gutter="0"/>
          <w:cols w:space="720"/>
          <w:docGrid w:linePitch="360"/>
        </w:sectPr>
      </w:pPr>
    </w:p>
    <w:p>
      <w:pPr>
        <w:spacing w:before="200" w:after="100"/>
        <w:keepNext/>
        <w:pBdr>
          <w:bottom w:val="single" w:sz="8" w:space="4" w:color="B88A33"/>
        </w:pBdr>
      </w:pPr>
      <w:r>
        <w:rPr>
          <w:rFonts w:ascii="Inter Display" w:hAnsi="Inter Display" w:eastAsia="Inter Display"/>
          <w:b/>
          <w:color w:val="1F2A44"/>
          <w:sz w:val="36"/>
        </w:rPr>
        <w:t>5. Pattern Analysis</w:t>
      </w:r>
    </w:p>
    <w:p>
      <w:pPr>
        <w:spacing w:before="120" w:after="100"/>
        <w:keepNext/>
      </w:pPr>
      <w:r>
        <w:rPr>
          <w:rFonts w:ascii="Inter Display" w:hAnsi="Inter Display" w:eastAsia="Inter Display"/>
          <w:b/>
          <w:color w:val="496A4B"/>
          <w:sz w:val="27"/>
        </w:rPr>
        <w:t>A. How complex ecosystems are explained</w:t>
      </w:r>
    </w:p>
    <w:p>
      <w:pPr>
        <w:spacing w:after="80" w:line="259" w:lineRule="auto"/>
      </w:pPr>
      <w:r>
        <w:rPr>
          <w:rFonts w:ascii="Inter" w:hAnsi="Inter" w:eastAsia="Inter"/>
          <w:color w:val="222222"/>
          <w:sz w:val="20"/>
        </w:rPr>
        <w:t>The strongest benchmark sites use one recognizable public identity, then reveal complexity through dedicated pathways. Impact Hub uses a global site to route people toward local hubs and programs. B Lab separates its institution, assessment process, participating companies, and member community. For this project, the parent website can explain the relationship among the three parts without requiring every visitor to study the organizational structure before taking action.</w:t>
      </w:r>
    </w:p>
    <w:p>
      <w:pPr>
        <w:spacing w:before="120" w:after="100"/>
        <w:keepNext/>
      </w:pPr>
      <w:r>
        <w:rPr>
          <w:rFonts w:ascii="Inter Display" w:hAnsi="Inter Display" w:eastAsia="Inter Display"/>
          <w:b/>
          <w:color w:val="496A4B"/>
          <w:sz w:val="27"/>
        </w:rPr>
        <w:t>B. How different audiences are routed</w:t>
      </w:r>
    </w:p>
    <w:p>
      <w:pPr>
        <w:spacing w:after="80" w:line="259" w:lineRule="auto"/>
      </w:pPr>
      <w:r>
        <w:rPr>
          <w:rFonts w:ascii="Inter" w:hAnsi="Inter" w:eastAsia="Inter"/>
          <w:color w:val="222222"/>
          <w:sz w:val="20"/>
        </w:rPr>
        <w:t>Role-based routing works when visitors already understand who they are, such as an organization, builder, partner, or community participant. Need-based routing works when visitors know the problem but not the internal branch. Identity-based routing can strengthen belonging, but it creates more initial friction. A combined model is most appropriate: the Start Here page should ask what brings the visitor to the site, then explain the relevant branch.</w:t>
      </w:r>
    </w:p>
    <w:p>
      <w:pPr>
        <w:spacing w:before="120" w:after="100"/>
        <w:keepNext/>
      </w:pPr>
      <w:r>
        <w:rPr>
          <w:rFonts w:ascii="Inter Display" w:hAnsi="Inter Display" w:eastAsia="Inter Display"/>
          <w:b/>
          <w:color w:val="496A4B"/>
          <w:sz w:val="27"/>
        </w:rPr>
        <w:t>C. How participation is layered</w:t>
      </w:r>
    </w:p>
    <w:p>
      <w:pPr>
        <w:spacing w:after="80" w:line="259" w:lineRule="auto"/>
      </w:pPr>
      <w:r>
        <w:rPr>
          <w:rFonts w:ascii="Inter" w:hAnsi="Inter" w:eastAsia="Inter"/>
          <w:color w:val="222222"/>
          <w:sz w:val="20"/>
        </w:rPr>
        <w:t>Public learning, low-pressure exploration, applications, one-on-one support, projects, and trusted membership should not be collapsed into a single form. 80,000 Hours, Animal Advocacy Careers, and Plum Village all show different forms of progressive depth. The useful principle is proportional preparation: the more resource-intensive or sensitive the opportunity, the clearer the preparation and review should be.</w:t>
      </w:r>
    </w:p>
    <w:p>
      <w:pPr>
        <w:spacing w:before="120" w:after="100"/>
        <w:keepNext/>
      </w:pPr>
      <w:r>
        <w:rPr>
          <w:rFonts w:ascii="Inter Display" w:hAnsi="Inter Display" w:eastAsia="Inter Display"/>
          <w:b/>
          <w:color w:val="496A4B"/>
          <w:sz w:val="27"/>
        </w:rPr>
        <w:t>D. How trust is built</w:t>
      </w:r>
    </w:p>
    <w:p>
      <w:pPr>
        <w:spacing w:after="80" w:line="259" w:lineRule="auto"/>
      </w:pPr>
      <w:r>
        <w:rPr>
          <w:rFonts w:ascii="Inter" w:hAnsi="Inter" w:eastAsia="Inter"/>
          <w:color w:val="222222"/>
          <w:sz w:val="20"/>
        </w:rPr>
        <w:t>The benchmarks rely on visible infrastructure rather than aspirational language alone. Trust signals include published standards, methods, impact evidence, named people, partner permissions, transparent selection criteria, complaint processes, financial information, and honest limitations. Because the proposed ecosystem is early-stage, it should emphasize verifiable work and transparent process rather than claims of scale.</w:t>
      </w:r>
    </w:p>
    <w:p>
      <w:pPr>
        <w:spacing w:before="120" w:after="100"/>
        <w:keepNext/>
      </w:pPr>
      <w:r>
        <w:rPr>
          <w:rFonts w:ascii="Inter Display" w:hAnsi="Inter Display" w:eastAsia="Inter Display"/>
          <w:b/>
          <w:color w:val="496A4B"/>
          <w:sz w:val="27"/>
        </w:rPr>
        <w:t>E. How one-on-one support is presented</w:t>
      </w:r>
    </w:p>
    <w:p>
      <w:pPr>
        <w:spacing w:after="80" w:line="259" w:lineRule="auto"/>
      </w:pPr>
      <w:r>
        <w:rPr>
          <w:rFonts w:ascii="Inter" w:hAnsi="Inter" w:eastAsia="Inter"/>
          <w:color w:val="222222"/>
          <w:sz w:val="20"/>
        </w:rPr>
        <w:t>One-on-one support is clearest when the site states who the conversation is for, who provides it, its approximate duration, what the participant should prepare, what will not be provided, and the likely next step. OpenDoorClimate demonstrates low-friction boundaries; 80,000 Hours demonstrates selective advising. The Liberation Network may need a lighter relationship-based model, but it still requires consent, scope, and follow-up expectations.</w:t>
      </w:r>
    </w:p>
    <w:p>
      <w:pPr>
        <w:spacing w:before="120" w:after="100"/>
        <w:keepNext/>
      </w:pPr>
      <w:r>
        <w:rPr>
          <w:rFonts w:ascii="Inter Display" w:hAnsi="Inter Display" w:eastAsia="Inter Display"/>
          <w:b/>
          <w:color w:val="496A4B"/>
          <w:sz w:val="27"/>
        </w:rPr>
        <w:t>F. How opportunities are presented</w:t>
      </w:r>
    </w:p>
    <w:p>
      <w:pPr>
        <w:spacing w:after="80" w:line="259" w:lineRule="auto"/>
      </w:pPr>
      <w:r>
        <w:rPr>
          <w:rFonts w:ascii="Inter" w:hAnsi="Inter" w:eastAsia="Inter"/>
          <w:color w:val="222222"/>
          <w:sz w:val="20"/>
        </w:rPr>
        <w:t>Jobs, projects, volunteering, fellowships, partnerships, and introductions are usually placed in dedicated functional areas. This prevents the main philosophy from becoming transactional and prevents visitors from assuming that community participation guarantees work. DoGoodie builder opportunities and Liberation mutual-support pathways should remain clearly distinguished.</w:t>
      </w:r>
    </w:p>
    <w:p>
      <w:pPr>
        <w:spacing w:before="120" w:after="100"/>
        <w:keepNext/>
      </w:pPr>
      <w:r>
        <w:rPr>
          <w:rFonts w:ascii="Inter Display" w:hAnsi="Inter Display" w:eastAsia="Inter Display"/>
          <w:b/>
          <w:color w:val="496A4B"/>
          <w:sz w:val="27"/>
        </w:rPr>
        <w:t>G. How safeguards are communicated</w:t>
      </w:r>
    </w:p>
    <w:p>
      <w:pPr>
        <w:spacing w:after="80" w:line="259" w:lineRule="auto"/>
      </w:pPr>
      <w:r>
        <w:rPr>
          <w:rFonts w:ascii="Inter" w:hAnsi="Inter" w:eastAsia="Inter"/>
          <w:color w:val="222222"/>
          <w:sz w:val="20"/>
        </w:rPr>
        <w:t>Legal policies are necessary but insufficient. B Lab integrates disclosures and complaints into its active process; Plum Village embeds ethical expectations into public community teachings. The proposed website should place concise safeguards near applications, project opportunities, partner inquiries, and one-on-one conversations, while maintaining separate privacy, terms, accessibility, and report-a-concern pages.</w:t>
      </w:r>
    </w:p>
    <w:p>
      <w:pPr>
        <w:spacing w:before="200" w:after="100"/>
        <w:keepNext/>
        <w:pBdr>
          <w:bottom w:val="single" w:sz="8" w:space="4" w:color="B88A33"/>
        </w:pBdr>
      </w:pPr>
      <w:r>
        <w:rPr>
          <w:rFonts w:ascii="Inter Display" w:hAnsi="Inter Display" w:eastAsia="Inter Display"/>
          <w:b/>
          <w:color w:val="1F2A44"/>
          <w:sz w:val="36"/>
        </w:rPr>
        <w:t>6. Responsible Applications to the Proposed Ecosystem</w:t>
      </w:r>
    </w:p>
    <w:tbl>
      <w:tblPr>
        <w:tblW w:type="auto" w:w="0"/>
        <w:jc w:val="center"/>
        <w:tblLayout w:type="fixed"/>
        <w:tblLook w:firstColumn="1" w:firstRow="1" w:lastColumn="0" w:lastRow="0" w:noHBand="0" w:noVBand="1" w:val="04A0"/>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Pr>
      <w:tblGrid>
        <w:gridCol w:w="1728"/>
        <w:gridCol w:w="2232"/>
        <w:gridCol w:w="1584"/>
        <w:gridCol w:w="1944"/>
        <w:gridCol w:w="1944"/>
        <w:gridCol w:w="792"/>
      </w:tblGrid>
      <w:tr>
        <w:trPr>
          <w:tblHeader w:val="true"/>
        </w:trPr>
        <w:tc>
          <w:tcPr>
            <w:tcW w:type="dxa" w:w="1666"/>
            <w:shd w:fill="496A4B"/>
            <w:tcMar>
              <w:top w:w="70" w:type="dxa"/>
              <w:start w:w="70" w:type="dxa"/>
              <w:bottom w:w="70" w:type="dxa"/>
              <w:end w:w="70" w:type="dxa"/>
            </w:tcMar>
          </w:tcPr>
          <w:p>
            <w:r>
              <w:rPr>
                <w:rFonts w:ascii="Inter" w:hAnsi="Inter" w:eastAsia="Inter"/>
                <w:b/>
                <w:color w:val="FFFFFF"/>
                <w:sz w:val="15"/>
              </w:rPr>
              <w:t>Benchmark Pattern</w:t>
            </w:r>
          </w:p>
        </w:tc>
        <w:tc>
          <w:tcPr>
            <w:tcW w:type="dxa" w:w="1666"/>
            <w:shd w:fill="496A4B"/>
            <w:tcMar>
              <w:top w:w="70" w:type="dxa"/>
              <w:start w:w="70" w:type="dxa"/>
              <w:bottom w:w="70" w:type="dxa"/>
              <w:end w:w="70" w:type="dxa"/>
            </w:tcMar>
          </w:tcPr>
          <w:p>
            <w:r>
              <w:rPr>
                <w:rFonts w:ascii="Inter" w:hAnsi="Inter" w:eastAsia="Inter"/>
                <w:b/>
                <w:color w:val="FFFFFF"/>
                <w:sz w:val="15"/>
              </w:rPr>
              <w:t>Proposed Application</w:t>
            </w:r>
          </w:p>
        </w:tc>
        <w:tc>
          <w:tcPr>
            <w:tcW w:type="dxa" w:w="1666"/>
            <w:shd w:fill="496A4B"/>
            <w:tcMar>
              <w:top w:w="70" w:type="dxa"/>
              <w:start w:w="70" w:type="dxa"/>
              <w:bottom w:w="70" w:type="dxa"/>
              <w:end w:w="70" w:type="dxa"/>
            </w:tcMar>
          </w:tcPr>
          <w:p>
            <w:r>
              <w:rPr>
                <w:rFonts w:ascii="Inter" w:hAnsi="Inter" w:eastAsia="Inter"/>
                <w:b/>
                <w:color w:val="FFFFFF"/>
                <w:sz w:val="15"/>
              </w:rPr>
              <w:t>Relevant Area</w:t>
            </w:r>
          </w:p>
        </w:tc>
        <w:tc>
          <w:tcPr>
            <w:tcW w:type="dxa" w:w="1666"/>
            <w:shd w:fill="496A4B"/>
            <w:tcMar>
              <w:top w:w="70" w:type="dxa"/>
              <w:start w:w="70" w:type="dxa"/>
              <w:bottom w:w="70" w:type="dxa"/>
              <w:end w:w="70" w:type="dxa"/>
            </w:tcMar>
          </w:tcPr>
          <w:p>
            <w:r>
              <w:rPr>
                <w:rFonts w:ascii="Inter" w:hAnsi="Inter" w:eastAsia="Inter"/>
                <w:b/>
                <w:color w:val="FFFFFF"/>
                <w:sz w:val="15"/>
              </w:rPr>
              <w:t>Why It Fits</w:t>
            </w:r>
          </w:p>
        </w:tc>
        <w:tc>
          <w:tcPr>
            <w:tcW w:type="dxa" w:w="1666"/>
            <w:shd w:fill="496A4B"/>
            <w:tcMar>
              <w:top w:w="70" w:type="dxa"/>
              <w:start w:w="70" w:type="dxa"/>
              <w:bottom w:w="70" w:type="dxa"/>
              <w:end w:w="70" w:type="dxa"/>
            </w:tcMar>
          </w:tcPr>
          <w:p>
            <w:r>
              <w:rPr>
                <w:rFonts w:ascii="Inter" w:hAnsi="Inter" w:eastAsia="Inter"/>
                <w:b/>
                <w:color w:val="FFFFFF"/>
                <w:sz w:val="15"/>
              </w:rPr>
              <w:t>Risk or Limitation</w:t>
            </w:r>
          </w:p>
        </w:tc>
        <w:tc>
          <w:tcPr>
            <w:tcW w:type="dxa" w:w="1666"/>
            <w:shd w:fill="496A4B"/>
            <w:tcMar>
              <w:top w:w="70" w:type="dxa"/>
              <w:start w:w="70" w:type="dxa"/>
              <w:bottom w:w="70" w:type="dxa"/>
              <w:end w:w="70" w:type="dxa"/>
            </w:tcMar>
          </w:tcPr>
          <w:p>
            <w:r>
              <w:rPr>
                <w:rFonts w:ascii="Inter" w:hAnsi="Inter" w:eastAsia="Inter"/>
                <w:b/>
                <w:color w:val="FFFFFF"/>
                <w:sz w:val="15"/>
              </w:rPr>
              <w:t>Phase</w:t>
            </w:r>
          </w:p>
        </w:tc>
      </w:tr>
      <w:tr>
        <w:trPr>
          <w:cantSplit/>
        </w:trPr>
        <w:tc>
          <w:tcPr>
            <w:tcW w:type="dxa" w:w="1728"/>
            <w:shd w:fill="F8FAF8"/>
            <w:tcMar>
              <w:top w:w="65" w:type="dxa"/>
              <w:start w:w="65" w:type="dxa"/>
              <w:bottom w:w="65" w:type="dxa"/>
              <w:end w:w="65" w:type="dxa"/>
            </w:tcMar>
            <w:vAlign w:val="top"/>
          </w:tcPr>
          <w:p>
            <w:r>
              <w:rPr>
                <w:rFonts w:ascii="Inter" w:hAnsi="Inter" w:eastAsia="Inter"/>
                <w:b/>
                <w:color w:val="1F2A44"/>
                <w:sz w:val="14"/>
              </w:rPr>
              <w:t>Unified parent front door</w:t>
            </w:r>
          </w:p>
        </w:tc>
        <w:tc>
          <w:tcPr>
            <w:tcW w:type="dxa" w:w="2232"/>
            <w:shd w:fill="F8FAF8"/>
            <w:tcMar>
              <w:top w:w="65" w:type="dxa"/>
              <w:start w:w="65" w:type="dxa"/>
              <w:bottom w:w="65" w:type="dxa"/>
              <w:end w:w="65" w:type="dxa"/>
            </w:tcMar>
            <w:vAlign w:val="top"/>
          </w:tcPr>
          <w:p>
            <w:r>
              <w:rPr>
                <w:rFonts w:ascii="Inter" w:hAnsi="Inter" w:eastAsia="Inter"/>
                <w:b w:val="0"/>
                <w:color w:val="222222"/>
                <w:sz w:val="14"/>
              </w:rPr>
              <w:t>Build one public website under the parent first, with clearly separated pathways for organizations, builders, the Liberation Network, and partners.</w:t>
            </w:r>
          </w:p>
        </w:tc>
        <w:tc>
          <w:tcPr>
            <w:tcW w:type="dxa" w:w="1584"/>
            <w:shd w:fill="F8FAF8"/>
            <w:tcMar>
              <w:top w:w="65" w:type="dxa"/>
              <w:start w:w="65" w:type="dxa"/>
              <w:bottom w:w="65" w:type="dxa"/>
              <w:end w:w="65" w:type="dxa"/>
            </w:tcMar>
            <w:vAlign w:val="top"/>
          </w:tcPr>
          <w:p>
            <w:r>
              <w:rPr>
                <w:rFonts w:ascii="Inter" w:hAnsi="Inter" w:eastAsia="Inter"/>
                <w:b w:val="0"/>
                <w:color w:val="222222"/>
                <w:sz w:val="14"/>
              </w:rPr>
              <w:t>Shared website / Home / Start Here</w:t>
            </w:r>
          </w:p>
        </w:tc>
        <w:tc>
          <w:tcPr>
            <w:tcW w:type="dxa" w:w="1944"/>
            <w:shd w:fill="F8FAF8"/>
            <w:tcMar>
              <w:top w:w="65" w:type="dxa"/>
              <w:start w:w="65" w:type="dxa"/>
              <w:bottom w:w="65" w:type="dxa"/>
              <w:end w:w="65" w:type="dxa"/>
            </w:tcMar>
            <w:vAlign w:val="top"/>
          </w:tcPr>
          <w:p>
            <w:r>
              <w:rPr>
                <w:rFonts w:ascii="Inter" w:hAnsi="Inter" w:eastAsia="Inter"/>
                <w:b w:val="0"/>
                <w:color w:val="222222"/>
                <w:sz w:val="14"/>
              </w:rPr>
              <w:t>Reduces brand confusion and duplicate maintenance.</w:t>
            </w:r>
          </w:p>
        </w:tc>
        <w:tc>
          <w:tcPr>
            <w:tcW w:type="dxa" w:w="1944"/>
            <w:shd w:fill="F8FAF8"/>
            <w:tcMar>
              <w:top w:w="65" w:type="dxa"/>
              <w:start w:w="65" w:type="dxa"/>
              <w:bottom w:w="65" w:type="dxa"/>
              <w:end w:w="65" w:type="dxa"/>
            </w:tcMar>
            <w:vAlign w:val="top"/>
          </w:tcPr>
          <w:p>
            <w:r>
              <w:rPr>
                <w:rFonts w:ascii="Inter" w:hAnsi="Inter" w:eastAsia="Inter"/>
                <w:b w:val="0"/>
                <w:color w:val="222222"/>
                <w:sz w:val="14"/>
              </w:rPr>
              <w:t>The parent name and public role remain unapproved.</w:t>
            </w:r>
          </w:p>
        </w:tc>
        <w:tc>
          <w:tcPr>
            <w:tcW w:type="dxa" w:w="792"/>
            <w:shd w:fill="F8FAF8"/>
            <w:tcMar>
              <w:top w:w="65" w:type="dxa"/>
              <w:start w:w="65" w:type="dxa"/>
              <w:bottom w:w="65" w:type="dxa"/>
              <w:end w:w="65" w:type="dxa"/>
            </w:tcMar>
            <w:vAlign w:val="top"/>
          </w:tcPr>
          <w:p>
            <w:r>
              <w:rPr>
                <w:rFonts w:ascii="Inter" w:hAnsi="Inter" w:eastAsia="Inter"/>
                <w:b w:val="0"/>
                <w:color w:val="222222"/>
                <w:sz w:val="14"/>
              </w:rPr>
              <w:t>MVP</w:t>
            </w:r>
          </w:p>
        </w:tc>
      </w:tr>
      <w:tr>
        <w:trPr>
          <w:cantSplit/>
        </w:trPr>
        <w:tc>
          <w:tcPr>
            <w:tcW w:type="dxa" w:w="1728"/>
            <w:shd w:fill="FFFFFF"/>
            <w:tcMar>
              <w:top w:w="65" w:type="dxa"/>
              <w:start w:w="65" w:type="dxa"/>
              <w:bottom w:w="65" w:type="dxa"/>
              <w:end w:w="65" w:type="dxa"/>
            </w:tcMar>
            <w:vAlign w:val="top"/>
          </w:tcPr>
          <w:p>
            <w:r>
              <w:rPr>
                <w:rFonts w:ascii="Inter" w:hAnsi="Inter" w:eastAsia="Inter"/>
                <w:b/>
                <w:color w:val="1F2A44"/>
                <w:sz w:val="14"/>
              </w:rPr>
              <w:t>Need- and role-based routing</w:t>
            </w:r>
          </w:p>
        </w:tc>
        <w:tc>
          <w:tcPr>
            <w:tcW w:type="dxa" w:w="2232"/>
            <w:shd w:fill="FFFFFF"/>
            <w:tcMar>
              <w:top w:w="65" w:type="dxa"/>
              <w:start w:w="65" w:type="dxa"/>
              <w:bottom w:w="65" w:type="dxa"/>
              <w:end w:w="65" w:type="dxa"/>
            </w:tcMar>
            <w:vAlign w:val="top"/>
          </w:tcPr>
          <w:p>
            <w:r>
              <w:rPr>
                <w:rFonts w:ascii="Inter" w:hAnsi="Inter" w:eastAsia="Inter"/>
                <w:b w:val="0"/>
                <w:color w:val="222222"/>
                <w:sz w:val="14"/>
              </w:rPr>
              <w:t>Ask visitors what brings them to the site before explaining the whole ecosystem.</w:t>
            </w:r>
          </w:p>
        </w:tc>
        <w:tc>
          <w:tcPr>
            <w:tcW w:type="dxa" w:w="1584"/>
            <w:shd w:fill="FFFFFF"/>
            <w:tcMar>
              <w:top w:w="65" w:type="dxa"/>
              <w:start w:w="65" w:type="dxa"/>
              <w:bottom w:w="65" w:type="dxa"/>
              <w:end w:w="65" w:type="dxa"/>
            </w:tcMar>
            <w:vAlign w:val="top"/>
          </w:tcPr>
          <w:p>
            <w:r>
              <w:rPr>
                <w:rFonts w:ascii="Inter" w:hAnsi="Inter" w:eastAsia="Inter"/>
                <w:b w:val="0"/>
                <w:color w:val="222222"/>
                <w:sz w:val="14"/>
              </w:rPr>
              <w:t>Start Here</w:t>
            </w:r>
          </w:p>
        </w:tc>
        <w:tc>
          <w:tcPr>
            <w:tcW w:type="dxa" w:w="1944"/>
            <w:shd w:fill="FFFFFF"/>
            <w:tcMar>
              <w:top w:w="65" w:type="dxa"/>
              <w:start w:w="65" w:type="dxa"/>
              <w:bottom w:w="65" w:type="dxa"/>
              <w:end w:w="65" w:type="dxa"/>
            </w:tcMar>
            <w:vAlign w:val="top"/>
          </w:tcPr>
          <w:p>
            <w:r>
              <w:rPr>
                <w:rFonts w:ascii="Inter" w:hAnsi="Inter" w:eastAsia="Inter"/>
                <w:b w:val="0"/>
                <w:color w:val="222222"/>
                <w:sz w:val="14"/>
              </w:rPr>
              <w:t>Matches the behavior of strong multi-audience benchmark sites.</w:t>
            </w:r>
          </w:p>
        </w:tc>
        <w:tc>
          <w:tcPr>
            <w:tcW w:type="dxa" w:w="1944"/>
            <w:shd w:fill="FFFFFF"/>
            <w:tcMar>
              <w:top w:w="65" w:type="dxa"/>
              <w:start w:w="65" w:type="dxa"/>
              <w:bottom w:w="65" w:type="dxa"/>
              <w:end w:w="65" w:type="dxa"/>
            </w:tcMar>
            <w:vAlign w:val="top"/>
          </w:tcPr>
          <w:p>
            <w:r>
              <w:rPr>
                <w:rFonts w:ascii="Inter" w:hAnsi="Inter" w:eastAsia="Inter"/>
                <w:b w:val="0"/>
                <w:color w:val="222222"/>
                <w:sz w:val="14"/>
              </w:rPr>
              <w:t>Too many choices or unclear labels can still create friction.</w:t>
            </w:r>
          </w:p>
        </w:tc>
        <w:tc>
          <w:tcPr>
            <w:tcW w:type="dxa" w:w="792"/>
            <w:shd w:fill="FFFFFF"/>
            <w:tcMar>
              <w:top w:w="65" w:type="dxa"/>
              <w:start w:w="65" w:type="dxa"/>
              <w:bottom w:w="65" w:type="dxa"/>
              <w:end w:w="65" w:type="dxa"/>
            </w:tcMar>
            <w:vAlign w:val="top"/>
          </w:tcPr>
          <w:p>
            <w:r>
              <w:rPr>
                <w:rFonts w:ascii="Inter" w:hAnsi="Inter" w:eastAsia="Inter"/>
                <w:b w:val="0"/>
                <w:color w:val="222222"/>
                <w:sz w:val="14"/>
              </w:rPr>
              <w:t>MVP</w:t>
            </w:r>
          </w:p>
        </w:tc>
      </w:tr>
      <w:tr>
        <w:trPr>
          <w:cantSplit/>
        </w:trPr>
        <w:tc>
          <w:tcPr>
            <w:tcW w:type="dxa" w:w="1728"/>
            <w:shd w:fill="F8FAF8"/>
            <w:tcMar>
              <w:top w:w="65" w:type="dxa"/>
              <w:start w:w="65" w:type="dxa"/>
              <w:bottom w:w="65" w:type="dxa"/>
              <w:end w:w="65" w:type="dxa"/>
            </w:tcMar>
            <w:vAlign w:val="top"/>
          </w:tcPr>
          <w:p>
            <w:r>
              <w:rPr>
                <w:rFonts w:ascii="Inter" w:hAnsi="Inter" w:eastAsia="Inter"/>
                <w:b/>
                <w:color w:val="1F2A44"/>
                <w:sz w:val="14"/>
              </w:rPr>
              <w:t>Progressive participation</w:t>
            </w:r>
          </w:p>
        </w:tc>
        <w:tc>
          <w:tcPr>
            <w:tcW w:type="dxa" w:w="2232"/>
            <w:shd w:fill="F8FAF8"/>
            <w:tcMar>
              <w:top w:w="65" w:type="dxa"/>
              <w:start w:w="65" w:type="dxa"/>
              <w:bottom w:w="65" w:type="dxa"/>
              <w:end w:w="65" w:type="dxa"/>
            </w:tcMar>
            <w:vAlign w:val="top"/>
          </w:tcPr>
          <w:p>
            <w:r>
              <w:rPr>
                <w:rFonts w:ascii="Inter" w:hAnsi="Inter" w:eastAsia="Inter"/>
                <w:b w:val="0"/>
                <w:color w:val="222222"/>
                <w:sz w:val="14"/>
              </w:rPr>
              <w:t>Offer public resources, an initial conversation, limited collaboration, and deeper trusted participation as separate layers.</w:t>
            </w:r>
          </w:p>
        </w:tc>
        <w:tc>
          <w:tcPr>
            <w:tcW w:type="dxa" w:w="1584"/>
            <w:shd w:fill="F8FAF8"/>
            <w:tcMar>
              <w:top w:w="65" w:type="dxa"/>
              <w:start w:w="65" w:type="dxa"/>
              <w:bottom w:w="65" w:type="dxa"/>
              <w:end w:w="65" w:type="dxa"/>
            </w:tcMar>
            <w:vAlign w:val="top"/>
          </w:tcPr>
          <w:p>
            <w:r>
              <w:rPr>
                <w:rFonts w:ascii="Inter" w:hAnsi="Inter" w:eastAsia="Inter"/>
                <w:b w:val="0"/>
                <w:color w:val="222222"/>
                <w:sz w:val="14"/>
              </w:rPr>
              <w:t>Liberation Network</w:t>
            </w:r>
          </w:p>
        </w:tc>
        <w:tc>
          <w:tcPr>
            <w:tcW w:type="dxa" w:w="1944"/>
            <w:shd w:fill="F8FAF8"/>
            <w:tcMar>
              <w:top w:w="65" w:type="dxa"/>
              <w:start w:w="65" w:type="dxa"/>
              <w:bottom w:w="65" w:type="dxa"/>
              <w:end w:w="65" w:type="dxa"/>
            </w:tcMar>
            <w:vAlign w:val="top"/>
          </w:tcPr>
          <w:p>
            <w:r>
              <w:rPr>
                <w:rFonts w:ascii="Inter" w:hAnsi="Inter" w:eastAsia="Inter"/>
                <w:b w:val="0"/>
                <w:color w:val="222222"/>
                <w:sz w:val="14"/>
              </w:rPr>
              <w:t>Supports trust development without immediate membership pressure.</w:t>
            </w:r>
          </w:p>
        </w:tc>
        <w:tc>
          <w:tcPr>
            <w:tcW w:type="dxa" w:w="1944"/>
            <w:shd w:fill="F8FAF8"/>
            <w:tcMar>
              <w:top w:w="65" w:type="dxa"/>
              <w:start w:w="65" w:type="dxa"/>
              <w:bottom w:w="65" w:type="dxa"/>
              <w:end w:w="65" w:type="dxa"/>
            </w:tcMar>
            <w:vAlign w:val="top"/>
          </w:tcPr>
          <w:p>
            <w:r>
              <w:rPr>
                <w:rFonts w:ascii="Inter" w:hAnsi="Inter" w:eastAsia="Inter"/>
                <w:b w:val="0"/>
                <w:color w:val="222222"/>
                <w:sz w:val="14"/>
              </w:rPr>
              <w:t>Layers must reflect real operational capacity; they cannot be decorative promises.</w:t>
            </w:r>
          </w:p>
        </w:tc>
        <w:tc>
          <w:tcPr>
            <w:tcW w:type="dxa" w:w="792"/>
            <w:shd w:fill="F8FAF8"/>
            <w:tcMar>
              <w:top w:w="65" w:type="dxa"/>
              <w:start w:w="65" w:type="dxa"/>
              <w:bottom w:w="65" w:type="dxa"/>
              <w:end w:w="65" w:type="dxa"/>
            </w:tcMar>
            <w:vAlign w:val="top"/>
          </w:tcPr>
          <w:p>
            <w:r>
              <w:rPr>
                <w:rFonts w:ascii="Inter" w:hAnsi="Inter" w:eastAsia="Inter"/>
                <w:b w:val="0"/>
                <w:color w:val="222222"/>
                <w:sz w:val="14"/>
              </w:rPr>
              <w:t>MVP</w:t>
            </w:r>
          </w:p>
        </w:tc>
      </w:tr>
      <w:tr>
        <w:trPr>
          <w:cantSplit/>
        </w:trPr>
        <w:tc>
          <w:tcPr>
            <w:tcW w:type="dxa" w:w="1728"/>
            <w:shd w:fill="FFFFFF"/>
            <w:tcMar>
              <w:top w:w="65" w:type="dxa"/>
              <w:start w:w="65" w:type="dxa"/>
              <w:bottom w:w="65" w:type="dxa"/>
              <w:end w:w="65" w:type="dxa"/>
            </w:tcMar>
            <w:vAlign w:val="top"/>
          </w:tcPr>
          <w:p>
            <w:r>
              <w:rPr>
                <w:rFonts w:ascii="Inter" w:hAnsi="Inter" w:eastAsia="Inter"/>
                <w:b/>
                <w:color w:val="1F2A44"/>
                <w:sz w:val="14"/>
              </w:rPr>
              <w:t>Bounded one-on-one conversations</w:t>
            </w:r>
          </w:p>
        </w:tc>
        <w:tc>
          <w:tcPr>
            <w:tcW w:type="dxa" w:w="2232"/>
            <w:shd w:fill="FFFFFF"/>
            <w:tcMar>
              <w:top w:w="65" w:type="dxa"/>
              <w:start w:w="65" w:type="dxa"/>
              <w:bottom w:w="65" w:type="dxa"/>
              <w:end w:w="65" w:type="dxa"/>
            </w:tcMar>
            <w:vAlign w:val="top"/>
          </w:tcPr>
          <w:p>
            <w:r>
              <w:rPr>
                <w:rFonts w:ascii="Inter" w:hAnsi="Inter" w:eastAsia="Inter"/>
                <w:b w:val="0"/>
                <w:color w:val="222222"/>
                <w:sz w:val="14"/>
              </w:rPr>
              <w:t>State purpose, duration, expectations, privacy limits, and next steps for introductory conversations.</w:t>
            </w:r>
          </w:p>
        </w:tc>
        <w:tc>
          <w:tcPr>
            <w:tcW w:type="dxa" w:w="1584"/>
            <w:shd w:fill="FFFFFF"/>
            <w:tcMar>
              <w:top w:w="65" w:type="dxa"/>
              <w:start w:w="65" w:type="dxa"/>
              <w:bottom w:w="65" w:type="dxa"/>
              <w:end w:w="65" w:type="dxa"/>
            </w:tcMar>
            <w:vAlign w:val="top"/>
          </w:tcPr>
          <w:p>
            <w:r>
              <w:rPr>
                <w:rFonts w:ascii="Inter" w:hAnsi="Inter" w:eastAsia="Inter"/>
                <w:b w:val="0"/>
                <w:color w:val="222222"/>
                <w:sz w:val="14"/>
              </w:rPr>
              <w:t>Liberation / How It Works</w:t>
            </w:r>
          </w:p>
        </w:tc>
        <w:tc>
          <w:tcPr>
            <w:tcW w:type="dxa" w:w="1944"/>
            <w:shd w:fill="FFFFFF"/>
            <w:tcMar>
              <w:top w:w="65" w:type="dxa"/>
              <w:start w:w="65" w:type="dxa"/>
              <w:bottom w:w="65" w:type="dxa"/>
              <w:end w:w="65" w:type="dxa"/>
            </w:tcMar>
            <w:vAlign w:val="top"/>
          </w:tcPr>
          <w:p>
            <w:r>
              <w:rPr>
                <w:rFonts w:ascii="Inter" w:hAnsi="Inter" w:eastAsia="Inter"/>
                <w:b w:val="0"/>
                <w:color w:val="222222"/>
                <w:sz w:val="14"/>
              </w:rPr>
              <w:t>Protects time and reduces mismatched expectations.</w:t>
            </w:r>
          </w:p>
        </w:tc>
        <w:tc>
          <w:tcPr>
            <w:tcW w:type="dxa" w:w="1944"/>
            <w:shd w:fill="FFFFFF"/>
            <w:tcMar>
              <w:top w:w="65" w:type="dxa"/>
              <w:start w:w="65" w:type="dxa"/>
              <w:bottom w:w="65" w:type="dxa"/>
              <w:end w:w="65" w:type="dxa"/>
            </w:tcMar>
            <w:vAlign w:val="top"/>
          </w:tcPr>
          <w:p>
            <w:r>
              <w:rPr>
                <w:rFonts w:ascii="Inter" w:hAnsi="Inter" w:eastAsia="Inter"/>
                <w:b w:val="0"/>
                <w:color w:val="222222"/>
                <w:sz w:val="14"/>
              </w:rPr>
              <w:t>Needs an owner, scheduling capacity, and concern-reporting process.</w:t>
            </w:r>
          </w:p>
        </w:tc>
        <w:tc>
          <w:tcPr>
            <w:tcW w:type="dxa" w:w="792"/>
            <w:shd w:fill="FFFFFF"/>
            <w:tcMar>
              <w:top w:w="65" w:type="dxa"/>
              <w:start w:w="65" w:type="dxa"/>
              <w:bottom w:w="65" w:type="dxa"/>
              <w:end w:w="65" w:type="dxa"/>
            </w:tcMar>
            <w:vAlign w:val="top"/>
          </w:tcPr>
          <w:p>
            <w:r>
              <w:rPr>
                <w:rFonts w:ascii="Inter" w:hAnsi="Inter" w:eastAsia="Inter"/>
                <w:b w:val="0"/>
                <w:color w:val="222222"/>
                <w:sz w:val="14"/>
              </w:rPr>
              <w:t>MVP</w:t>
            </w:r>
          </w:p>
        </w:tc>
      </w:tr>
      <w:tr>
        <w:trPr>
          <w:cantSplit/>
        </w:trPr>
        <w:tc>
          <w:tcPr>
            <w:tcW w:type="dxa" w:w="1728"/>
            <w:shd w:fill="F8FAF8"/>
            <w:tcMar>
              <w:top w:w="65" w:type="dxa"/>
              <w:start w:w="65" w:type="dxa"/>
              <w:bottom w:w="65" w:type="dxa"/>
              <w:end w:w="65" w:type="dxa"/>
            </w:tcMar>
            <w:vAlign w:val="top"/>
          </w:tcPr>
          <w:p>
            <w:r>
              <w:rPr>
                <w:rFonts w:ascii="Inter" w:hAnsi="Inter" w:eastAsia="Inter"/>
                <w:b/>
                <w:color w:val="1F2A44"/>
                <w:sz w:val="14"/>
              </w:rPr>
              <w:t>Visible standards and limitations</w:t>
            </w:r>
          </w:p>
        </w:tc>
        <w:tc>
          <w:tcPr>
            <w:tcW w:type="dxa" w:w="2232"/>
            <w:shd w:fill="F8FAF8"/>
            <w:tcMar>
              <w:top w:w="65" w:type="dxa"/>
              <w:start w:w="65" w:type="dxa"/>
              <w:bottom w:w="65" w:type="dxa"/>
              <w:end w:w="65" w:type="dxa"/>
            </w:tcMar>
            <w:vAlign w:val="top"/>
          </w:tcPr>
          <w:p>
            <w:r>
              <w:rPr>
                <w:rFonts w:ascii="Inter" w:hAnsi="Inter" w:eastAsia="Inter"/>
                <w:b w:val="0"/>
                <w:color w:val="222222"/>
                <w:sz w:val="14"/>
              </w:rPr>
              <w:t>Explain principles, governance, decision ownership, ethical collaboration, and what the ecosystem is not.</w:t>
            </w:r>
          </w:p>
        </w:tc>
        <w:tc>
          <w:tcPr>
            <w:tcW w:type="dxa" w:w="1584"/>
            <w:shd w:fill="F8FAF8"/>
            <w:tcMar>
              <w:top w:w="65" w:type="dxa"/>
              <w:start w:w="65" w:type="dxa"/>
              <w:bottom w:w="65" w:type="dxa"/>
              <w:end w:w="65" w:type="dxa"/>
            </w:tcMar>
            <w:vAlign w:val="top"/>
          </w:tcPr>
          <w:p>
            <w:r>
              <w:rPr>
                <w:rFonts w:ascii="Inter" w:hAnsi="Inter" w:eastAsia="Inter"/>
                <w:b w:val="0"/>
                <w:color w:val="222222"/>
                <w:sz w:val="14"/>
              </w:rPr>
              <w:t>Ethical Capacity Lab / Ethical Work / About</w:t>
            </w:r>
          </w:p>
        </w:tc>
        <w:tc>
          <w:tcPr>
            <w:tcW w:type="dxa" w:w="1944"/>
            <w:shd w:fill="F8FAF8"/>
            <w:tcMar>
              <w:top w:w="65" w:type="dxa"/>
              <w:start w:w="65" w:type="dxa"/>
              <w:bottom w:w="65" w:type="dxa"/>
              <w:end w:w="65" w:type="dxa"/>
            </w:tcMar>
            <w:vAlign w:val="top"/>
          </w:tcPr>
          <w:p>
            <w:r>
              <w:rPr>
                <w:rFonts w:ascii="Inter" w:hAnsi="Inter" w:eastAsia="Inter"/>
                <w:b w:val="0"/>
                <w:color w:val="222222"/>
                <w:sz w:val="14"/>
              </w:rPr>
              <w:t>Builds trust before the organization has a long impact history.</w:t>
            </w:r>
          </w:p>
        </w:tc>
        <w:tc>
          <w:tcPr>
            <w:tcW w:type="dxa" w:w="1944"/>
            <w:shd w:fill="F8FAF8"/>
            <w:tcMar>
              <w:top w:w="65" w:type="dxa"/>
              <w:start w:w="65" w:type="dxa"/>
              <w:bottom w:w="65" w:type="dxa"/>
              <w:end w:w="65" w:type="dxa"/>
            </w:tcMar>
            <w:vAlign w:val="top"/>
          </w:tcPr>
          <w:p>
            <w:r>
              <w:rPr>
                <w:rFonts w:ascii="Inter" w:hAnsi="Inter" w:eastAsia="Inter"/>
                <w:b w:val="0"/>
                <w:color w:val="222222"/>
                <w:sz w:val="14"/>
              </w:rPr>
              <w:t>Avoid implying legal certification, independent auditing, or guarantees.</w:t>
            </w:r>
          </w:p>
        </w:tc>
        <w:tc>
          <w:tcPr>
            <w:tcW w:type="dxa" w:w="792"/>
            <w:shd w:fill="F8FAF8"/>
            <w:tcMar>
              <w:top w:w="65" w:type="dxa"/>
              <w:start w:w="65" w:type="dxa"/>
              <w:bottom w:w="65" w:type="dxa"/>
              <w:end w:w="65" w:type="dxa"/>
            </w:tcMar>
            <w:vAlign w:val="top"/>
          </w:tcPr>
          <w:p>
            <w:r>
              <w:rPr>
                <w:rFonts w:ascii="Inter" w:hAnsi="Inter" w:eastAsia="Inter"/>
                <w:b w:val="0"/>
                <w:color w:val="222222"/>
                <w:sz w:val="14"/>
              </w:rPr>
              <w:t>MVP</w:t>
            </w:r>
          </w:p>
        </w:tc>
      </w:tr>
      <w:tr>
        <w:trPr>
          <w:cantSplit/>
        </w:trPr>
        <w:tc>
          <w:tcPr>
            <w:tcW w:type="dxa" w:w="1728"/>
            <w:shd w:fill="FFFFFF"/>
            <w:tcMar>
              <w:top w:w="65" w:type="dxa"/>
              <w:start w:w="65" w:type="dxa"/>
              <w:bottom w:w="65" w:type="dxa"/>
              <w:end w:w="65" w:type="dxa"/>
            </w:tcMar>
            <w:vAlign w:val="top"/>
          </w:tcPr>
          <w:p>
            <w:r>
              <w:rPr>
                <w:rFonts w:ascii="Inter" w:hAnsi="Inter" w:eastAsia="Inter"/>
                <w:b/>
                <w:color w:val="1F2A44"/>
                <w:sz w:val="14"/>
              </w:rPr>
              <w:t>Evidence over promotional claims</w:t>
            </w:r>
          </w:p>
        </w:tc>
        <w:tc>
          <w:tcPr>
            <w:tcW w:type="dxa" w:w="2232"/>
            <w:shd w:fill="FFFFFF"/>
            <w:tcMar>
              <w:top w:w="65" w:type="dxa"/>
              <w:start w:w="65" w:type="dxa"/>
              <w:bottom w:w="65" w:type="dxa"/>
              <w:end w:w="65" w:type="dxa"/>
            </w:tcMar>
            <w:vAlign w:val="top"/>
          </w:tcPr>
          <w:p>
            <w:r>
              <w:rPr>
                <w:rFonts w:ascii="Inter" w:hAnsi="Inter" w:eastAsia="Inter"/>
                <w:b w:val="0"/>
                <w:color w:val="222222"/>
                <w:sz w:val="14"/>
              </w:rPr>
              <w:t>Publish approved work, scope, contributors, results, uncertainties, and permission to publish.</w:t>
            </w:r>
          </w:p>
        </w:tc>
        <w:tc>
          <w:tcPr>
            <w:tcW w:type="dxa" w:w="1584"/>
            <w:shd w:fill="FFFFFF"/>
            <w:tcMar>
              <w:top w:w="65" w:type="dxa"/>
              <w:start w:w="65" w:type="dxa"/>
              <w:bottom w:w="65" w:type="dxa"/>
              <w:end w:w="65" w:type="dxa"/>
            </w:tcMar>
            <w:vAlign w:val="top"/>
          </w:tcPr>
          <w:p>
            <w:r>
              <w:rPr>
                <w:rFonts w:ascii="Inter" w:hAnsi="Inter" w:eastAsia="Inter"/>
                <w:b w:val="0"/>
                <w:color w:val="222222"/>
                <w:sz w:val="14"/>
              </w:rPr>
              <w:t>Work and Partners</w:t>
            </w:r>
          </w:p>
        </w:tc>
        <w:tc>
          <w:tcPr>
            <w:tcW w:type="dxa" w:w="1944"/>
            <w:shd w:fill="FFFFFF"/>
            <w:tcMar>
              <w:top w:w="65" w:type="dxa"/>
              <w:start w:w="65" w:type="dxa"/>
              <w:bottom w:w="65" w:type="dxa"/>
              <w:end w:w="65" w:type="dxa"/>
            </w:tcMar>
            <w:vAlign w:val="top"/>
          </w:tcPr>
          <w:p>
            <w:r>
              <w:rPr>
                <w:rFonts w:ascii="Inter" w:hAnsi="Inter" w:eastAsia="Inter"/>
                <w:b w:val="0"/>
                <w:color w:val="222222"/>
                <w:sz w:val="14"/>
              </w:rPr>
              <w:t>Makes the practical value of DoGoodie understandable.</w:t>
            </w:r>
          </w:p>
        </w:tc>
        <w:tc>
          <w:tcPr>
            <w:tcW w:type="dxa" w:w="1944"/>
            <w:shd w:fill="FFFFFF"/>
            <w:tcMar>
              <w:top w:w="65" w:type="dxa"/>
              <w:start w:w="65" w:type="dxa"/>
              <w:bottom w:w="65" w:type="dxa"/>
              <w:end w:w="65" w:type="dxa"/>
            </w:tcMar>
            <w:vAlign w:val="top"/>
          </w:tcPr>
          <w:p>
            <w:r>
              <w:rPr>
                <w:rFonts w:ascii="Inter" w:hAnsi="Inter" w:eastAsia="Inter"/>
                <w:b w:val="0"/>
                <w:color w:val="222222"/>
                <w:sz w:val="14"/>
              </w:rPr>
              <w:t>The team may have limited publishable evidence at launch.</w:t>
            </w:r>
          </w:p>
        </w:tc>
        <w:tc>
          <w:tcPr>
            <w:tcW w:type="dxa" w:w="792"/>
            <w:shd w:fill="FFFFFF"/>
            <w:tcMar>
              <w:top w:w="65" w:type="dxa"/>
              <w:start w:w="65" w:type="dxa"/>
              <w:bottom w:w="65" w:type="dxa"/>
              <w:end w:w="65" w:type="dxa"/>
            </w:tcMar>
            <w:vAlign w:val="top"/>
          </w:tcPr>
          <w:p>
            <w:r>
              <w:rPr>
                <w:rFonts w:ascii="Inter" w:hAnsi="Inter" w:eastAsia="Inter"/>
                <w:b w:val="0"/>
                <w:color w:val="222222"/>
                <w:sz w:val="14"/>
              </w:rPr>
              <w:t>MVP</w:t>
            </w:r>
          </w:p>
        </w:tc>
      </w:tr>
      <w:tr>
        <w:trPr>
          <w:cantSplit/>
        </w:trPr>
        <w:tc>
          <w:tcPr>
            <w:tcW w:type="dxa" w:w="1728"/>
            <w:shd w:fill="F8FAF8"/>
            <w:tcMar>
              <w:top w:w="65" w:type="dxa"/>
              <w:start w:w="65" w:type="dxa"/>
              <w:bottom w:w="65" w:type="dxa"/>
              <w:end w:w="65" w:type="dxa"/>
            </w:tcMar>
            <w:vAlign w:val="top"/>
          </w:tcPr>
          <w:p>
            <w:r>
              <w:rPr>
                <w:rFonts w:ascii="Inter" w:hAnsi="Inter" w:eastAsia="Inter"/>
                <w:b/>
                <w:color w:val="1F2A44"/>
                <w:sz w:val="14"/>
              </w:rPr>
              <w:t>Separate community and work eligibility</w:t>
            </w:r>
          </w:p>
        </w:tc>
        <w:tc>
          <w:tcPr>
            <w:tcW w:type="dxa" w:w="2232"/>
            <w:shd w:fill="F8FAF8"/>
            <w:tcMar>
              <w:top w:w="65" w:type="dxa"/>
              <w:start w:w="65" w:type="dxa"/>
              <w:bottom w:w="65" w:type="dxa"/>
              <w:end w:w="65" w:type="dxa"/>
            </w:tcMar>
            <w:vAlign w:val="top"/>
          </w:tcPr>
          <w:p>
            <w:r>
              <w:rPr>
                <w:rFonts w:ascii="Inter" w:hAnsi="Inter" w:eastAsia="Inter"/>
                <w:b w:val="0"/>
                <w:color w:val="222222"/>
                <w:sz w:val="14"/>
              </w:rPr>
              <w:t>Make clear that Liberation participation does not guarantee employment, payment, clients, or confidential project access.</w:t>
            </w:r>
          </w:p>
        </w:tc>
        <w:tc>
          <w:tcPr>
            <w:tcW w:type="dxa" w:w="1584"/>
            <w:shd w:fill="F8FAF8"/>
            <w:tcMar>
              <w:top w:w="65" w:type="dxa"/>
              <w:start w:w="65" w:type="dxa"/>
              <w:bottom w:w="65" w:type="dxa"/>
              <w:end w:w="65" w:type="dxa"/>
            </w:tcMar>
            <w:vAlign w:val="top"/>
          </w:tcPr>
          <w:p>
            <w:r>
              <w:rPr>
                <w:rFonts w:ascii="Inter" w:hAnsi="Inter" w:eastAsia="Inter"/>
                <w:b w:val="0"/>
                <w:color w:val="222222"/>
                <w:sz w:val="14"/>
              </w:rPr>
              <w:t>Liberation / Builders / Ethical Work</w:t>
            </w:r>
          </w:p>
        </w:tc>
        <w:tc>
          <w:tcPr>
            <w:tcW w:type="dxa" w:w="1944"/>
            <w:shd w:fill="F8FAF8"/>
            <w:tcMar>
              <w:top w:w="65" w:type="dxa"/>
              <w:start w:w="65" w:type="dxa"/>
              <w:bottom w:w="65" w:type="dxa"/>
              <w:end w:w="65" w:type="dxa"/>
            </w:tcMar>
            <w:vAlign w:val="top"/>
          </w:tcPr>
          <w:p>
            <w:r>
              <w:rPr>
                <w:rFonts w:ascii="Inter" w:hAnsi="Inter" w:eastAsia="Inter"/>
                <w:b w:val="0"/>
                <w:color w:val="222222"/>
                <w:sz w:val="14"/>
              </w:rPr>
              <w:t>Protects participants and prevents a misleading labor-market promise.</w:t>
            </w:r>
          </w:p>
        </w:tc>
        <w:tc>
          <w:tcPr>
            <w:tcW w:type="dxa" w:w="1944"/>
            <w:shd w:fill="F8FAF8"/>
            <w:tcMar>
              <w:top w:w="65" w:type="dxa"/>
              <w:start w:w="65" w:type="dxa"/>
              <w:bottom w:w="65" w:type="dxa"/>
              <w:end w:w="65" w:type="dxa"/>
            </w:tcMar>
            <w:vAlign w:val="top"/>
          </w:tcPr>
          <w:p>
            <w:r>
              <w:rPr>
                <w:rFonts w:ascii="Inter" w:hAnsi="Inter" w:eastAsia="Inter"/>
                <w:b w:val="0"/>
                <w:color w:val="222222"/>
                <w:sz w:val="14"/>
              </w:rPr>
              <w:t>Requires consistent wording across forms, pages, and conversations.</w:t>
            </w:r>
          </w:p>
        </w:tc>
        <w:tc>
          <w:tcPr>
            <w:tcW w:type="dxa" w:w="792"/>
            <w:shd w:fill="F8FAF8"/>
            <w:tcMar>
              <w:top w:w="65" w:type="dxa"/>
              <w:start w:w="65" w:type="dxa"/>
              <w:bottom w:w="65" w:type="dxa"/>
              <w:end w:w="65" w:type="dxa"/>
            </w:tcMar>
            <w:vAlign w:val="top"/>
          </w:tcPr>
          <w:p>
            <w:r>
              <w:rPr>
                <w:rFonts w:ascii="Inter" w:hAnsi="Inter" w:eastAsia="Inter"/>
                <w:b w:val="0"/>
                <w:color w:val="222222"/>
                <w:sz w:val="14"/>
              </w:rPr>
              <w:t>MVP</w:t>
            </w:r>
          </w:p>
        </w:tc>
      </w:tr>
      <w:tr>
        <w:trPr>
          <w:cantSplit/>
        </w:trPr>
        <w:tc>
          <w:tcPr>
            <w:tcW w:type="dxa" w:w="1728"/>
            <w:shd w:fill="FFFFFF"/>
            <w:tcMar>
              <w:top w:w="65" w:type="dxa"/>
              <w:start w:w="65" w:type="dxa"/>
              <w:bottom w:w="65" w:type="dxa"/>
              <w:end w:w="65" w:type="dxa"/>
            </w:tcMar>
            <w:vAlign w:val="top"/>
          </w:tcPr>
          <w:p>
            <w:r>
              <w:rPr>
                <w:rFonts w:ascii="Inter" w:hAnsi="Inter" w:eastAsia="Inter"/>
                <w:b/>
                <w:color w:val="1F2A44"/>
                <w:sz w:val="14"/>
              </w:rPr>
              <w:t>Intermediate builder opportunities</w:t>
            </w:r>
          </w:p>
        </w:tc>
        <w:tc>
          <w:tcPr>
            <w:tcW w:type="dxa" w:w="2232"/>
            <w:shd w:fill="FFFFFF"/>
            <w:tcMar>
              <w:top w:w="65" w:type="dxa"/>
              <w:start w:w="65" w:type="dxa"/>
              <w:bottom w:w="65" w:type="dxa"/>
              <w:end w:w="65" w:type="dxa"/>
            </w:tcMar>
            <w:vAlign w:val="top"/>
          </w:tcPr>
          <w:p>
            <w:r>
              <w:rPr>
                <w:rFonts w:ascii="Inter" w:hAnsi="Inter" w:eastAsia="Inter"/>
                <w:b w:val="0"/>
                <w:color w:val="222222"/>
                <w:sz w:val="14"/>
              </w:rPr>
              <w:t>Use clearly scoped paid trials, micro-projects, or supervised work only when capacity and compensation are defined.</w:t>
            </w:r>
          </w:p>
        </w:tc>
        <w:tc>
          <w:tcPr>
            <w:tcW w:type="dxa" w:w="1584"/>
            <w:shd w:fill="FFFFFF"/>
            <w:tcMar>
              <w:top w:w="65" w:type="dxa"/>
              <w:start w:w="65" w:type="dxa"/>
              <w:bottom w:w="65" w:type="dxa"/>
              <w:end w:w="65" w:type="dxa"/>
            </w:tcMar>
            <w:vAlign w:val="top"/>
          </w:tcPr>
          <w:p>
            <w:r>
              <w:rPr>
                <w:rFonts w:ascii="Inter" w:hAnsi="Inter" w:eastAsia="Inter"/>
                <w:b w:val="0"/>
                <w:color w:val="222222"/>
                <w:sz w:val="14"/>
              </w:rPr>
              <w:t>For Builders / For Organizations</w:t>
            </w:r>
          </w:p>
        </w:tc>
        <w:tc>
          <w:tcPr>
            <w:tcW w:type="dxa" w:w="1944"/>
            <w:shd w:fill="FFFFFF"/>
            <w:tcMar>
              <w:top w:w="65" w:type="dxa"/>
              <w:start w:w="65" w:type="dxa"/>
              <w:bottom w:w="65" w:type="dxa"/>
              <w:end w:w="65" w:type="dxa"/>
            </w:tcMar>
            <w:vAlign w:val="top"/>
          </w:tcPr>
          <w:p>
            <w:r>
              <w:rPr>
                <w:rFonts w:ascii="Inter" w:hAnsi="Inter" w:eastAsia="Inter"/>
                <w:b w:val="0"/>
                <w:color w:val="222222"/>
                <w:sz w:val="14"/>
              </w:rPr>
              <w:t>Creates a lower-risk bridge between interest and deeper work.</w:t>
            </w:r>
          </w:p>
        </w:tc>
        <w:tc>
          <w:tcPr>
            <w:tcW w:type="dxa" w:w="1944"/>
            <w:shd w:fill="FFFFFF"/>
            <w:tcMar>
              <w:top w:w="65" w:type="dxa"/>
              <w:start w:w="65" w:type="dxa"/>
              <w:bottom w:w="65" w:type="dxa"/>
              <w:end w:w="65" w:type="dxa"/>
            </w:tcMar>
            <w:vAlign w:val="top"/>
          </w:tcPr>
          <w:p>
            <w:r>
              <w:rPr>
                <w:rFonts w:ascii="Inter" w:hAnsi="Inter" w:eastAsia="Inter"/>
                <w:b w:val="0"/>
                <w:color w:val="222222"/>
                <w:sz w:val="14"/>
              </w:rPr>
              <w:t>Could become extractive if scope, pay, ownership, equipment, or feedback are unclear.</w:t>
            </w:r>
          </w:p>
        </w:tc>
        <w:tc>
          <w:tcPr>
            <w:tcW w:type="dxa" w:w="792"/>
            <w:shd w:fill="FFFFFF"/>
            <w:tcMar>
              <w:top w:w="65" w:type="dxa"/>
              <w:start w:w="65" w:type="dxa"/>
              <w:bottom w:w="65" w:type="dxa"/>
              <w:end w:w="65" w:type="dxa"/>
            </w:tcMar>
            <w:vAlign w:val="top"/>
          </w:tcPr>
          <w:p>
            <w:r>
              <w:rPr>
                <w:rFonts w:ascii="Inter" w:hAnsi="Inter" w:eastAsia="Inter"/>
                <w:b w:val="0"/>
                <w:color w:val="222222"/>
                <w:sz w:val="14"/>
              </w:rPr>
              <w:t>MVP / Pilot</w:t>
            </w:r>
          </w:p>
        </w:tc>
      </w:tr>
      <w:tr>
        <w:trPr>
          <w:cantSplit/>
        </w:trPr>
        <w:tc>
          <w:tcPr>
            <w:tcW w:type="dxa" w:w="1728"/>
            <w:shd w:fill="F8FAF8"/>
            <w:tcMar>
              <w:top w:w="65" w:type="dxa"/>
              <w:start w:w="65" w:type="dxa"/>
              <w:bottom w:w="65" w:type="dxa"/>
              <w:end w:w="65" w:type="dxa"/>
            </w:tcMar>
            <w:vAlign w:val="top"/>
          </w:tcPr>
          <w:p>
            <w:r>
              <w:rPr>
                <w:rFonts w:ascii="Inter" w:hAnsi="Inter" w:eastAsia="Inter"/>
                <w:b/>
                <w:color w:val="1F2A44"/>
                <w:sz w:val="14"/>
              </w:rPr>
              <w:t>Shared safeguards near action points</w:t>
            </w:r>
          </w:p>
        </w:tc>
        <w:tc>
          <w:tcPr>
            <w:tcW w:type="dxa" w:w="2232"/>
            <w:shd w:fill="F8FAF8"/>
            <w:tcMar>
              <w:top w:w="65" w:type="dxa"/>
              <w:start w:w="65" w:type="dxa"/>
              <w:bottom w:w="65" w:type="dxa"/>
              <w:end w:w="65" w:type="dxa"/>
            </w:tcMar>
            <w:vAlign w:val="top"/>
          </w:tcPr>
          <w:p>
            <w:r>
              <w:rPr>
                <w:rFonts w:ascii="Inter" w:hAnsi="Inter" w:eastAsia="Inter"/>
                <w:b w:val="0"/>
                <w:color w:val="222222"/>
                <w:sz w:val="14"/>
              </w:rPr>
              <w:t>Place concise privacy, consent, conduct, compensation, and no-guarantee notices near forms and opportunities.</w:t>
            </w:r>
          </w:p>
        </w:tc>
        <w:tc>
          <w:tcPr>
            <w:tcW w:type="dxa" w:w="1584"/>
            <w:shd w:fill="F8FAF8"/>
            <w:tcMar>
              <w:top w:w="65" w:type="dxa"/>
              <w:start w:w="65" w:type="dxa"/>
              <w:bottom w:w="65" w:type="dxa"/>
              <w:end w:w="65" w:type="dxa"/>
            </w:tcMar>
            <w:vAlign w:val="top"/>
          </w:tcPr>
          <w:p>
            <w:r>
              <w:rPr>
                <w:rFonts w:ascii="Inter" w:hAnsi="Inter" w:eastAsia="Inter"/>
                <w:b w:val="0"/>
                <w:color w:val="222222"/>
                <w:sz w:val="14"/>
              </w:rPr>
              <w:t>Forms / Ethical Work / Footer</w:t>
            </w:r>
          </w:p>
        </w:tc>
        <w:tc>
          <w:tcPr>
            <w:tcW w:type="dxa" w:w="1944"/>
            <w:shd w:fill="F8FAF8"/>
            <w:tcMar>
              <w:top w:w="65" w:type="dxa"/>
              <w:start w:w="65" w:type="dxa"/>
              <w:bottom w:w="65" w:type="dxa"/>
              <w:end w:w="65" w:type="dxa"/>
            </w:tcMar>
            <w:vAlign w:val="top"/>
          </w:tcPr>
          <w:p>
            <w:r>
              <w:rPr>
                <w:rFonts w:ascii="Inter" w:hAnsi="Inter" w:eastAsia="Inter"/>
                <w:b w:val="0"/>
                <w:color w:val="222222"/>
                <w:sz w:val="14"/>
              </w:rPr>
              <w:t>Makes protections visible when decisions are made.</w:t>
            </w:r>
          </w:p>
        </w:tc>
        <w:tc>
          <w:tcPr>
            <w:tcW w:type="dxa" w:w="1944"/>
            <w:shd w:fill="F8FAF8"/>
            <w:tcMar>
              <w:top w:w="65" w:type="dxa"/>
              <w:start w:w="65" w:type="dxa"/>
              <w:bottom w:w="65" w:type="dxa"/>
              <w:end w:w="65" w:type="dxa"/>
            </w:tcMar>
            <w:vAlign w:val="top"/>
          </w:tcPr>
          <w:p>
            <w:r>
              <w:rPr>
                <w:rFonts w:ascii="Inter" w:hAnsi="Inter" w:eastAsia="Inter"/>
                <w:b w:val="0"/>
                <w:color w:val="222222"/>
                <w:sz w:val="14"/>
              </w:rPr>
              <w:t>Short notices must link to complete policies and human accountability.</w:t>
            </w:r>
          </w:p>
        </w:tc>
        <w:tc>
          <w:tcPr>
            <w:tcW w:type="dxa" w:w="792"/>
            <w:shd w:fill="F8FAF8"/>
            <w:tcMar>
              <w:top w:w="65" w:type="dxa"/>
              <w:start w:w="65" w:type="dxa"/>
              <w:bottom w:w="65" w:type="dxa"/>
              <w:end w:w="65" w:type="dxa"/>
            </w:tcMar>
            <w:vAlign w:val="top"/>
          </w:tcPr>
          <w:p>
            <w:r>
              <w:rPr>
                <w:rFonts w:ascii="Inter" w:hAnsi="Inter" w:eastAsia="Inter"/>
                <w:b w:val="0"/>
                <w:color w:val="222222"/>
                <w:sz w:val="14"/>
              </w:rPr>
              <w:t>MVP</w:t>
            </w:r>
          </w:p>
        </w:tc>
      </w:tr>
      <w:tr>
        <w:trPr>
          <w:cantSplit/>
        </w:trPr>
        <w:tc>
          <w:tcPr>
            <w:tcW w:type="dxa" w:w="1728"/>
            <w:shd w:fill="FFFFFF"/>
            <w:tcMar>
              <w:top w:w="65" w:type="dxa"/>
              <w:start w:w="65" w:type="dxa"/>
              <w:bottom w:w="65" w:type="dxa"/>
              <w:end w:w="65" w:type="dxa"/>
            </w:tcMar>
            <w:vAlign w:val="top"/>
          </w:tcPr>
          <w:p>
            <w:r>
              <w:rPr>
                <w:rFonts w:ascii="Inter" w:hAnsi="Inter" w:eastAsia="Inter"/>
                <w:b/>
                <w:color w:val="1F2A44"/>
                <w:sz w:val="14"/>
              </w:rPr>
              <w:t>Private community technology later</w:t>
            </w:r>
          </w:p>
        </w:tc>
        <w:tc>
          <w:tcPr>
            <w:tcW w:type="dxa" w:w="2232"/>
            <w:shd w:fill="FFFFFF"/>
            <w:tcMar>
              <w:top w:w="65" w:type="dxa"/>
              <w:start w:w="65" w:type="dxa"/>
              <w:bottom w:w="65" w:type="dxa"/>
              <w:end w:w="65" w:type="dxa"/>
            </w:tcMar>
            <w:vAlign w:val="top"/>
          </w:tcPr>
          <w:p>
            <w:r>
              <w:rPr>
                <w:rFonts w:ascii="Inter" w:hAnsi="Inter" w:eastAsia="Inter"/>
                <w:b w:val="0"/>
                <w:color w:val="222222"/>
                <w:sz w:val="14"/>
              </w:rPr>
              <w:t>Keep Discord or existing tools behind the website until vetted working groups justify a new platform.</w:t>
            </w:r>
          </w:p>
        </w:tc>
        <w:tc>
          <w:tcPr>
            <w:tcW w:type="dxa" w:w="1584"/>
            <w:shd w:fill="FFFFFF"/>
            <w:tcMar>
              <w:top w:w="65" w:type="dxa"/>
              <w:start w:w="65" w:type="dxa"/>
              <w:bottom w:w="65" w:type="dxa"/>
              <w:end w:w="65" w:type="dxa"/>
            </w:tcMar>
            <w:vAlign w:val="top"/>
          </w:tcPr>
          <w:p>
            <w:r>
              <w:rPr>
                <w:rFonts w:ascii="Inter" w:hAnsi="Inter" w:eastAsia="Inter"/>
                <w:b w:val="0"/>
                <w:color w:val="222222"/>
                <w:sz w:val="14"/>
              </w:rPr>
              <w:t>Community platform</w:t>
            </w:r>
          </w:p>
        </w:tc>
        <w:tc>
          <w:tcPr>
            <w:tcW w:type="dxa" w:w="1944"/>
            <w:shd w:fill="FFFFFF"/>
            <w:tcMar>
              <w:top w:w="65" w:type="dxa"/>
              <w:start w:w="65" w:type="dxa"/>
              <w:bottom w:w="65" w:type="dxa"/>
              <w:end w:w="65" w:type="dxa"/>
            </w:tcMar>
            <w:vAlign w:val="top"/>
          </w:tcPr>
          <w:p>
            <w:r>
              <w:rPr>
                <w:rFonts w:ascii="Inter" w:hAnsi="Inter" w:eastAsia="Inter"/>
                <w:b w:val="0"/>
                <w:color w:val="222222"/>
                <w:sz w:val="14"/>
              </w:rPr>
              <w:t>Avoids building unused infrastructure.</w:t>
            </w:r>
          </w:p>
        </w:tc>
        <w:tc>
          <w:tcPr>
            <w:tcW w:type="dxa" w:w="1944"/>
            <w:shd w:fill="FFFFFF"/>
            <w:tcMar>
              <w:top w:w="65" w:type="dxa"/>
              <w:start w:w="65" w:type="dxa"/>
              <w:bottom w:w="65" w:type="dxa"/>
              <w:end w:w="65" w:type="dxa"/>
            </w:tcMar>
            <w:vAlign w:val="top"/>
          </w:tcPr>
          <w:p>
            <w:r>
              <w:rPr>
                <w:rFonts w:ascii="Inter" w:hAnsi="Inter" w:eastAsia="Inter"/>
                <w:b w:val="0"/>
                <w:color w:val="222222"/>
                <w:sz w:val="14"/>
              </w:rPr>
              <w:t>External platforms have their own privacy and moderation constraints.</w:t>
            </w:r>
          </w:p>
        </w:tc>
        <w:tc>
          <w:tcPr>
            <w:tcW w:type="dxa" w:w="792"/>
            <w:shd w:fill="FFFFFF"/>
            <w:tcMar>
              <w:top w:w="65" w:type="dxa"/>
              <w:start w:w="65" w:type="dxa"/>
              <w:bottom w:w="65" w:type="dxa"/>
              <w:end w:w="65" w:type="dxa"/>
            </w:tcMar>
            <w:vAlign w:val="top"/>
          </w:tcPr>
          <w:p>
            <w:r>
              <w:rPr>
                <w:rFonts w:ascii="Inter" w:hAnsi="Inter" w:eastAsia="Inter"/>
                <w:b w:val="0"/>
                <w:color w:val="222222"/>
                <w:sz w:val="14"/>
              </w:rPr>
              <w:t>Future</w:t>
            </w:r>
          </w:p>
        </w:tc>
      </w:tr>
    </w:tbl>
    <w:p>
      <w:pPr>
        <w:spacing w:before="200" w:after="100"/>
        <w:keepNext/>
        <w:pBdr>
          <w:bottom w:val="single" w:sz="8" w:space="4" w:color="B88A33"/>
        </w:pBdr>
      </w:pPr>
      <w:r>
        <w:rPr>
          <w:rFonts w:ascii="Inter Display" w:hAnsi="Inter Display" w:eastAsia="Inter Display"/>
          <w:b/>
          <w:color w:val="1F2A44"/>
          <w:sz w:val="36"/>
        </w:rPr>
        <w:t>7. Recommended Website Principles</w:t>
      </w:r>
    </w:p>
    <w:p>
      <w:pPr>
        <w:spacing w:after="40"/>
        <w:ind w:left="432" w:hanging="346"/>
      </w:pPr>
      <w:r>
        <w:rPr>
          <w:rFonts w:ascii="Inter" w:hAnsi="Inter" w:eastAsia="Inter"/>
          <w:b/>
          <w:color w:val="1F2A44"/>
          <w:sz w:val="20"/>
        </w:rPr>
        <w:t>1.</w:t>
      </w:r>
      <w:r>
        <w:rPr>
          <w:rFonts w:ascii="Inter" w:hAnsi="Inter" w:eastAsia="Inter"/>
          <w:color w:val="222222"/>
          <w:sz w:val="20"/>
        </w:rPr>
        <w:t xml:space="preserve">  Route visitors by immediate need or role before asking them to understand the full ecosystem.</w:t>
      </w:r>
    </w:p>
    <w:p>
      <w:pPr>
        <w:spacing w:after="40"/>
        <w:ind w:left="432" w:hanging="346"/>
      </w:pPr>
      <w:r>
        <w:rPr>
          <w:rFonts w:ascii="Inter" w:hAnsi="Inter" w:eastAsia="Inter"/>
          <w:b/>
          <w:color w:val="1F2A44"/>
          <w:sz w:val="20"/>
        </w:rPr>
        <w:t>2.</w:t>
      </w:r>
      <w:r>
        <w:rPr>
          <w:rFonts w:ascii="Inter" w:hAnsi="Inter" w:eastAsia="Inter"/>
          <w:color w:val="222222"/>
          <w:sz w:val="20"/>
        </w:rPr>
        <w:t xml:space="preserve">  Use one parent website as the public trust layer while keeping the responsibilities of the Lab, DoGoodie, and the Liberation Network visibly distinct.</w:t>
      </w:r>
    </w:p>
    <w:p>
      <w:pPr>
        <w:spacing w:after="40"/>
        <w:ind w:left="432" w:hanging="346"/>
      </w:pPr>
      <w:r>
        <w:rPr>
          <w:rFonts w:ascii="Inter" w:hAnsi="Inter" w:eastAsia="Inter"/>
          <w:b/>
          <w:color w:val="1F2A44"/>
          <w:sz w:val="20"/>
        </w:rPr>
        <w:t>3.</w:t>
      </w:r>
      <w:r>
        <w:rPr>
          <w:rFonts w:ascii="Inter" w:hAnsi="Inter" w:eastAsia="Inter"/>
          <w:color w:val="222222"/>
          <w:sz w:val="20"/>
        </w:rPr>
        <w:t xml:space="preserve">  Allow people to learn publicly and take low-pressure actions before requesting deeper or resource-intensive participation.</w:t>
      </w:r>
    </w:p>
    <w:p>
      <w:pPr>
        <w:spacing w:after="40"/>
        <w:ind w:left="432" w:hanging="346"/>
      </w:pPr>
      <w:r>
        <w:rPr>
          <w:rFonts w:ascii="Inter" w:hAnsi="Inter" w:eastAsia="Inter"/>
          <w:b/>
          <w:color w:val="1F2A44"/>
          <w:sz w:val="20"/>
        </w:rPr>
        <w:t>4.</w:t>
      </w:r>
      <w:r>
        <w:rPr>
          <w:rFonts w:ascii="Inter" w:hAnsi="Inter" w:eastAsia="Inter"/>
          <w:color w:val="222222"/>
          <w:sz w:val="20"/>
        </w:rPr>
        <w:t xml:space="preserve">  Apply friction proportionally: a QR-code visitor, a referred organization, a builder applicant, and a trusted-network candidate should not all face the same process.</w:t>
      </w:r>
    </w:p>
    <w:p>
      <w:pPr>
        <w:spacing w:after="40"/>
        <w:ind w:left="432" w:hanging="346"/>
      </w:pPr>
      <w:r>
        <w:rPr>
          <w:rFonts w:ascii="Inter" w:hAnsi="Inter" w:eastAsia="Inter"/>
          <w:b/>
          <w:color w:val="1F2A44"/>
          <w:sz w:val="20"/>
        </w:rPr>
        <w:t>5.</w:t>
      </w:r>
      <w:r>
        <w:rPr>
          <w:rFonts w:ascii="Inter" w:hAnsi="Inter" w:eastAsia="Inter"/>
          <w:color w:val="222222"/>
          <w:sz w:val="20"/>
        </w:rPr>
        <w:t xml:space="preserve">  Explain every one-on-one conversation by stating who it is for, who provides it, what it includes, how long it lasts, and what happens afterward.</w:t>
      </w:r>
    </w:p>
    <w:p>
      <w:pPr>
        <w:spacing w:after="40"/>
        <w:ind w:left="432" w:hanging="346"/>
      </w:pPr>
      <w:r>
        <w:rPr>
          <w:rFonts w:ascii="Inter" w:hAnsi="Inter" w:eastAsia="Inter"/>
          <w:b/>
          <w:color w:val="1F2A44"/>
          <w:sz w:val="20"/>
        </w:rPr>
        <w:t>6.</w:t>
      </w:r>
      <w:r>
        <w:rPr>
          <w:rFonts w:ascii="Inter" w:hAnsi="Inter" w:eastAsia="Inter"/>
          <w:color w:val="222222"/>
          <w:sz w:val="20"/>
        </w:rPr>
        <w:t xml:space="preserve">  Place safeguards, privacy warnings, consent language, and no-guarantee notices near the forms and opportunities they govern.</w:t>
      </w:r>
    </w:p>
    <w:p>
      <w:pPr>
        <w:spacing w:after="40"/>
        <w:ind w:left="432" w:hanging="346"/>
      </w:pPr>
      <w:r>
        <w:rPr>
          <w:rFonts w:ascii="Inter" w:hAnsi="Inter" w:eastAsia="Inter"/>
          <w:b/>
          <w:color w:val="1F2A44"/>
          <w:sz w:val="20"/>
        </w:rPr>
        <w:t>7.</w:t>
      </w:r>
      <w:r>
        <w:rPr>
          <w:rFonts w:ascii="Inter" w:hAnsi="Inter" w:eastAsia="Inter"/>
          <w:color w:val="222222"/>
          <w:sz w:val="20"/>
        </w:rPr>
        <w:t xml:space="preserve">  Show genuine work, approved partners, methods, limitations, and evidence instead of relying on broad philosophical claims.</w:t>
      </w:r>
    </w:p>
    <w:p>
      <w:pPr>
        <w:spacing w:after="40"/>
        <w:ind w:left="432" w:hanging="346"/>
      </w:pPr>
      <w:r>
        <w:rPr>
          <w:rFonts w:ascii="Inter" w:hAnsi="Inter" w:eastAsia="Inter"/>
          <w:b/>
          <w:color w:val="1F2A44"/>
          <w:sz w:val="20"/>
        </w:rPr>
        <w:t>8.</w:t>
      </w:r>
      <w:r>
        <w:rPr>
          <w:rFonts w:ascii="Inter" w:hAnsi="Inter" w:eastAsia="Inter"/>
          <w:color w:val="222222"/>
          <w:sz w:val="20"/>
        </w:rPr>
        <w:t xml:space="preserve">  Keep community participation, builder status, paid work, confidential access, and Liberation Network membership as separate decisions.</w:t>
      </w:r>
    </w:p>
    <w:p>
      <w:pPr>
        <w:spacing w:after="40"/>
        <w:ind w:left="432" w:hanging="346"/>
      </w:pPr>
      <w:r>
        <w:rPr>
          <w:rFonts w:ascii="Inter" w:hAnsi="Inter" w:eastAsia="Inter"/>
          <w:b/>
          <w:color w:val="1F2A44"/>
          <w:sz w:val="20"/>
        </w:rPr>
        <w:t>9.</w:t>
      </w:r>
      <w:r>
        <w:rPr>
          <w:rFonts w:ascii="Inter" w:hAnsi="Inter" w:eastAsia="Inter"/>
          <w:color w:val="222222"/>
          <w:sz w:val="20"/>
        </w:rPr>
        <w:t xml:space="preserve">  Present deeper network participation as trust- and mutual-fit-based without framing participants as morally superior or outsiders as unworthy.</w:t>
      </w:r>
    </w:p>
    <w:p>
      <w:pPr>
        <w:spacing w:after="40"/>
        <w:ind w:left="432" w:hanging="346"/>
      </w:pPr>
      <w:r>
        <w:rPr>
          <w:rFonts w:ascii="Inter" w:hAnsi="Inter" w:eastAsia="Inter"/>
          <w:b/>
          <w:color w:val="1F2A44"/>
          <w:sz w:val="20"/>
        </w:rPr>
        <w:t>10.</w:t>
      </w:r>
      <w:r>
        <w:rPr>
          <w:rFonts w:ascii="Inter" w:hAnsi="Inter" w:eastAsia="Inter"/>
          <w:color w:val="222222"/>
          <w:sz w:val="20"/>
        </w:rPr>
        <w:t xml:space="preserve">  Do not promise employment, clients, income, referrals, funding, therapeutic support, or business success.</w:t>
      </w:r>
    </w:p>
    <w:p>
      <w:pPr>
        <w:spacing w:after="40"/>
        <w:ind w:left="432" w:hanging="346"/>
      </w:pPr>
      <w:r>
        <w:rPr>
          <w:rFonts w:ascii="Inter" w:hAnsi="Inter" w:eastAsia="Inter"/>
          <w:b/>
          <w:color w:val="1F2A44"/>
          <w:sz w:val="20"/>
        </w:rPr>
        <w:t>11.</w:t>
      </w:r>
      <w:r>
        <w:rPr>
          <w:rFonts w:ascii="Inter" w:hAnsi="Inter" w:eastAsia="Inter"/>
          <w:color w:val="222222"/>
          <w:sz w:val="20"/>
        </w:rPr>
        <w:t xml:space="preserve">  Use current tools behind the website until repeated demand justifies member accounts, directories, matching, payments, or a new community platform.</w:t>
      </w:r>
    </w:p>
    <w:p>
      <w:pPr>
        <w:spacing w:after="40"/>
        <w:ind w:left="432" w:hanging="346"/>
      </w:pPr>
      <w:r>
        <w:rPr>
          <w:rFonts w:ascii="Inter" w:hAnsi="Inter" w:eastAsia="Inter"/>
          <w:b/>
          <w:color w:val="1F2A44"/>
          <w:sz w:val="20"/>
        </w:rPr>
        <w:t>12.</w:t>
      </w:r>
      <w:r>
        <w:rPr>
          <w:rFonts w:ascii="Inter" w:hAnsi="Inter" w:eastAsia="Inter"/>
          <w:color w:val="222222"/>
          <w:sz w:val="20"/>
        </w:rPr>
        <w:t xml:space="preserve">  Document unresolved decisions rather than silently inventing names, eligibility standards, services, impact claims, or governance structures.</w:t>
      </w:r>
    </w:p>
    <w:p>
      <w:pPr>
        <w:spacing w:before="200" w:after="100"/>
        <w:keepNext/>
        <w:pBdr>
          <w:bottom w:val="single" w:sz="8" w:space="4" w:color="B88A33"/>
        </w:pBdr>
      </w:pPr>
      <w:r>
        <w:rPr>
          <w:rFonts w:ascii="Inter Display" w:hAnsi="Inter Display" w:eastAsia="Inter Display"/>
          <w:b/>
          <w:color w:val="1F2A44"/>
          <w:sz w:val="36"/>
        </w:rPr>
        <w:t>8. Risks, Open Questions, and Claims to Avoid</w:t>
      </w:r>
    </w:p>
    <w:p>
      <w:pPr>
        <w:spacing w:before="120" w:after="100"/>
        <w:keepNext/>
      </w:pPr>
      <w:r>
        <w:rPr>
          <w:rFonts w:ascii="Inter Display" w:hAnsi="Inter Display" w:eastAsia="Inter Display"/>
          <w:b/>
          <w:color w:val="496A4B"/>
          <w:sz w:val="27"/>
        </w:rPr>
        <w:t>Benchmark ideas that should not be copied directly</w:t>
      </w:r>
    </w:p>
    <w:p>
      <w:pPr>
        <w:pStyle w:val="ListBullet"/>
        <w:spacing w:after="40"/>
        <w:ind w:left="288"/>
      </w:pPr>
      <w:r>
        <w:rPr>
          <w:rFonts w:ascii="Inter" w:hAnsi="Inter" w:eastAsia="Inter"/>
          <w:color w:val="222222"/>
          <w:sz w:val="20"/>
        </w:rPr>
        <w:t>Ashoka-style prestige or multi-month fellowship selection as the default participation model.</w:t>
      </w:r>
    </w:p>
    <w:p>
      <w:pPr>
        <w:pStyle w:val="ListBullet"/>
        <w:spacing w:after="40"/>
        <w:ind w:left="288"/>
      </w:pPr>
      <w:r>
        <w:rPr>
          <w:rFonts w:ascii="Inter" w:hAnsi="Inter" w:eastAsia="Inter"/>
          <w:color w:val="222222"/>
          <w:sz w:val="20"/>
        </w:rPr>
        <w:t>B Lab-style certification, scoring, auditing, or formal independent-governance claims before legal and operational review.</w:t>
      </w:r>
    </w:p>
    <w:p>
      <w:pPr>
        <w:pStyle w:val="ListBullet"/>
        <w:spacing w:after="40"/>
        <w:ind w:left="288"/>
      </w:pPr>
      <w:r>
        <w:rPr>
          <w:rFonts w:ascii="Inter" w:hAnsi="Inter" w:eastAsia="Inter"/>
          <w:color w:val="222222"/>
          <w:sz w:val="20"/>
        </w:rPr>
        <w:t>OpenDoorClimate-style public directories without stronger consent, reporting, moderation, and privacy protections.</w:t>
      </w:r>
    </w:p>
    <w:p>
      <w:pPr>
        <w:pStyle w:val="ListBullet"/>
        <w:spacing w:after="40"/>
        <w:ind w:left="288"/>
      </w:pPr>
      <w:r>
        <w:rPr>
          <w:rFonts w:ascii="Inter" w:hAnsi="Inter" w:eastAsia="Inter"/>
          <w:color w:val="222222"/>
          <w:sz w:val="20"/>
        </w:rPr>
        <w:t>Mandatory courses or ideological prerequisites for every organization, partner, or builder inquiry.</w:t>
      </w:r>
    </w:p>
    <w:p>
      <w:pPr>
        <w:pStyle w:val="ListBullet"/>
        <w:spacing w:after="40"/>
        <w:ind w:left="288"/>
      </w:pPr>
      <w:r>
        <w:rPr>
          <w:rFonts w:ascii="Inter" w:hAnsi="Inter" w:eastAsia="Inter"/>
          <w:color w:val="222222"/>
          <w:sz w:val="20"/>
        </w:rPr>
        <w:t>Plum Village religious terminology, spiritual authority, lifestyle commitments, or community structure.</w:t>
      </w:r>
    </w:p>
    <w:p>
      <w:pPr>
        <w:pStyle w:val="ListBullet"/>
        <w:spacing w:after="40"/>
        <w:ind w:left="288"/>
      </w:pPr>
      <w:r>
        <w:rPr>
          <w:rFonts w:ascii="Inter" w:hAnsi="Inter" w:eastAsia="Inter"/>
          <w:color w:val="222222"/>
          <w:sz w:val="20"/>
        </w:rPr>
        <w:t>Mature-network impact claims, partner scale, global reach, or success metrics that the current team cannot prove.</w:t>
      </w:r>
    </w:p>
    <w:p>
      <w:pPr>
        <w:spacing w:before="120" w:after="100"/>
        <w:keepNext/>
      </w:pPr>
      <w:r>
        <w:rPr>
          <w:rFonts w:ascii="Inter Display" w:hAnsi="Inter Display" w:eastAsia="Inter Display"/>
          <w:b/>
          <w:color w:val="496A4B"/>
          <w:sz w:val="27"/>
        </w:rPr>
        <w:t>Questions requiring Destine's approval</w:t>
      </w:r>
    </w:p>
    <w:p>
      <w:pPr>
        <w:pStyle w:val="ListBullet"/>
        <w:spacing w:after="40"/>
        <w:ind w:left="288"/>
      </w:pPr>
      <w:r>
        <w:rPr>
          <w:rFonts w:ascii="Inter" w:hAnsi="Inter" w:eastAsia="Inter"/>
          <w:color w:val="222222"/>
          <w:sz w:val="20"/>
        </w:rPr>
        <w:t>Which DoGoodie services are currently authorized and deliverable?</w:t>
      </w:r>
    </w:p>
    <w:p>
      <w:pPr>
        <w:pStyle w:val="ListBullet"/>
        <w:spacing w:after="40"/>
        <w:ind w:left="288"/>
      </w:pPr>
      <w:r>
        <w:rPr>
          <w:rFonts w:ascii="Inter" w:hAnsi="Inter" w:eastAsia="Inter"/>
          <w:color w:val="222222"/>
          <w:sz w:val="20"/>
        </w:rPr>
        <w:t>What are the exact boundaries of free, give-first, paid trial, pilot, consulting, and ongoing work?</w:t>
      </w:r>
    </w:p>
    <w:p>
      <w:pPr>
        <w:pStyle w:val="ListBullet"/>
        <w:spacing w:after="40"/>
        <w:ind w:left="288"/>
      </w:pPr>
      <w:r>
        <w:rPr>
          <w:rFonts w:ascii="Inter" w:hAnsi="Inter" w:eastAsia="Inter"/>
          <w:color w:val="222222"/>
          <w:sz w:val="20"/>
        </w:rPr>
        <w:t>Who reviews organization, builder, partnership, and Liberation inquiries?</w:t>
      </w:r>
    </w:p>
    <w:p>
      <w:pPr>
        <w:pStyle w:val="ListBullet"/>
        <w:spacing w:after="40"/>
        <w:ind w:left="288"/>
      </w:pPr>
      <w:r>
        <w:rPr>
          <w:rFonts w:ascii="Inter" w:hAnsi="Inter" w:eastAsia="Inter"/>
          <w:color w:val="222222"/>
          <w:sz w:val="20"/>
        </w:rPr>
        <w:t>What preparation, if any, is required before consultation or one-on-one support?</w:t>
      </w:r>
    </w:p>
    <w:p>
      <w:pPr>
        <w:pStyle w:val="ListBullet"/>
        <w:spacing w:after="40"/>
        <w:ind w:left="288"/>
      </w:pPr>
      <w:r>
        <w:rPr>
          <w:rFonts w:ascii="Inter" w:hAnsi="Inter" w:eastAsia="Inter"/>
          <w:color w:val="222222"/>
          <w:sz w:val="20"/>
        </w:rPr>
        <w:t>How will project scope, compensation, ownership, access, feedback, and closure be documented?</w:t>
      </w:r>
    </w:p>
    <w:p>
      <w:pPr>
        <w:pStyle w:val="ListBullet"/>
        <w:spacing w:after="40"/>
        <w:ind w:left="288"/>
      </w:pPr>
      <w:r>
        <w:rPr>
          <w:rFonts w:ascii="Inter" w:hAnsi="Inter" w:eastAsia="Inter"/>
          <w:color w:val="222222"/>
          <w:sz w:val="20"/>
        </w:rPr>
        <w:t>Which metrics can be tracked consistently from launch?</w:t>
      </w:r>
    </w:p>
    <w:p>
      <w:pPr>
        <w:pStyle w:val="ListBullet"/>
        <w:spacing w:after="40"/>
        <w:ind w:left="288"/>
      </w:pPr>
      <w:r>
        <w:rPr>
          <w:rFonts w:ascii="Inter" w:hAnsi="Inter" w:eastAsia="Inter"/>
          <w:color w:val="222222"/>
          <w:sz w:val="20"/>
        </w:rPr>
        <w:t>Which forms and data fields are necessary for the MVP?</w:t>
      </w:r>
    </w:p>
    <w:p>
      <w:pPr>
        <w:spacing w:before="120" w:after="100"/>
        <w:keepNext/>
      </w:pPr>
      <w:r>
        <w:rPr>
          <w:rFonts w:ascii="Inter Display" w:hAnsi="Inter Display" w:eastAsia="Inter Display"/>
          <w:b/>
          <w:color w:val="496A4B"/>
          <w:sz w:val="27"/>
        </w:rPr>
        <w:t>Questions requiring Skyler's approval</w:t>
      </w:r>
    </w:p>
    <w:p>
      <w:pPr>
        <w:pStyle w:val="ListBullet"/>
        <w:spacing w:after="40"/>
        <w:ind w:left="288"/>
      </w:pPr>
      <w:r>
        <w:rPr>
          <w:rFonts w:ascii="Inter" w:hAnsi="Inter" w:eastAsia="Inter"/>
          <w:color w:val="222222"/>
          <w:sz w:val="20"/>
        </w:rPr>
        <w:t>Public parent-organization name and final Liberation Network name.</w:t>
      </w:r>
    </w:p>
    <w:p>
      <w:pPr>
        <w:pStyle w:val="ListBullet"/>
        <w:spacing w:after="40"/>
        <w:ind w:left="288"/>
      </w:pPr>
      <w:r>
        <w:rPr>
          <w:rFonts w:ascii="Inter" w:hAnsi="Inter" w:eastAsia="Inter"/>
          <w:color w:val="222222"/>
          <w:sz w:val="20"/>
        </w:rPr>
        <w:t>Public philosophy and positioning of the ecosystem and network.</w:t>
      </w:r>
    </w:p>
    <w:p>
      <w:pPr>
        <w:pStyle w:val="ListBullet"/>
        <w:spacing w:after="40"/>
        <w:ind w:left="288"/>
      </w:pPr>
      <w:r>
        <w:rPr>
          <w:rFonts w:ascii="Inter" w:hAnsi="Inter" w:eastAsia="Inter"/>
          <w:color w:val="222222"/>
          <w:sz w:val="20"/>
        </w:rPr>
        <w:t>How selective or invitation-based the deeper Liberation Network should be.</w:t>
      </w:r>
    </w:p>
    <w:p>
      <w:pPr>
        <w:pStyle w:val="ListBullet"/>
        <w:spacing w:after="40"/>
        <w:ind w:left="288"/>
      </w:pPr>
      <w:r>
        <w:rPr>
          <w:rFonts w:ascii="Inter" w:hAnsi="Inter" w:eastAsia="Inter"/>
          <w:color w:val="222222"/>
          <w:sz w:val="20"/>
        </w:rPr>
        <w:t>Language describing values, alignment, mutual fit, and participation readiness.</w:t>
      </w:r>
    </w:p>
    <w:p>
      <w:pPr>
        <w:pStyle w:val="ListBullet"/>
        <w:spacing w:after="40"/>
        <w:ind w:left="288"/>
      </w:pPr>
      <w:r>
        <w:rPr>
          <w:rFonts w:ascii="Inter" w:hAnsi="Inter" w:eastAsia="Inter"/>
          <w:color w:val="222222"/>
          <w:sz w:val="20"/>
        </w:rPr>
        <w:t>Which partners, relationships, people, or projects may be named publicly.</w:t>
      </w:r>
    </w:p>
    <w:p>
      <w:pPr>
        <w:pStyle w:val="ListBullet"/>
        <w:spacing w:after="40"/>
        <w:ind w:left="288"/>
      </w:pPr>
      <w:r>
        <w:rPr>
          <w:rFonts w:ascii="Inter" w:hAnsi="Inter" w:eastAsia="Inter"/>
          <w:color w:val="222222"/>
          <w:sz w:val="20"/>
        </w:rPr>
        <w:t>Which selection judgments or private relationship information must never appear on the public website.</w:t>
      </w:r>
    </w:p>
    <w:p>
      <w:pPr>
        <w:spacing w:before="120" w:after="100"/>
        <w:keepNext/>
      </w:pPr>
      <w:r>
        <w:rPr>
          <w:rFonts w:ascii="Inter Display" w:hAnsi="Inter Display" w:eastAsia="Inter Display"/>
          <w:b/>
          <w:color w:val="496A4B"/>
          <w:sz w:val="27"/>
        </w:rPr>
        <w:t>Claims the website should not make yet</w:t>
      </w:r>
    </w:p>
    <w:p>
      <w:pPr>
        <w:pStyle w:val="ListBullet"/>
        <w:spacing w:after="40"/>
        <w:ind w:left="288"/>
      </w:pPr>
      <w:r>
        <w:rPr>
          <w:rFonts w:ascii="Inter" w:hAnsi="Inter" w:eastAsia="Inter"/>
          <w:color w:val="222222"/>
          <w:sz w:val="20"/>
        </w:rPr>
        <w:t>That the Ethical Capacity Lab is a certifier, auditor, regulator, employer of record, clinical provider, or legal representative.</w:t>
      </w:r>
    </w:p>
    <w:p>
      <w:pPr>
        <w:pStyle w:val="ListBullet"/>
        <w:spacing w:after="40"/>
        <w:ind w:left="288"/>
      </w:pPr>
      <w:r>
        <w:rPr>
          <w:rFonts w:ascii="Inter" w:hAnsi="Inter" w:eastAsia="Inter"/>
          <w:color w:val="222222"/>
          <w:sz w:val="20"/>
        </w:rPr>
        <w:t>That DoGoodie guarantees successful projects, employment, placement, paid work, funding, or continued collaboration.</w:t>
      </w:r>
    </w:p>
    <w:p>
      <w:pPr>
        <w:pStyle w:val="ListBullet"/>
        <w:spacing w:after="40"/>
        <w:ind w:left="288"/>
      </w:pPr>
      <w:r>
        <w:rPr>
          <w:rFonts w:ascii="Inter" w:hAnsi="Inter" w:eastAsia="Inter"/>
          <w:color w:val="222222"/>
          <w:sz w:val="20"/>
        </w:rPr>
        <w:t>That Liberation Network participation guarantees referrals, purchases, clients, income, material support, or deeper access.</w:t>
      </w:r>
    </w:p>
    <w:p>
      <w:pPr>
        <w:pStyle w:val="ListBullet"/>
        <w:spacing w:after="40"/>
        <w:ind w:left="288"/>
      </w:pPr>
      <w:r>
        <w:rPr>
          <w:rFonts w:ascii="Inter" w:hAnsi="Inter" w:eastAsia="Inter"/>
          <w:color w:val="222222"/>
          <w:sz w:val="20"/>
        </w:rPr>
        <w:t>That every builder belongs to the Liberation Network or every network participant works for DoGoodie.</w:t>
      </w:r>
    </w:p>
    <w:p>
      <w:pPr>
        <w:pStyle w:val="ListBullet"/>
        <w:spacing w:after="40"/>
        <w:ind w:left="288"/>
      </w:pPr>
      <w:r>
        <w:rPr>
          <w:rFonts w:ascii="Inter" w:hAnsi="Inter" w:eastAsia="Inter"/>
          <w:color w:val="222222"/>
          <w:sz w:val="20"/>
        </w:rPr>
        <w:t>That a listed partner, therapist, specialist, or professional has been endorsed without approved criteria, consent, and boundaries.</w:t>
      </w:r>
    </w:p>
    <w:p>
      <w:pPr>
        <w:pStyle w:val="ListBullet"/>
        <w:spacing w:after="40"/>
        <w:ind w:left="288"/>
      </w:pPr>
      <w:r>
        <w:rPr>
          <w:rFonts w:ascii="Inter" w:hAnsi="Inter" w:eastAsia="Inter"/>
          <w:color w:val="222222"/>
          <w:sz w:val="20"/>
        </w:rPr>
        <w:t>That the ecosystem has global scale, proven impact, or mature governance beyond the evidence currently available.</w:t>
      </w:r>
    </w:p>
    <w:tbl>
      <w:tblPr>
        <w:tblW w:type="auto" w:w="0"/>
        <w:jc w:val="center"/>
        <w:tblLayout w:type="fixed"/>
        <w:tblLook w:firstColumn="1" w:firstRow="1" w:lastColumn="0" w:lastRow="0" w:noHBand="0" w:noVBand="1" w:val="04A0"/>
        <w:tblBorders>
          <w:top w:val="single" w:sz="8" w:space="0" w:color="B88A33"/>
          <w:left w:val="single" w:sz="8" w:space="0" w:color="B88A33"/>
          <w:bottom w:val="single" w:sz="8" w:space="0" w:color="B88A33"/>
          <w:right w:val="single" w:sz="8" w:space="0" w:color="B88A33"/>
          <w:insideH w:val="single" w:sz="8" w:space="0" w:color="B88A33"/>
          <w:insideV w:val="single" w:sz="8" w:space="0" w:color="B88A33"/>
        </w:tblBorders>
      </w:tblPr>
      <w:tblGrid>
        <w:gridCol w:w="9648"/>
      </w:tblGrid>
      <w:tr>
        <w:tc>
          <w:tcPr>
            <w:tcW w:type="dxa" w:w="9994"/>
            <w:shd w:fill="F6EFD9"/>
            <w:tcMar>
              <w:top w:w="130" w:type="dxa"/>
              <w:start w:w="160" w:type="dxa"/>
              <w:bottom w:w="130" w:type="dxa"/>
              <w:end w:w="160" w:type="dxa"/>
            </w:tcMar>
          </w:tcPr>
          <w:p>
            <w:pPr>
              <w:spacing w:after="60"/>
            </w:pPr>
            <w:r>
              <w:rPr>
                <w:rFonts w:ascii="Inter" w:hAnsi="Inter" w:eastAsia="Inter"/>
                <w:b/>
                <w:color w:val="1F2A44"/>
                <w:sz w:val="21"/>
              </w:rPr>
              <w:t>Gate 1 recommendation</w:t>
            </w:r>
          </w:p>
          <w:p>
            <w:pPr>
              <w:spacing w:after="0"/>
            </w:pPr>
            <w:r>
              <w:rPr>
                <w:rFonts w:ascii="Inter" w:hAnsi="Inter" w:eastAsia="Inter"/>
                <w:color w:val="222222"/>
                <w:sz w:val="19"/>
              </w:rPr>
              <w:t>Approve the benchmark findings as research evidence only. Use them to prepare the Audience and Trust Map next. Do not finalize the sitemap, participation rules, or governance model until the team confirms which applications fit current capacity and which remain future possibilities.</w:t>
            </w:r>
          </w:p>
        </w:tc>
      </w:tr>
    </w:tbl>
    <w:p>
      <w:pPr>
        <w:spacing w:after="0"/>
      </w:pPr>
    </w:p>
    <w:p>
      <w:pPr>
        <w:spacing w:before="200" w:after="100"/>
        <w:keepNext/>
        <w:pBdr>
          <w:bottom w:val="single" w:sz="8" w:space="4" w:color="B88A33"/>
        </w:pBdr>
      </w:pPr>
      <w:r>
        <w:rPr>
          <w:rFonts w:ascii="Inter Display" w:hAnsi="Inter Display" w:eastAsia="Inter Display"/>
          <w:b/>
          <w:color w:val="1F2A44"/>
          <w:sz w:val="36"/>
        </w:rPr>
        <w:t>Appendix A. Source Register</w:t>
      </w:r>
    </w:p>
    <w:p>
      <w:pPr>
        <w:spacing w:after="80" w:line="259" w:lineRule="auto"/>
      </w:pPr>
      <w:r>
        <w:rPr>
          <w:rFonts w:ascii="Inter" w:hAnsi="Inter" w:eastAsia="Inter"/>
          <w:color w:val="222222"/>
          <w:sz w:val="18"/>
        </w:rPr>
        <w:t>The following pages were listed in the Gemini research output and used as the evidence base for this editorially reviewed report. Access date: August 2026. All are official organization pages unless noted otherwise. URLs should be rechecked before external publication or public citation.</w:t>
      </w:r>
    </w:p>
    <w:p>
      <w:pPr>
        <w:spacing w:before="120" w:after="100"/>
        <w:keepNext/>
      </w:pPr>
      <w:r>
        <w:rPr>
          <w:rFonts w:ascii="Inter Display" w:hAnsi="Inter Display" w:eastAsia="Inter Display"/>
          <w:b/>
          <w:color w:val="496A4B"/>
          <w:sz w:val="27"/>
        </w:rPr>
        <w:t>80,000 Hours</w:t>
      </w:r>
    </w:p>
    <w:tbl>
      <w:tblPr>
        <w:tblW w:type="auto" w:w="0"/>
        <w:jc w:val="center"/>
        <w:tblLayout w:type="fixed"/>
        <w:tblLook w:firstColumn="1" w:firstRow="1" w:lastColumn="0" w:lastRow="0" w:noHBand="0" w:noVBand="1" w:val="04A0"/>
        <w:tblBorders>
          <w:top w:val="single" w:sz="4" w:space="0" w:color="DEE1E4"/>
          <w:left w:val="single" w:sz="4" w:space="0" w:color="DEE1E4"/>
          <w:bottom w:val="single" w:sz="4" w:space="0" w:color="DEE1E4"/>
          <w:right w:val="single" w:sz="4" w:space="0" w:color="DEE1E4"/>
          <w:insideH w:val="single" w:sz="4" w:space="0" w:color="DEE1E4"/>
          <w:insideV w:val="single" w:sz="4" w:space="0" w:color="DEE1E4"/>
        </w:tblBorders>
      </w:tblPr>
      <w:tblGrid>
        <w:gridCol w:w="3384"/>
        <w:gridCol w:w="6120"/>
      </w:tblGrid>
      <w:tr>
        <w:trPr>
          <w:tblHeader w:val="true"/>
        </w:trPr>
        <w:tc>
          <w:tcPr>
            <w:tcW w:type="dxa" w:w="4997"/>
            <w:shd w:fill="1F2A44"/>
            <w:tcMar>
              <w:top w:w="70" w:type="dxa"/>
              <w:start w:w="90" w:type="dxa"/>
              <w:bottom w:w="70" w:type="dxa"/>
              <w:end w:w="90" w:type="dxa"/>
            </w:tcMar>
          </w:tcPr>
          <w:p>
            <w:r>
              <w:rPr>
                <w:rFonts w:ascii="Inter" w:hAnsi="Inter" w:eastAsia="Inter"/>
                <w:b/>
                <w:color w:val="FFFFFF"/>
                <w:sz w:val="17"/>
              </w:rPr>
              <w:t>Page</w:t>
            </w:r>
          </w:p>
        </w:tc>
        <w:tc>
          <w:tcPr>
            <w:tcW w:type="dxa" w:w="4997"/>
            <w:shd w:fill="1F2A44"/>
            <w:tcMar>
              <w:top w:w="70" w:type="dxa"/>
              <w:start w:w="90" w:type="dxa"/>
              <w:bottom w:w="70" w:type="dxa"/>
              <w:end w:w="90" w:type="dxa"/>
            </w:tcMar>
          </w:tcPr>
          <w:p>
            <w:r>
              <w:rPr>
                <w:rFonts w:ascii="Inter" w:hAnsi="Inter" w:eastAsia="Inter"/>
                <w:b/>
                <w:color w:val="FFFFFF"/>
                <w:sz w:val="17"/>
              </w:rPr>
              <w:t>Official URL</w:t>
            </w:r>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Homepage</w:t>
            </w:r>
          </w:p>
        </w:tc>
        <w:tc>
          <w:tcPr>
            <w:tcW w:type="dxa" w:w="6120"/>
            <w:shd w:fill="FAFBFC"/>
            <w:tcMar>
              <w:top w:w="65" w:type="dxa"/>
              <w:start w:w="90" w:type="dxa"/>
              <w:bottom w:w="65" w:type="dxa"/>
              <w:end w:w="90" w:type="dxa"/>
            </w:tcMar>
          </w:tcPr>
          <w:p>
            <w:hyperlink r:id="rId11">
              <w:r>
                <w:rPr>
                  <w:rFonts w:ascii="Inter" w:hAnsi="Inter"/>
                  <w:color w:val="2C5F8A"/>
                  <w:u w:val="single"/>
                  <w:sz w:val="16"/>
                </w:rPr>
                <w:t>https://80000hours.org/</w:t>
              </w:r>
            </w:hyperlink>
          </w:p>
        </w:tc>
      </w:tr>
      <w:tr>
        <w:trPr>
          <w:cantSplit/>
        </w:trPr>
        <w:tc>
          <w:tcPr>
            <w:tcW w:type="dxa" w:w="3384"/>
            <w:tcMar>
              <w:top w:w="65" w:type="dxa"/>
              <w:start w:w="90" w:type="dxa"/>
              <w:bottom w:w="65" w:type="dxa"/>
              <w:end w:w="90" w:type="dxa"/>
            </w:tcMar>
          </w:tcPr>
          <w:p>
            <w:r>
              <w:rPr>
                <w:rFonts w:ascii="Inter" w:hAnsi="Inter" w:eastAsia="Inter"/>
                <w:b/>
                <w:color w:val="1F2A44"/>
                <w:sz w:val="16"/>
              </w:rPr>
              <w:t>Advising application tips</w:t>
            </w:r>
          </w:p>
        </w:tc>
        <w:tc>
          <w:tcPr>
            <w:tcW w:type="dxa" w:w="6120"/>
            <w:tcMar>
              <w:top w:w="65" w:type="dxa"/>
              <w:start w:w="90" w:type="dxa"/>
              <w:bottom w:w="65" w:type="dxa"/>
              <w:end w:w="90" w:type="dxa"/>
            </w:tcMar>
          </w:tcPr>
          <w:p>
            <w:hyperlink r:id="rId12">
              <w:r>
                <w:rPr>
                  <w:rFonts w:ascii="Inter" w:hAnsi="Inter"/>
                  <w:color w:val="2C5F8A"/>
                  <w:u w:val="single"/>
                  <w:sz w:val="16"/>
                </w:rPr>
                <w:t>https://80000hours.org/advising-application-tips/</w:t>
              </w:r>
            </w:hyperlink>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Research process and principles</w:t>
            </w:r>
          </w:p>
        </w:tc>
        <w:tc>
          <w:tcPr>
            <w:tcW w:type="dxa" w:w="6120"/>
            <w:shd w:fill="FAFBFC"/>
            <w:tcMar>
              <w:top w:w="65" w:type="dxa"/>
              <w:start w:w="90" w:type="dxa"/>
              <w:bottom w:w="65" w:type="dxa"/>
              <w:end w:w="90" w:type="dxa"/>
            </w:tcMar>
          </w:tcPr>
          <w:p>
            <w:hyperlink r:id="rId13">
              <w:r>
                <w:rPr>
                  <w:rFonts w:ascii="Inter" w:hAnsi="Inter"/>
                  <w:color w:val="2C5F8A"/>
                  <w:u w:val="single"/>
                  <w:sz w:val="16"/>
                </w:rPr>
                <w:t>https://80000hours.org/about/credibility/research-principles/</w:t>
              </w:r>
            </w:hyperlink>
          </w:p>
        </w:tc>
      </w:tr>
      <w:tr>
        <w:trPr>
          <w:cantSplit/>
        </w:trPr>
        <w:tc>
          <w:tcPr>
            <w:tcW w:type="dxa" w:w="3384"/>
            <w:tcMar>
              <w:top w:w="65" w:type="dxa"/>
              <w:start w:w="90" w:type="dxa"/>
              <w:bottom w:w="65" w:type="dxa"/>
              <w:end w:w="90" w:type="dxa"/>
            </w:tcMar>
          </w:tcPr>
          <w:p>
            <w:r>
              <w:rPr>
                <w:rFonts w:ascii="Inter" w:hAnsi="Inter" w:eastAsia="Inter"/>
                <w:b/>
                <w:color w:val="1F2A44"/>
                <w:sz w:val="16"/>
              </w:rPr>
              <w:t>Impact and credibility</w:t>
            </w:r>
          </w:p>
        </w:tc>
        <w:tc>
          <w:tcPr>
            <w:tcW w:type="dxa" w:w="6120"/>
            <w:tcMar>
              <w:top w:w="65" w:type="dxa"/>
              <w:start w:w="90" w:type="dxa"/>
              <w:bottom w:w="65" w:type="dxa"/>
              <w:end w:w="90" w:type="dxa"/>
            </w:tcMar>
          </w:tcPr>
          <w:p>
            <w:hyperlink r:id="rId14">
              <w:r>
                <w:rPr>
                  <w:rFonts w:ascii="Inter" w:hAnsi="Inter"/>
                  <w:color w:val="2C5F8A"/>
                  <w:u w:val="single"/>
                  <w:sz w:val="16"/>
                </w:rPr>
                <w:t>https://80000hours.org/about/credibility/</w:t>
              </w:r>
            </w:hyperlink>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Community</w:t>
            </w:r>
          </w:p>
        </w:tc>
        <w:tc>
          <w:tcPr>
            <w:tcW w:type="dxa" w:w="6120"/>
            <w:shd w:fill="FAFBFC"/>
            <w:tcMar>
              <w:top w:w="65" w:type="dxa"/>
              <w:start w:w="90" w:type="dxa"/>
              <w:bottom w:w="65" w:type="dxa"/>
              <w:end w:w="90" w:type="dxa"/>
            </w:tcMar>
          </w:tcPr>
          <w:p>
            <w:hyperlink r:id="rId41">
              <w:r>
                <w:rPr>
                  <w:rFonts w:ascii="Inter" w:hAnsi="Inter"/>
                  <w:color w:val="2C5F8A"/>
                  <w:u w:val="single"/>
                  <w:sz w:val="16"/>
                </w:rPr>
                <w:t>https://80000hours.org/community/</w:t>
              </w:r>
            </w:hyperlink>
          </w:p>
        </w:tc>
      </w:tr>
      <w:tr>
        <w:trPr>
          <w:cantSplit/>
        </w:trPr>
        <w:tc>
          <w:tcPr>
            <w:tcW w:type="dxa" w:w="3384"/>
            <w:tcMar>
              <w:top w:w="65" w:type="dxa"/>
              <w:start w:w="90" w:type="dxa"/>
              <w:bottom w:w="65" w:type="dxa"/>
              <w:end w:w="90" w:type="dxa"/>
            </w:tcMar>
          </w:tcPr>
          <w:p>
            <w:r>
              <w:rPr>
                <w:rFonts w:ascii="Inter" w:hAnsi="Inter" w:eastAsia="Inter"/>
                <w:b/>
                <w:color w:val="1F2A44"/>
                <w:sz w:val="16"/>
              </w:rPr>
              <w:t>Financial accounts</w:t>
            </w:r>
          </w:p>
        </w:tc>
        <w:tc>
          <w:tcPr>
            <w:tcW w:type="dxa" w:w="6120"/>
            <w:tcMar>
              <w:top w:w="65" w:type="dxa"/>
              <w:start w:w="90" w:type="dxa"/>
              <w:bottom w:w="65" w:type="dxa"/>
              <w:end w:w="90" w:type="dxa"/>
            </w:tcMar>
          </w:tcPr>
          <w:p>
            <w:hyperlink r:id="rId42">
              <w:r>
                <w:rPr>
                  <w:rFonts w:ascii="Inter" w:hAnsi="Inter"/>
                  <w:color w:val="2C5F8A"/>
                  <w:u w:val="single"/>
                  <w:sz w:val="16"/>
                </w:rPr>
                <w:t>https://80000hours.org/about/credibility/reviews/financial-accounts/</w:t>
              </w:r>
            </w:hyperlink>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Our mistakes</w:t>
            </w:r>
          </w:p>
        </w:tc>
        <w:tc>
          <w:tcPr>
            <w:tcW w:type="dxa" w:w="6120"/>
            <w:shd w:fill="FAFBFC"/>
            <w:tcMar>
              <w:top w:w="65" w:type="dxa"/>
              <w:start w:w="90" w:type="dxa"/>
              <w:bottom w:w="65" w:type="dxa"/>
              <w:end w:w="90" w:type="dxa"/>
            </w:tcMar>
          </w:tcPr>
          <w:p>
            <w:hyperlink r:id="rId16">
              <w:r>
                <w:rPr>
                  <w:rFonts w:ascii="Inter" w:hAnsi="Inter"/>
                  <w:color w:val="2C5F8A"/>
                  <w:u w:val="single"/>
                  <w:sz w:val="16"/>
                </w:rPr>
                <w:t>https://80000hours.org/about/credibility/reviews/mistakes/</w:t>
              </w:r>
            </w:hyperlink>
          </w:p>
        </w:tc>
      </w:tr>
      <w:tr>
        <w:trPr>
          <w:cantSplit/>
        </w:trPr>
        <w:tc>
          <w:tcPr>
            <w:tcW w:type="dxa" w:w="3384"/>
            <w:tcMar>
              <w:top w:w="65" w:type="dxa"/>
              <w:start w:w="90" w:type="dxa"/>
              <w:bottom w:w="65" w:type="dxa"/>
              <w:end w:w="90" w:type="dxa"/>
            </w:tcMar>
          </w:tcPr>
          <w:p>
            <w:r>
              <w:rPr>
                <w:rFonts w:ascii="Inter" w:hAnsi="Inter" w:eastAsia="Inter"/>
                <w:b/>
                <w:color w:val="1F2A44"/>
                <w:sz w:val="16"/>
              </w:rPr>
              <w:t>Privacy policy</w:t>
            </w:r>
          </w:p>
        </w:tc>
        <w:tc>
          <w:tcPr>
            <w:tcW w:type="dxa" w:w="6120"/>
            <w:tcMar>
              <w:top w:w="65" w:type="dxa"/>
              <w:start w:w="90" w:type="dxa"/>
              <w:bottom w:w="65" w:type="dxa"/>
              <w:end w:w="90" w:type="dxa"/>
            </w:tcMar>
          </w:tcPr>
          <w:p>
            <w:hyperlink r:id="rId15">
              <w:r>
                <w:rPr>
                  <w:rFonts w:ascii="Inter" w:hAnsi="Inter"/>
                  <w:color w:val="2C5F8A"/>
                  <w:u w:val="single"/>
                  <w:sz w:val="16"/>
                </w:rPr>
                <w:t>https://80000hours.org/privacy-policy/</w:t>
              </w:r>
            </w:hyperlink>
          </w:p>
        </w:tc>
      </w:tr>
    </w:tbl>
    <w:p>
      <w:pPr>
        <w:spacing w:before="120" w:after="100"/>
        <w:keepNext/>
      </w:pPr>
      <w:r>
        <w:rPr>
          <w:rFonts w:ascii="Inter Display" w:hAnsi="Inter Display" w:eastAsia="Inter Display"/>
          <w:b/>
          <w:color w:val="496A4B"/>
          <w:sz w:val="27"/>
        </w:rPr>
        <w:t>Impact Hub</w:t>
      </w:r>
    </w:p>
    <w:tbl>
      <w:tblPr>
        <w:tblW w:type="auto" w:w="0"/>
        <w:jc w:val="center"/>
        <w:tblLayout w:type="fixed"/>
        <w:tblLook w:firstColumn="1" w:firstRow="1" w:lastColumn="0" w:lastRow="0" w:noHBand="0" w:noVBand="1" w:val="04A0"/>
        <w:tblBorders>
          <w:top w:val="single" w:sz="4" w:space="0" w:color="DEE1E4"/>
          <w:left w:val="single" w:sz="4" w:space="0" w:color="DEE1E4"/>
          <w:bottom w:val="single" w:sz="4" w:space="0" w:color="DEE1E4"/>
          <w:right w:val="single" w:sz="4" w:space="0" w:color="DEE1E4"/>
          <w:insideH w:val="single" w:sz="4" w:space="0" w:color="DEE1E4"/>
          <w:insideV w:val="single" w:sz="4" w:space="0" w:color="DEE1E4"/>
        </w:tblBorders>
      </w:tblPr>
      <w:tblGrid>
        <w:gridCol w:w="3384"/>
        <w:gridCol w:w="6120"/>
      </w:tblGrid>
      <w:tr>
        <w:trPr>
          <w:tblHeader w:val="true"/>
        </w:trPr>
        <w:tc>
          <w:tcPr>
            <w:tcW w:type="dxa" w:w="4997"/>
            <w:shd w:fill="1F2A44"/>
            <w:tcMar>
              <w:top w:w="70" w:type="dxa"/>
              <w:start w:w="90" w:type="dxa"/>
              <w:bottom w:w="70" w:type="dxa"/>
              <w:end w:w="90" w:type="dxa"/>
            </w:tcMar>
          </w:tcPr>
          <w:p>
            <w:r>
              <w:rPr>
                <w:rFonts w:ascii="Inter" w:hAnsi="Inter" w:eastAsia="Inter"/>
                <w:b/>
                <w:color w:val="FFFFFF"/>
                <w:sz w:val="17"/>
              </w:rPr>
              <w:t>Page</w:t>
            </w:r>
          </w:p>
        </w:tc>
        <w:tc>
          <w:tcPr>
            <w:tcW w:type="dxa" w:w="4997"/>
            <w:shd w:fill="1F2A44"/>
            <w:tcMar>
              <w:top w:w="70" w:type="dxa"/>
              <w:start w:w="90" w:type="dxa"/>
              <w:bottom w:w="70" w:type="dxa"/>
              <w:end w:w="90" w:type="dxa"/>
            </w:tcMar>
          </w:tcPr>
          <w:p>
            <w:r>
              <w:rPr>
                <w:rFonts w:ascii="Inter" w:hAnsi="Inter" w:eastAsia="Inter"/>
                <w:b/>
                <w:color w:val="FFFFFF"/>
                <w:sz w:val="17"/>
              </w:rPr>
              <w:t>Official URL</w:t>
            </w:r>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Homepage</w:t>
            </w:r>
          </w:p>
        </w:tc>
        <w:tc>
          <w:tcPr>
            <w:tcW w:type="dxa" w:w="6120"/>
            <w:shd w:fill="FAFBFC"/>
            <w:tcMar>
              <w:top w:w="65" w:type="dxa"/>
              <w:start w:w="90" w:type="dxa"/>
              <w:bottom w:w="65" w:type="dxa"/>
              <w:end w:w="90" w:type="dxa"/>
            </w:tcMar>
          </w:tcPr>
          <w:p>
            <w:hyperlink r:id="rId17">
              <w:r>
                <w:rPr>
                  <w:rFonts w:ascii="Inter" w:hAnsi="Inter"/>
                  <w:color w:val="2C5F8A"/>
                  <w:u w:val="single"/>
                  <w:sz w:val="16"/>
                </w:rPr>
                <w:t>https://impacthub.net/</w:t>
              </w:r>
            </w:hyperlink>
          </w:p>
        </w:tc>
      </w:tr>
      <w:tr>
        <w:trPr>
          <w:cantSplit/>
        </w:trPr>
        <w:tc>
          <w:tcPr>
            <w:tcW w:type="dxa" w:w="3384"/>
            <w:tcMar>
              <w:top w:w="65" w:type="dxa"/>
              <w:start w:w="90" w:type="dxa"/>
              <w:bottom w:w="65" w:type="dxa"/>
              <w:end w:w="90" w:type="dxa"/>
            </w:tcMar>
          </w:tcPr>
          <w:p>
            <w:r>
              <w:rPr>
                <w:rFonts w:ascii="Inter" w:hAnsi="Inter" w:eastAsia="Inter"/>
                <w:b/>
                <w:color w:val="1F2A44"/>
                <w:sz w:val="16"/>
              </w:rPr>
              <w:t>General privacy policy</w:t>
            </w:r>
          </w:p>
        </w:tc>
        <w:tc>
          <w:tcPr>
            <w:tcW w:type="dxa" w:w="6120"/>
            <w:tcMar>
              <w:top w:w="65" w:type="dxa"/>
              <w:start w:w="90" w:type="dxa"/>
              <w:bottom w:w="65" w:type="dxa"/>
              <w:end w:w="90" w:type="dxa"/>
            </w:tcMar>
          </w:tcPr>
          <w:p>
            <w:hyperlink r:id="rId18">
              <w:r>
                <w:rPr>
                  <w:rFonts w:ascii="Inter" w:hAnsi="Inter"/>
                  <w:color w:val="2C5F8A"/>
                  <w:u w:val="single"/>
                  <w:sz w:val="16"/>
                </w:rPr>
                <w:t>https://impacthub.net/general-privacy-policy/</w:t>
              </w:r>
            </w:hyperlink>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Impact Hub Minneapolis impact publications</w:t>
            </w:r>
          </w:p>
        </w:tc>
        <w:tc>
          <w:tcPr>
            <w:tcW w:type="dxa" w:w="6120"/>
            <w:shd w:fill="FAFBFC"/>
            <w:tcMar>
              <w:top w:w="65" w:type="dxa"/>
              <w:start w:w="90" w:type="dxa"/>
              <w:bottom w:w="65" w:type="dxa"/>
              <w:end w:w="90" w:type="dxa"/>
            </w:tcMar>
          </w:tcPr>
          <w:p>
            <w:hyperlink r:id="rId19">
              <w:r>
                <w:rPr>
                  <w:rFonts w:ascii="Inter" w:hAnsi="Inter"/>
                  <w:color w:val="2C5F8A"/>
                  <w:u w:val="single"/>
                  <w:sz w:val="16"/>
                </w:rPr>
                <w:t>https://minneapolis.impacthub.net/impact/</w:t>
              </w:r>
            </w:hyperlink>
          </w:p>
        </w:tc>
      </w:tr>
    </w:tbl>
    <w:p>
      <w:pPr>
        <w:spacing w:before="120" w:after="100"/>
        <w:keepNext/>
      </w:pPr>
      <w:r>
        <w:rPr>
          <w:rFonts w:ascii="Inter Display" w:hAnsi="Inter Display" w:eastAsia="Inter Display"/>
          <w:b/>
          <w:color w:val="496A4B"/>
          <w:sz w:val="27"/>
        </w:rPr>
        <w:t>Ashoka</w:t>
      </w:r>
    </w:p>
    <w:tbl>
      <w:tblPr>
        <w:tblW w:type="auto" w:w="0"/>
        <w:jc w:val="center"/>
        <w:tblLayout w:type="fixed"/>
        <w:tblLook w:firstColumn="1" w:firstRow="1" w:lastColumn="0" w:lastRow="0" w:noHBand="0" w:noVBand="1" w:val="04A0"/>
        <w:tblBorders>
          <w:top w:val="single" w:sz="4" w:space="0" w:color="DEE1E4"/>
          <w:left w:val="single" w:sz="4" w:space="0" w:color="DEE1E4"/>
          <w:bottom w:val="single" w:sz="4" w:space="0" w:color="DEE1E4"/>
          <w:right w:val="single" w:sz="4" w:space="0" w:color="DEE1E4"/>
          <w:insideH w:val="single" w:sz="4" w:space="0" w:color="DEE1E4"/>
          <w:insideV w:val="single" w:sz="4" w:space="0" w:color="DEE1E4"/>
        </w:tblBorders>
      </w:tblPr>
      <w:tblGrid>
        <w:gridCol w:w="3384"/>
        <w:gridCol w:w="6120"/>
      </w:tblGrid>
      <w:tr>
        <w:trPr>
          <w:tblHeader w:val="true"/>
        </w:trPr>
        <w:tc>
          <w:tcPr>
            <w:tcW w:type="dxa" w:w="4997"/>
            <w:shd w:fill="1F2A44"/>
            <w:tcMar>
              <w:top w:w="70" w:type="dxa"/>
              <w:start w:w="90" w:type="dxa"/>
              <w:bottom w:w="70" w:type="dxa"/>
              <w:end w:w="90" w:type="dxa"/>
            </w:tcMar>
          </w:tcPr>
          <w:p>
            <w:r>
              <w:rPr>
                <w:rFonts w:ascii="Inter" w:hAnsi="Inter" w:eastAsia="Inter"/>
                <w:b/>
                <w:color w:val="FFFFFF"/>
                <w:sz w:val="17"/>
              </w:rPr>
              <w:t>Page</w:t>
            </w:r>
          </w:p>
        </w:tc>
        <w:tc>
          <w:tcPr>
            <w:tcW w:type="dxa" w:w="4997"/>
            <w:shd w:fill="1F2A44"/>
            <w:tcMar>
              <w:top w:w="70" w:type="dxa"/>
              <w:start w:w="90" w:type="dxa"/>
              <w:bottom w:w="70" w:type="dxa"/>
              <w:end w:w="90" w:type="dxa"/>
            </w:tcMar>
          </w:tcPr>
          <w:p>
            <w:r>
              <w:rPr>
                <w:rFonts w:ascii="Inter" w:hAnsi="Inter" w:eastAsia="Inter"/>
                <w:b/>
                <w:color w:val="FFFFFF"/>
                <w:sz w:val="17"/>
              </w:rPr>
              <w:t>Official URL</w:t>
            </w:r>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About Ashoka</w:t>
            </w:r>
          </w:p>
        </w:tc>
        <w:tc>
          <w:tcPr>
            <w:tcW w:type="dxa" w:w="6120"/>
            <w:shd w:fill="FAFBFC"/>
            <w:tcMar>
              <w:top w:w="65" w:type="dxa"/>
              <w:start w:w="90" w:type="dxa"/>
              <w:bottom w:w="65" w:type="dxa"/>
              <w:end w:w="90" w:type="dxa"/>
            </w:tcMar>
          </w:tcPr>
          <w:p>
            <w:hyperlink r:id="rId20">
              <w:r>
                <w:rPr>
                  <w:rFonts w:ascii="Inter" w:hAnsi="Inter"/>
                  <w:color w:val="2C5F8A"/>
                  <w:u w:val="single"/>
                  <w:sz w:val="16"/>
                </w:rPr>
                <w:t>https://www.ashoka.org/en-ph/about-ashoka</w:t>
              </w:r>
            </w:hyperlink>
          </w:p>
        </w:tc>
      </w:tr>
      <w:tr>
        <w:trPr>
          <w:cantSplit/>
        </w:trPr>
        <w:tc>
          <w:tcPr>
            <w:tcW w:type="dxa" w:w="3384"/>
            <w:tcMar>
              <w:top w:w="65" w:type="dxa"/>
              <w:start w:w="90" w:type="dxa"/>
              <w:bottom w:w="65" w:type="dxa"/>
              <w:end w:w="90" w:type="dxa"/>
            </w:tcMar>
          </w:tcPr>
          <w:p>
            <w:r>
              <w:rPr>
                <w:rFonts w:ascii="Inter" w:hAnsi="Inter" w:eastAsia="Inter"/>
                <w:b/>
                <w:color w:val="1F2A44"/>
                <w:sz w:val="16"/>
              </w:rPr>
              <w:t>Recommend an Ashoka Fellow</w:t>
            </w:r>
          </w:p>
        </w:tc>
        <w:tc>
          <w:tcPr>
            <w:tcW w:type="dxa" w:w="6120"/>
            <w:tcMar>
              <w:top w:w="65" w:type="dxa"/>
              <w:start w:w="90" w:type="dxa"/>
              <w:bottom w:w="65" w:type="dxa"/>
              <w:end w:w="90" w:type="dxa"/>
            </w:tcMar>
          </w:tcPr>
          <w:p>
            <w:hyperlink r:id="rId21">
              <w:r>
                <w:rPr>
                  <w:rFonts w:ascii="Inter" w:hAnsi="Inter"/>
                  <w:color w:val="2C5F8A"/>
                  <w:u w:val="single"/>
                  <w:sz w:val="16"/>
                </w:rPr>
                <w:t>https://www.ashoka.org/en-us/recommend-ashoka-fellow</w:t>
              </w:r>
            </w:hyperlink>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Frequently asked questions</w:t>
            </w:r>
          </w:p>
        </w:tc>
        <w:tc>
          <w:tcPr>
            <w:tcW w:type="dxa" w:w="6120"/>
            <w:shd w:fill="FAFBFC"/>
            <w:tcMar>
              <w:top w:w="65" w:type="dxa"/>
              <w:start w:w="90" w:type="dxa"/>
              <w:bottom w:w="65" w:type="dxa"/>
              <w:end w:w="90" w:type="dxa"/>
            </w:tcMar>
          </w:tcPr>
          <w:p>
            <w:hyperlink r:id="rId22">
              <w:r>
                <w:rPr>
                  <w:rFonts w:ascii="Inter" w:hAnsi="Inter"/>
                  <w:color w:val="2C5F8A"/>
                  <w:u w:val="single"/>
                  <w:sz w:val="16"/>
                </w:rPr>
                <w:t>https://www.ashoka.org/en-us/frequently-asked-questions</w:t>
              </w:r>
            </w:hyperlink>
          </w:p>
        </w:tc>
      </w:tr>
      <w:tr>
        <w:trPr>
          <w:cantSplit/>
        </w:trPr>
        <w:tc>
          <w:tcPr>
            <w:tcW w:type="dxa" w:w="3384"/>
            <w:tcMar>
              <w:top w:w="65" w:type="dxa"/>
              <w:start w:w="90" w:type="dxa"/>
              <w:bottom w:w="65" w:type="dxa"/>
              <w:end w:w="90" w:type="dxa"/>
            </w:tcMar>
          </w:tcPr>
          <w:p>
            <w:r>
              <w:rPr>
                <w:rFonts w:ascii="Inter" w:hAnsi="Inter" w:eastAsia="Inter"/>
                <w:b/>
                <w:color w:val="1F2A44"/>
                <w:sz w:val="16"/>
              </w:rPr>
              <w:t>Hiring criteria and process</w:t>
            </w:r>
          </w:p>
        </w:tc>
        <w:tc>
          <w:tcPr>
            <w:tcW w:type="dxa" w:w="6120"/>
            <w:tcMar>
              <w:top w:w="65" w:type="dxa"/>
              <w:start w:w="90" w:type="dxa"/>
              <w:bottom w:w="65" w:type="dxa"/>
              <w:end w:w="90" w:type="dxa"/>
            </w:tcMar>
          </w:tcPr>
          <w:p>
            <w:hyperlink r:id="rId23">
              <w:r>
                <w:rPr>
                  <w:rFonts w:ascii="Inter" w:hAnsi="Inter"/>
                  <w:color w:val="2C5F8A"/>
                  <w:u w:val="single"/>
                  <w:sz w:val="16"/>
                </w:rPr>
                <w:t>https://www.ashoka.org/en-us/engage/work-with-us/hiring-criteria</w:t>
              </w:r>
            </w:hyperlink>
          </w:p>
        </w:tc>
      </w:tr>
    </w:tbl>
    <w:p>
      <w:pPr>
        <w:spacing w:before="120" w:after="100"/>
        <w:keepNext/>
      </w:pPr>
      <w:r>
        <w:rPr>
          <w:rFonts w:ascii="Inter Display" w:hAnsi="Inter Display" w:eastAsia="Inter Display"/>
          <w:b/>
          <w:color w:val="496A4B"/>
          <w:sz w:val="27"/>
        </w:rPr>
        <w:t>B Lab / B Corporation</w:t>
      </w:r>
    </w:p>
    <w:tbl>
      <w:tblPr>
        <w:tblW w:type="auto" w:w="0"/>
        <w:jc w:val="center"/>
        <w:tblLayout w:type="fixed"/>
        <w:tblLook w:firstColumn="1" w:firstRow="1" w:lastColumn="0" w:lastRow="0" w:noHBand="0" w:noVBand="1" w:val="04A0"/>
        <w:tblBorders>
          <w:top w:val="single" w:sz="4" w:space="0" w:color="DEE1E4"/>
          <w:left w:val="single" w:sz="4" w:space="0" w:color="DEE1E4"/>
          <w:bottom w:val="single" w:sz="4" w:space="0" w:color="DEE1E4"/>
          <w:right w:val="single" w:sz="4" w:space="0" w:color="DEE1E4"/>
          <w:insideH w:val="single" w:sz="4" w:space="0" w:color="DEE1E4"/>
          <w:insideV w:val="single" w:sz="4" w:space="0" w:color="DEE1E4"/>
        </w:tblBorders>
      </w:tblPr>
      <w:tblGrid>
        <w:gridCol w:w="3384"/>
        <w:gridCol w:w="6120"/>
      </w:tblGrid>
      <w:tr>
        <w:trPr>
          <w:tblHeader w:val="true"/>
        </w:trPr>
        <w:tc>
          <w:tcPr>
            <w:tcW w:type="dxa" w:w="4997"/>
            <w:shd w:fill="1F2A44"/>
            <w:tcMar>
              <w:top w:w="70" w:type="dxa"/>
              <w:start w:w="90" w:type="dxa"/>
              <w:bottom w:w="70" w:type="dxa"/>
              <w:end w:w="90" w:type="dxa"/>
            </w:tcMar>
          </w:tcPr>
          <w:p>
            <w:r>
              <w:rPr>
                <w:rFonts w:ascii="Inter" w:hAnsi="Inter" w:eastAsia="Inter"/>
                <w:b/>
                <w:color w:val="FFFFFF"/>
                <w:sz w:val="17"/>
              </w:rPr>
              <w:t>Page</w:t>
            </w:r>
          </w:p>
        </w:tc>
        <w:tc>
          <w:tcPr>
            <w:tcW w:type="dxa" w:w="4997"/>
            <w:shd w:fill="1F2A44"/>
            <w:tcMar>
              <w:top w:w="70" w:type="dxa"/>
              <w:start w:w="90" w:type="dxa"/>
              <w:bottom w:w="70" w:type="dxa"/>
              <w:end w:w="90" w:type="dxa"/>
            </w:tcMar>
          </w:tcPr>
          <w:p>
            <w:r>
              <w:rPr>
                <w:rFonts w:ascii="Inter" w:hAnsi="Inter" w:eastAsia="Inter"/>
                <w:b/>
                <w:color w:val="FFFFFF"/>
                <w:sz w:val="17"/>
              </w:rPr>
              <w:t>Official URL</w:t>
            </w:r>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About B Corps</w:t>
            </w:r>
          </w:p>
        </w:tc>
        <w:tc>
          <w:tcPr>
            <w:tcW w:type="dxa" w:w="6120"/>
            <w:shd w:fill="FAFBFC"/>
            <w:tcMar>
              <w:top w:w="65" w:type="dxa"/>
              <w:start w:w="90" w:type="dxa"/>
              <w:bottom w:w="65" w:type="dxa"/>
              <w:end w:w="90" w:type="dxa"/>
            </w:tcMar>
          </w:tcPr>
          <w:p>
            <w:hyperlink r:id="rId24">
              <w:r>
                <w:rPr>
                  <w:rFonts w:ascii="Inter" w:hAnsi="Inter"/>
                  <w:color w:val="2C5F8A"/>
                  <w:u w:val="single"/>
                  <w:sz w:val="16"/>
                </w:rPr>
                <w:t>https://usca.bcorporation.net/about-b-corps/</w:t>
              </w:r>
            </w:hyperlink>
          </w:p>
        </w:tc>
      </w:tr>
      <w:tr>
        <w:trPr>
          <w:cantSplit/>
        </w:trPr>
        <w:tc>
          <w:tcPr>
            <w:tcW w:type="dxa" w:w="3384"/>
            <w:tcMar>
              <w:top w:w="65" w:type="dxa"/>
              <w:start w:w="90" w:type="dxa"/>
              <w:bottom w:w="65" w:type="dxa"/>
              <w:end w:w="90" w:type="dxa"/>
            </w:tcMar>
          </w:tcPr>
          <w:p>
            <w:r>
              <w:rPr>
                <w:rFonts w:ascii="Inter" w:hAnsi="Inter" w:eastAsia="Inter"/>
                <w:b/>
                <w:color w:val="1F2A44"/>
                <w:sz w:val="16"/>
              </w:rPr>
              <w:t>Why certify?</w:t>
            </w:r>
          </w:p>
        </w:tc>
        <w:tc>
          <w:tcPr>
            <w:tcW w:type="dxa" w:w="6120"/>
            <w:tcMar>
              <w:top w:w="65" w:type="dxa"/>
              <w:start w:w="90" w:type="dxa"/>
              <w:bottom w:w="65" w:type="dxa"/>
              <w:end w:w="90" w:type="dxa"/>
            </w:tcMar>
          </w:tcPr>
          <w:p>
            <w:hyperlink r:id="rId25">
              <w:r>
                <w:rPr>
                  <w:rFonts w:ascii="Inter" w:hAnsi="Inter"/>
                  <w:color w:val="2C5F8A"/>
                  <w:u w:val="single"/>
                  <w:sz w:val="16"/>
                </w:rPr>
                <w:t>https://usca.bcorporation.net/why-certify/</w:t>
              </w:r>
            </w:hyperlink>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Process and requirements</w:t>
            </w:r>
          </w:p>
        </w:tc>
        <w:tc>
          <w:tcPr>
            <w:tcW w:type="dxa" w:w="6120"/>
            <w:shd w:fill="FAFBFC"/>
            <w:tcMar>
              <w:top w:w="65" w:type="dxa"/>
              <w:start w:w="90" w:type="dxa"/>
              <w:bottom w:w="65" w:type="dxa"/>
              <w:end w:w="90" w:type="dxa"/>
            </w:tcMar>
          </w:tcPr>
          <w:p>
            <w:hyperlink r:id="rId26">
              <w:r>
                <w:rPr>
                  <w:rFonts w:ascii="Inter" w:hAnsi="Inter"/>
                  <w:color w:val="2C5F8A"/>
                  <w:u w:val="single"/>
                  <w:sz w:val="16"/>
                </w:rPr>
                <w:t>https://usca.bcorporation.net/process-requirements-fees/</w:t>
              </w:r>
            </w:hyperlink>
          </w:p>
        </w:tc>
      </w:tr>
      <w:tr>
        <w:trPr>
          <w:cantSplit/>
        </w:trPr>
        <w:tc>
          <w:tcPr>
            <w:tcW w:type="dxa" w:w="3384"/>
            <w:tcMar>
              <w:top w:w="65" w:type="dxa"/>
              <w:start w:w="90" w:type="dxa"/>
              <w:bottom w:w="65" w:type="dxa"/>
              <w:end w:w="90" w:type="dxa"/>
            </w:tcMar>
          </w:tcPr>
          <w:p>
            <w:r>
              <w:rPr>
                <w:rFonts w:ascii="Inter" w:hAnsi="Inter" w:eastAsia="Inter"/>
                <w:b/>
                <w:color w:val="1F2A44"/>
                <w:sz w:val="16"/>
              </w:rPr>
              <w:t>Frequently asked questions</w:t>
            </w:r>
          </w:p>
        </w:tc>
        <w:tc>
          <w:tcPr>
            <w:tcW w:type="dxa" w:w="6120"/>
            <w:tcMar>
              <w:top w:w="65" w:type="dxa"/>
              <w:start w:w="90" w:type="dxa"/>
              <w:bottom w:w="65" w:type="dxa"/>
              <w:end w:w="90" w:type="dxa"/>
            </w:tcMar>
          </w:tcPr>
          <w:p>
            <w:hyperlink r:id="rId27">
              <w:r>
                <w:rPr>
                  <w:rFonts w:ascii="Inter" w:hAnsi="Inter"/>
                  <w:color w:val="2C5F8A"/>
                  <w:u w:val="single"/>
                  <w:sz w:val="16"/>
                </w:rPr>
                <w:t>https://usca.bcorporation.net/faq/</w:t>
              </w:r>
            </w:hyperlink>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Who can certify?</w:t>
            </w:r>
          </w:p>
        </w:tc>
        <w:tc>
          <w:tcPr>
            <w:tcW w:type="dxa" w:w="6120"/>
            <w:shd w:fill="FAFBFC"/>
            <w:tcMar>
              <w:top w:w="65" w:type="dxa"/>
              <w:start w:w="90" w:type="dxa"/>
              <w:bottom w:w="65" w:type="dxa"/>
              <w:end w:w="90" w:type="dxa"/>
            </w:tcMar>
          </w:tcPr>
          <w:p>
            <w:hyperlink r:id="rId28">
              <w:r>
                <w:rPr>
                  <w:rFonts w:ascii="Inter" w:hAnsi="Inter"/>
                  <w:color w:val="2C5F8A"/>
                  <w:u w:val="single"/>
                  <w:sz w:val="16"/>
                </w:rPr>
                <w:t>https://usca.bcorporation.net/who-can-certify/</w:t>
              </w:r>
            </w:hyperlink>
          </w:p>
        </w:tc>
      </w:tr>
    </w:tbl>
    <w:p>
      <w:pPr>
        <w:spacing w:before="120" w:after="100"/>
        <w:keepNext/>
      </w:pPr>
      <w:r>
        <w:rPr>
          <w:rFonts w:ascii="Inter Display" w:hAnsi="Inter Display" w:eastAsia="Inter Display"/>
          <w:b/>
          <w:color w:val="496A4B"/>
          <w:sz w:val="27"/>
        </w:rPr>
        <w:t>OpenDoorClimate</w:t>
      </w:r>
    </w:p>
    <w:tbl>
      <w:tblPr>
        <w:tblW w:type="auto" w:w="0"/>
        <w:jc w:val="center"/>
        <w:tblLayout w:type="fixed"/>
        <w:tblLook w:firstColumn="1" w:firstRow="1" w:lastColumn="0" w:lastRow="0" w:noHBand="0" w:noVBand="1" w:val="04A0"/>
        <w:tblBorders>
          <w:top w:val="single" w:sz="4" w:space="0" w:color="DEE1E4"/>
          <w:left w:val="single" w:sz="4" w:space="0" w:color="DEE1E4"/>
          <w:bottom w:val="single" w:sz="4" w:space="0" w:color="DEE1E4"/>
          <w:right w:val="single" w:sz="4" w:space="0" w:color="DEE1E4"/>
          <w:insideH w:val="single" w:sz="4" w:space="0" w:color="DEE1E4"/>
          <w:insideV w:val="single" w:sz="4" w:space="0" w:color="DEE1E4"/>
        </w:tblBorders>
      </w:tblPr>
      <w:tblGrid>
        <w:gridCol w:w="3384"/>
        <w:gridCol w:w="6120"/>
      </w:tblGrid>
      <w:tr>
        <w:trPr>
          <w:tblHeader w:val="true"/>
        </w:trPr>
        <w:tc>
          <w:tcPr>
            <w:tcW w:type="dxa" w:w="4997"/>
            <w:shd w:fill="1F2A44"/>
            <w:tcMar>
              <w:top w:w="70" w:type="dxa"/>
              <w:start w:w="90" w:type="dxa"/>
              <w:bottom w:w="70" w:type="dxa"/>
              <w:end w:w="90" w:type="dxa"/>
            </w:tcMar>
          </w:tcPr>
          <w:p>
            <w:r>
              <w:rPr>
                <w:rFonts w:ascii="Inter" w:hAnsi="Inter" w:eastAsia="Inter"/>
                <w:b/>
                <w:color w:val="FFFFFF"/>
                <w:sz w:val="17"/>
              </w:rPr>
              <w:t>Page</w:t>
            </w:r>
          </w:p>
        </w:tc>
        <w:tc>
          <w:tcPr>
            <w:tcW w:type="dxa" w:w="4997"/>
            <w:shd w:fill="1F2A44"/>
            <w:tcMar>
              <w:top w:w="70" w:type="dxa"/>
              <w:start w:w="90" w:type="dxa"/>
              <w:bottom w:w="70" w:type="dxa"/>
              <w:end w:w="90" w:type="dxa"/>
            </w:tcMar>
          </w:tcPr>
          <w:p>
            <w:r>
              <w:rPr>
                <w:rFonts w:ascii="Inter" w:hAnsi="Inter" w:eastAsia="Inter"/>
                <w:b/>
                <w:color w:val="FFFFFF"/>
                <w:sz w:val="17"/>
              </w:rPr>
              <w:t>Official URL</w:t>
            </w:r>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Homepage</w:t>
            </w:r>
          </w:p>
        </w:tc>
        <w:tc>
          <w:tcPr>
            <w:tcW w:type="dxa" w:w="6120"/>
            <w:shd w:fill="FAFBFC"/>
            <w:tcMar>
              <w:top w:w="65" w:type="dxa"/>
              <w:start w:w="90" w:type="dxa"/>
              <w:bottom w:w="65" w:type="dxa"/>
              <w:end w:w="90" w:type="dxa"/>
            </w:tcMar>
          </w:tcPr>
          <w:p>
            <w:hyperlink r:id="rId29">
              <w:r>
                <w:rPr>
                  <w:rFonts w:ascii="Inter" w:hAnsi="Inter"/>
                  <w:color w:val="2C5F8A"/>
                  <w:u w:val="single"/>
                  <w:sz w:val="16"/>
                </w:rPr>
                <w:t>https://www.opendoorclimate.com/</w:t>
              </w:r>
            </w:hyperlink>
          </w:p>
        </w:tc>
      </w:tr>
      <w:tr>
        <w:trPr>
          <w:cantSplit/>
        </w:trPr>
        <w:tc>
          <w:tcPr>
            <w:tcW w:type="dxa" w:w="3384"/>
            <w:tcMar>
              <w:top w:w="65" w:type="dxa"/>
              <w:start w:w="90" w:type="dxa"/>
              <w:bottom w:w="65" w:type="dxa"/>
              <w:end w:w="90" w:type="dxa"/>
            </w:tcMar>
          </w:tcPr>
          <w:p>
            <w:r>
              <w:rPr>
                <w:rFonts w:ascii="Inter" w:hAnsi="Inter" w:eastAsia="Inter"/>
                <w:b/>
                <w:color w:val="1F2A44"/>
                <w:sz w:val="16"/>
              </w:rPr>
              <w:t>Jobseeker</w:t>
            </w:r>
          </w:p>
        </w:tc>
        <w:tc>
          <w:tcPr>
            <w:tcW w:type="dxa" w:w="6120"/>
            <w:tcMar>
              <w:top w:w="65" w:type="dxa"/>
              <w:start w:w="90" w:type="dxa"/>
              <w:bottom w:w="65" w:type="dxa"/>
              <w:end w:w="90" w:type="dxa"/>
            </w:tcMar>
          </w:tcPr>
          <w:p>
            <w:hyperlink r:id="rId30">
              <w:r>
                <w:rPr>
                  <w:rFonts w:ascii="Inter" w:hAnsi="Inter"/>
                  <w:color w:val="2C5F8A"/>
                  <w:u w:val="single"/>
                  <w:sz w:val="16"/>
                </w:rPr>
                <w:t>https://www.opendoorclimate.com/jobseeker</w:t>
              </w:r>
            </w:hyperlink>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Directory</w:t>
            </w:r>
          </w:p>
        </w:tc>
        <w:tc>
          <w:tcPr>
            <w:tcW w:type="dxa" w:w="6120"/>
            <w:shd w:fill="FAFBFC"/>
            <w:tcMar>
              <w:top w:w="65" w:type="dxa"/>
              <w:start w:w="90" w:type="dxa"/>
              <w:bottom w:w="65" w:type="dxa"/>
              <w:end w:w="90" w:type="dxa"/>
            </w:tcMar>
          </w:tcPr>
          <w:p>
            <w:hyperlink r:id="rId31">
              <w:r>
                <w:rPr>
                  <w:rFonts w:ascii="Inter" w:hAnsi="Inter"/>
                  <w:color w:val="2C5F8A"/>
                  <w:u w:val="single"/>
                  <w:sz w:val="16"/>
                </w:rPr>
                <w:t>https://www.opendoorclimate.com/directory</w:t>
              </w:r>
            </w:hyperlink>
          </w:p>
        </w:tc>
      </w:tr>
      <w:tr>
        <w:trPr>
          <w:cantSplit/>
        </w:trPr>
        <w:tc>
          <w:tcPr>
            <w:tcW w:type="dxa" w:w="3384"/>
            <w:tcMar>
              <w:top w:w="65" w:type="dxa"/>
              <w:start w:w="90" w:type="dxa"/>
              <w:bottom w:w="65" w:type="dxa"/>
              <w:end w:w="90" w:type="dxa"/>
            </w:tcMar>
          </w:tcPr>
          <w:p>
            <w:r>
              <w:rPr>
                <w:rFonts w:ascii="Inter" w:hAnsi="Inter" w:eastAsia="Inter"/>
                <w:b/>
                <w:color w:val="1F2A44"/>
                <w:sz w:val="16"/>
              </w:rPr>
              <w:t>Climate Hive jobseeker resources - partner source</w:t>
            </w:r>
          </w:p>
        </w:tc>
        <w:tc>
          <w:tcPr>
            <w:tcW w:type="dxa" w:w="6120"/>
            <w:tcMar>
              <w:top w:w="65" w:type="dxa"/>
              <w:start w:w="90" w:type="dxa"/>
              <w:bottom w:w="65" w:type="dxa"/>
              <w:end w:w="90" w:type="dxa"/>
            </w:tcMar>
          </w:tcPr>
          <w:p>
            <w:hyperlink r:id="rId32">
              <w:r>
                <w:rPr>
                  <w:rFonts w:ascii="Inter" w:hAnsi="Inter"/>
                  <w:color w:val="2C5F8A"/>
                  <w:u w:val="single"/>
                  <w:sz w:val="16"/>
                </w:rPr>
                <w:t>https://www.climate-hive.com/jobseeker-resources</w:t>
              </w:r>
            </w:hyperlink>
          </w:p>
        </w:tc>
      </w:tr>
    </w:tbl>
    <w:p>
      <w:pPr>
        <w:spacing w:before="120" w:after="100"/>
        <w:keepNext/>
      </w:pPr>
      <w:r>
        <w:rPr>
          <w:rFonts w:ascii="Inter Display" w:hAnsi="Inter Display" w:eastAsia="Inter Display"/>
          <w:b/>
          <w:color w:val="496A4B"/>
          <w:sz w:val="27"/>
        </w:rPr>
        <w:t>Animal Advocacy Careers</w:t>
      </w:r>
    </w:p>
    <w:tbl>
      <w:tblPr>
        <w:tblW w:type="auto" w:w="0"/>
        <w:jc w:val="center"/>
        <w:tblLayout w:type="fixed"/>
        <w:tblLook w:firstColumn="1" w:firstRow="1" w:lastColumn="0" w:lastRow="0" w:noHBand="0" w:noVBand="1" w:val="04A0"/>
        <w:tblBorders>
          <w:top w:val="single" w:sz="4" w:space="0" w:color="DEE1E4"/>
          <w:left w:val="single" w:sz="4" w:space="0" w:color="DEE1E4"/>
          <w:bottom w:val="single" w:sz="4" w:space="0" w:color="DEE1E4"/>
          <w:right w:val="single" w:sz="4" w:space="0" w:color="DEE1E4"/>
          <w:insideH w:val="single" w:sz="4" w:space="0" w:color="DEE1E4"/>
          <w:insideV w:val="single" w:sz="4" w:space="0" w:color="DEE1E4"/>
        </w:tblBorders>
      </w:tblPr>
      <w:tblGrid>
        <w:gridCol w:w="3384"/>
        <w:gridCol w:w="6120"/>
      </w:tblGrid>
      <w:tr>
        <w:trPr>
          <w:tblHeader w:val="true"/>
        </w:trPr>
        <w:tc>
          <w:tcPr>
            <w:tcW w:type="dxa" w:w="4997"/>
            <w:shd w:fill="1F2A44"/>
            <w:tcMar>
              <w:top w:w="70" w:type="dxa"/>
              <w:start w:w="90" w:type="dxa"/>
              <w:bottom w:w="70" w:type="dxa"/>
              <w:end w:w="90" w:type="dxa"/>
            </w:tcMar>
          </w:tcPr>
          <w:p>
            <w:r>
              <w:rPr>
                <w:rFonts w:ascii="Inter" w:hAnsi="Inter" w:eastAsia="Inter"/>
                <w:b/>
                <w:color w:val="FFFFFF"/>
                <w:sz w:val="17"/>
              </w:rPr>
              <w:t>Page</w:t>
            </w:r>
          </w:p>
        </w:tc>
        <w:tc>
          <w:tcPr>
            <w:tcW w:type="dxa" w:w="4997"/>
            <w:shd w:fill="1F2A44"/>
            <w:tcMar>
              <w:top w:w="70" w:type="dxa"/>
              <w:start w:w="90" w:type="dxa"/>
              <w:bottom w:w="70" w:type="dxa"/>
              <w:end w:w="90" w:type="dxa"/>
            </w:tcMar>
          </w:tcPr>
          <w:p>
            <w:r>
              <w:rPr>
                <w:rFonts w:ascii="Inter" w:hAnsi="Inter" w:eastAsia="Inter"/>
                <w:b/>
                <w:color w:val="FFFFFF"/>
                <w:sz w:val="17"/>
              </w:rPr>
              <w:t>Official URL</w:t>
            </w:r>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Homepage</w:t>
            </w:r>
          </w:p>
        </w:tc>
        <w:tc>
          <w:tcPr>
            <w:tcW w:type="dxa" w:w="6120"/>
            <w:shd w:fill="FAFBFC"/>
            <w:tcMar>
              <w:top w:w="65" w:type="dxa"/>
              <w:start w:w="90" w:type="dxa"/>
              <w:bottom w:w="65" w:type="dxa"/>
              <w:end w:w="90" w:type="dxa"/>
            </w:tcMar>
          </w:tcPr>
          <w:p>
            <w:hyperlink r:id="rId33">
              <w:r>
                <w:rPr>
                  <w:rFonts w:ascii="Inter" w:hAnsi="Inter"/>
                  <w:color w:val="2C5F8A"/>
                  <w:u w:val="single"/>
                  <w:sz w:val="16"/>
                </w:rPr>
                <w:t>https://animaladvocacycareers.org/</w:t>
              </w:r>
            </w:hyperlink>
          </w:p>
        </w:tc>
      </w:tr>
      <w:tr>
        <w:trPr>
          <w:cantSplit/>
        </w:trPr>
        <w:tc>
          <w:tcPr>
            <w:tcW w:type="dxa" w:w="3384"/>
            <w:tcMar>
              <w:top w:w="65" w:type="dxa"/>
              <w:start w:w="90" w:type="dxa"/>
              <w:bottom w:w="65" w:type="dxa"/>
              <w:end w:w="90" w:type="dxa"/>
            </w:tcMar>
          </w:tcPr>
          <w:p>
            <w:r>
              <w:rPr>
                <w:rFonts w:ascii="Inter" w:hAnsi="Inter" w:eastAsia="Inter"/>
                <w:b/>
                <w:color w:val="1F2A44"/>
                <w:sz w:val="16"/>
              </w:rPr>
              <w:t>Career coaching</w:t>
            </w:r>
          </w:p>
        </w:tc>
        <w:tc>
          <w:tcPr>
            <w:tcW w:type="dxa" w:w="6120"/>
            <w:tcMar>
              <w:top w:w="65" w:type="dxa"/>
              <w:start w:w="90" w:type="dxa"/>
              <w:bottom w:w="65" w:type="dxa"/>
              <w:end w:w="90" w:type="dxa"/>
            </w:tcMar>
          </w:tcPr>
          <w:p>
            <w:hyperlink r:id="rId34">
              <w:r>
                <w:rPr>
                  <w:rFonts w:ascii="Inter" w:hAnsi="Inter"/>
                  <w:color w:val="2C5F8A"/>
                  <w:u w:val="single"/>
                  <w:sz w:val="16"/>
                </w:rPr>
                <w:t>https://animaladvocacycareers.org/career-coaching/</w:t>
              </w:r>
            </w:hyperlink>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Our impact</w:t>
            </w:r>
          </w:p>
        </w:tc>
        <w:tc>
          <w:tcPr>
            <w:tcW w:type="dxa" w:w="6120"/>
            <w:shd w:fill="FAFBFC"/>
            <w:tcMar>
              <w:top w:w="65" w:type="dxa"/>
              <w:start w:w="90" w:type="dxa"/>
              <w:bottom w:w="65" w:type="dxa"/>
              <w:end w:w="90" w:type="dxa"/>
            </w:tcMar>
          </w:tcPr>
          <w:p>
            <w:hyperlink r:id="rId35">
              <w:r>
                <w:rPr>
                  <w:rFonts w:ascii="Inter" w:hAnsi="Inter"/>
                  <w:color w:val="2C5F8A"/>
                  <w:u w:val="single"/>
                  <w:sz w:val="16"/>
                </w:rPr>
                <w:t>https://animaladvocacycareers.org/about/impact/</w:t>
              </w:r>
            </w:hyperlink>
          </w:p>
        </w:tc>
      </w:tr>
      <w:tr>
        <w:trPr>
          <w:cantSplit/>
        </w:trPr>
        <w:tc>
          <w:tcPr>
            <w:tcW w:type="dxa" w:w="3384"/>
            <w:tcMar>
              <w:top w:w="65" w:type="dxa"/>
              <w:start w:w="90" w:type="dxa"/>
              <w:bottom w:w="65" w:type="dxa"/>
              <w:end w:w="90" w:type="dxa"/>
            </w:tcMar>
          </w:tcPr>
          <w:p>
            <w:r>
              <w:rPr>
                <w:rFonts w:ascii="Inter" w:hAnsi="Inter" w:eastAsia="Inter"/>
                <w:b/>
                <w:color w:val="1F2A44"/>
                <w:sz w:val="16"/>
              </w:rPr>
              <w:t>2021 annual report - historical evidence</w:t>
            </w:r>
          </w:p>
        </w:tc>
        <w:tc>
          <w:tcPr>
            <w:tcW w:type="dxa" w:w="6120"/>
            <w:tcMar>
              <w:top w:w="65" w:type="dxa"/>
              <w:start w:w="90" w:type="dxa"/>
              <w:bottom w:w="65" w:type="dxa"/>
              <w:end w:w="90" w:type="dxa"/>
            </w:tcMar>
          </w:tcPr>
          <w:p>
            <w:hyperlink r:id="rId36">
              <w:r>
                <w:rPr>
                  <w:rFonts w:ascii="Inter" w:hAnsi="Inter"/>
                  <w:color w:val="2C5F8A"/>
                  <w:u w:val="single"/>
                  <w:sz w:val="16"/>
                </w:rPr>
                <w:t>https://animaladvocacycareers.org/post/2021-annual-report/</w:t>
              </w:r>
            </w:hyperlink>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Job board</w:t>
            </w:r>
          </w:p>
        </w:tc>
        <w:tc>
          <w:tcPr>
            <w:tcW w:type="dxa" w:w="6120"/>
            <w:shd w:fill="FAFBFC"/>
            <w:tcMar>
              <w:top w:w="65" w:type="dxa"/>
              <w:start w:w="90" w:type="dxa"/>
              <w:bottom w:w="65" w:type="dxa"/>
              <w:end w:w="90" w:type="dxa"/>
            </w:tcMar>
          </w:tcPr>
          <w:p>
            <w:hyperlink r:id="rId37">
              <w:r>
                <w:rPr>
                  <w:rFonts w:ascii="Inter" w:hAnsi="Inter"/>
                  <w:color w:val="2C5F8A"/>
                  <w:u w:val="single"/>
                  <w:sz w:val="16"/>
                </w:rPr>
                <w:t>https://animaladvocacycareers.org/job-board/</w:t>
              </w:r>
            </w:hyperlink>
          </w:p>
        </w:tc>
      </w:tr>
    </w:tbl>
    <w:p>
      <w:pPr>
        <w:spacing w:before="120" w:after="100"/>
        <w:keepNext/>
      </w:pPr>
      <w:r>
        <w:rPr>
          <w:rFonts w:ascii="Inter Display" w:hAnsi="Inter Display" w:eastAsia="Inter Display"/>
          <w:b/>
          <w:color w:val="496A4B"/>
          <w:sz w:val="27"/>
        </w:rPr>
        <w:t>Plum Village</w:t>
      </w:r>
    </w:p>
    <w:tbl>
      <w:tblPr>
        <w:tblW w:type="auto" w:w="0"/>
        <w:jc w:val="center"/>
        <w:tblLayout w:type="fixed"/>
        <w:tblLook w:firstColumn="1" w:firstRow="1" w:lastColumn="0" w:lastRow="0" w:noHBand="0" w:noVBand="1" w:val="04A0"/>
        <w:tblBorders>
          <w:top w:val="single" w:sz="4" w:space="0" w:color="DEE1E4"/>
          <w:left w:val="single" w:sz="4" w:space="0" w:color="DEE1E4"/>
          <w:bottom w:val="single" w:sz="4" w:space="0" w:color="DEE1E4"/>
          <w:right w:val="single" w:sz="4" w:space="0" w:color="DEE1E4"/>
          <w:insideH w:val="single" w:sz="4" w:space="0" w:color="DEE1E4"/>
          <w:insideV w:val="single" w:sz="4" w:space="0" w:color="DEE1E4"/>
        </w:tblBorders>
      </w:tblPr>
      <w:tblGrid>
        <w:gridCol w:w="3384"/>
        <w:gridCol w:w="6120"/>
      </w:tblGrid>
      <w:tr>
        <w:trPr>
          <w:tblHeader w:val="true"/>
        </w:trPr>
        <w:tc>
          <w:tcPr>
            <w:tcW w:type="dxa" w:w="4997"/>
            <w:shd w:fill="1F2A44"/>
            <w:tcMar>
              <w:top w:w="70" w:type="dxa"/>
              <w:start w:w="90" w:type="dxa"/>
              <w:bottom w:w="70" w:type="dxa"/>
              <w:end w:w="90" w:type="dxa"/>
            </w:tcMar>
          </w:tcPr>
          <w:p>
            <w:r>
              <w:rPr>
                <w:rFonts w:ascii="Inter" w:hAnsi="Inter" w:eastAsia="Inter"/>
                <w:b/>
                <w:color w:val="FFFFFF"/>
                <w:sz w:val="17"/>
              </w:rPr>
              <w:t>Page</w:t>
            </w:r>
          </w:p>
        </w:tc>
        <w:tc>
          <w:tcPr>
            <w:tcW w:type="dxa" w:w="4997"/>
            <w:shd w:fill="1F2A44"/>
            <w:tcMar>
              <w:top w:w="70" w:type="dxa"/>
              <w:start w:w="90" w:type="dxa"/>
              <w:bottom w:w="70" w:type="dxa"/>
              <w:end w:w="90" w:type="dxa"/>
            </w:tcMar>
          </w:tcPr>
          <w:p>
            <w:r>
              <w:rPr>
                <w:rFonts w:ascii="Inter" w:hAnsi="Inter" w:eastAsia="Inter"/>
                <w:b/>
                <w:color w:val="FFFFFF"/>
                <w:sz w:val="17"/>
              </w:rPr>
              <w:t>Official URL</w:t>
            </w:r>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The Five Mindfulness Trainings</w:t>
            </w:r>
          </w:p>
        </w:tc>
        <w:tc>
          <w:tcPr>
            <w:tcW w:type="dxa" w:w="6120"/>
            <w:shd w:fill="FAFBFC"/>
            <w:tcMar>
              <w:top w:w="65" w:type="dxa"/>
              <w:start w:w="90" w:type="dxa"/>
              <w:bottom w:w="65" w:type="dxa"/>
              <w:end w:w="90" w:type="dxa"/>
            </w:tcMar>
          </w:tcPr>
          <w:p>
            <w:hyperlink r:id="rId38">
              <w:r>
                <w:rPr>
                  <w:rFonts w:ascii="Inter" w:hAnsi="Inter"/>
                  <w:color w:val="2C5F8A"/>
                  <w:u w:val="single"/>
                  <w:sz w:val="16"/>
                </w:rPr>
                <w:t>https://plumvillage.org/mindfulness/the-5-mindfulness-trainings</w:t>
              </w:r>
            </w:hyperlink>
          </w:p>
        </w:tc>
      </w:tr>
      <w:tr>
        <w:trPr>
          <w:cantSplit/>
        </w:trPr>
        <w:tc>
          <w:tcPr>
            <w:tcW w:type="dxa" w:w="3384"/>
            <w:tcMar>
              <w:top w:w="65" w:type="dxa"/>
              <w:start w:w="90" w:type="dxa"/>
              <w:bottom w:w="65" w:type="dxa"/>
              <w:end w:w="90" w:type="dxa"/>
            </w:tcMar>
          </w:tcPr>
          <w:p>
            <w:r>
              <w:rPr>
                <w:rFonts w:ascii="Inter" w:hAnsi="Inter" w:eastAsia="Inter"/>
                <w:b/>
                <w:color w:val="1F2A44"/>
                <w:sz w:val="16"/>
              </w:rPr>
              <w:t>The Fourteen Mindfulness Trainings</w:t>
            </w:r>
          </w:p>
        </w:tc>
        <w:tc>
          <w:tcPr>
            <w:tcW w:type="dxa" w:w="6120"/>
            <w:tcMar>
              <w:top w:w="65" w:type="dxa"/>
              <w:start w:w="90" w:type="dxa"/>
              <w:bottom w:w="65" w:type="dxa"/>
              <w:end w:w="90" w:type="dxa"/>
            </w:tcMar>
          </w:tcPr>
          <w:p>
            <w:hyperlink r:id="rId39">
              <w:r>
                <w:rPr>
                  <w:rFonts w:ascii="Inter" w:hAnsi="Inter"/>
                  <w:color w:val="2C5F8A"/>
                  <w:u w:val="single"/>
                  <w:sz w:val="16"/>
                </w:rPr>
                <w:t>https://plumvillage.org/mindfulness/the-14-mindfulness-trainings</w:t>
              </w:r>
            </w:hyperlink>
          </w:p>
        </w:tc>
      </w:tr>
      <w:tr>
        <w:trPr>
          <w:cantSplit/>
        </w:trPr>
        <w:tc>
          <w:tcPr>
            <w:tcW w:type="dxa" w:w="3384"/>
            <w:shd w:fill="FAFBFC"/>
            <w:tcMar>
              <w:top w:w="65" w:type="dxa"/>
              <w:start w:w="90" w:type="dxa"/>
              <w:bottom w:w="65" w:type="dxa"/>
              <w:end w:w="90" w:type="dxa"/>
            </w:tcMar>
          </w:tcPr>
          <w:p>
            <w:r>
              <w:rPr>
                <w:rFonts w:ascii="Inter" w:hAnsi="Inter" w:eastAsia="Inter"/>
                <w:b/>
                <w:color w:val="1F2A44"/>
                <w:sz w:val="16"/>
              </w:rPr>
              <w:t>The deeper meaning behind monastic rules</w:t>
            </w:r>
          </w:p>
        </w:tc>
        <w:tc>
          <w:tcPr>
            <w:tcW w:type="dxa" w:w="6120"/>
            <w:shd w:fill="FAFBFC"/>
            <w:tcMar>
              <w:top w:w="65" w:type="dxa"/>
              <w:start w:w="90" w:type="dxa"/>
              <w:bottom w:w="65" w:type="dxa"/>
              <w:end w:w="90" w:type="dxa"/>
            </w:tcMar>
          </w:tcPr>
          <w:p>
            <w:hyperlink r:id="rId40">
              <w:r>
                <w:rPr>
                  <w:rFonts w:ascii="Inter" w:hAnsi="Inter"/>
                  <w:color w:val="2C5F8A"/>
                  <w:u w:val="single"/>
                  <w:sz w:val="16"/>
                </w:rPr>
                <w:t>https://plumvillage.org/articles/the-deeper-meaning-behind-monastic-rules</w:t>
              </w:r>
            </w:hyperlink>
          </w:p>
        </w:tc>
      </w:tr>
    </w:tbl>
    <w:p>
      <w:pPr>
        <w:spacing w:before="240" w:after="40"/>
        <w:pBdr>
          <w:top w:val="single" w:sz="10" w:space="2" w:color="B88A33"/>
        </w:pBdr>
      </w:pPr>
      <w:r>
        <w:rPr>
          <w:rFonts w:ascii="Inter" w:hAnsi="Inter" w:eastAsia="Inter"/>
          <w:b/>
          <w:color w:val="1F2A44"/>
          <w:sz w:val="20"/>
        </w:rPr>
        <w:t>End of Deliverable 1</w:t>
      </w:r>
    </w:p>
    <w:p>
      <w:pPr>
        <w:jc w:val="center"/>
      </w:pPr>
      <w:r>
        <w:rPr>
          <w:rFonts w:ascii="Inter" w:hAnsi="Inter" w:eastAsia="Inter"/>
          <w:i/>
          <w:color w:val="5B6573"/>
          <w:sz w:val="18"/>
        </w:rPr>
        <w:t>Next review gate: Destine reviews benchmark research before the Audience and Trust Map and final ecosystem architecture are completed.</w:t>
      </w:r>
    </w:p>
    <w:sectPr w:rsidR="00FC693F" w:rsidRPr="0006063C" w:rsidSect="00034616">
      <w:pgSz w:w="12240" w:h="15840"/>
      <w:pgMar w:top="979" w:right="1123" w:bottom="893"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eastAsia="Inter"/>
        <w:color w:val="5B6573"/>
        <w:sz w:val="16"/>
      </w:rPr>
      <w:t xml:space="preserve">Deliverable 1 - Benchmark Research Report   |   </w:t>
    </w:r>
    <w:r>
      <w:rPr>
        <w:rFonts w:ascii="Inter" w:hAnsi="Inter" w:eastAsia="Inter"/>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7DBDF"/>
      </w:pBdr>
    </w:pPr>
  </w:p>
  <w:tbl>
    <w:tblPr>
      <w:tblW w:type="auto" w:w="0"/>
      <w:jc w:val="center"/>
      <w:tblLayout w:type="fixed"/>
      <w:tblLook w:firstColumn="1" w:firstRow="1" w:lastColumn="0" w:lastRow="0" w:noHBand="0" w:noVBand="1" w:val="04A0"/>
    </w:tblPr>
    <w:tblGrid>
      <w:gridCol w:w="6768"/>
      <w:gridCol w:w="2880"/>
    </w:tblGrid>
    <w:tr>
      <w:tc>
        <w:tcPr>
          <w:tcW w:type="dxa" w:w="4824"/>
          <w:tcMar>
            <w:top w:w="0" w:type="dxa"/>
            <w:start w:w="0" w:type="dxa"/>
            <w:bottom w:w="0" w:type="dxa"/>
            <w:end w:w="0" w:type="dxa"/>
          </w:tcMar>
        </w:tcPr>
        <w:p>
          <w:r>
            <w:rPr>
              <w:rFonts w:ascii="Inter" w:hAnsi="Inter" w:eastAsia="Inter"/>
              <w:b/>
              <w:color w:val="496A4B"/>
              <w:sz w:val="15"/>
            </w:rPr>
            <w:t>LIBERATION ECOSYSTEM WEBSITE STRATEGY</w:t>
          </w:r>
        </w:p>
      </w:tc>
      <w:tc>
        <w:tcPr>
          <w:tcW w:type="dxa" w:w="4824"/>
          <w:tcMar>
            <w:top w:w="0" w:type="dxa"/>
            <w:start w:w="0" w:type="dxa"/>
            <w:bottom w:w="0" w:type="dxa"/>
            <w:end w:w="0" w:type="dxa"/>
          </w:tcMar>
        </w:tcPr>
        <w:p>
          <w:pPr>
            <w:jc w:val="right"/>
          </w:pPr>
          <w:r>
            <w:rPr>
              <w:rFonts w:ascii="Inter" w:hAnsi="Inter" w:eastAsia="Inter"/>
              <w:b/>
              <w:color w:val="B88A33"/>
              <w:sz w:val="15"/>
            </w:rPr>
            <w:t>INTERNAL WORKING DOCUMENT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20"/>
    </w:rPr>
  </w:style>
  <w:style w:type="paragraph" w:styleId="ListBullet2">
    <w:name w:val="List Bullet 2"/>
    <w:basedOn w:val="Normal"/>
    <w:uiPriority w:val="99"/>
    <w:unhideWhenUsed/>
    <w:rsid w:val="00326F90"/>
    <w:pPr>
      <w:numPr>
        <w:numId w:val="2"/>
      </w:numPr>
      <w:contextualSpacing/>
    </w:pPr>
    <w:rPr>
      <w:rFonts w:ascii="Inter" w:hAnsi="Inte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80000hours.org/" TargetMode="External"/><Relationship Id="rId12" Type="http://schemas.openxmlformats.org/officeDocument/2006/relationships/hyperlink" Target="https://80000hours.org/advising-application-tips/" TargetMode="External"/><Relationship Id="rId13" Type="http://schemas.openxmlformats.org/officeDocument/2006/relationships/hyperlink" Target="https://80000hours.org/about/credibility/research-principles/" TargetMode="External"/><Relationship Id="rId14" Type="http://schemas.openxmlformats.org/officeDocument/2006/relationships/hyperlink" Target="https://80000hours.org/about/credibility/" TargetMode="External"/><Relationship Id="rId15" Type="http://schemas.openxmlformats.org/officeDocument/2006/relationships/hyperlink" Target="https://80000hours.org/privacy-policy/" TargetMode="External"/><Relationship Id="rId16" Type="http://schemas.openxmlformats.org/officeDocument/2006/relationships/hyperlink" Target="https://80000hours.org/about/credibility/reviews/mistakes/" TargetMode="External"/><Relationship Id="rId17" Type="http://schemas.openxmlformats.org/officeDocument/2006/relationships/hyperlink" Target="https://impacthub.net/" TargetMode="External"/><Relationship Id="rId18" Type="http://schemas.openxmlformats.org/officeDocument/2006/relationships/hyperlink" Target="https://impacthub.net/general-privacy-policy/" TargetMode="External"/><Relationship Id="rId19" Type="http://schemas.openxmlformats.org/officeDocument/2006/relationships/hyperlink" Target="https://minneapolis.impacthub.net/impact/" TargetMode="External"/><Relationship Id="rId20" Type="http://schemas.openxmlformats.org/officeDocument/2006/relationships/hyperlink" Target="https://www.ashoka.org/en-ph/about-ashoka" TargetMode="External"/><Relationship Id="rId21" Type="http://schemas.openxmlformats.org/officeDocument/2006/relationships/hyperlink" Target="https://www.ashoka.org/en-us/recommend-ashoka-fellow" TargetMode="External"/><Relationship Id="rId22" Type="http://schemas.openxmlformats.org/officeDocument/2006/relationships/hyperlink" Target="https://www.ashoka.org/en-us/frequently-asked-questions" TargetMode="External"/><Relationship Id="rId23" Type="http://schemas.openxmlformats.org/officeDocument/2006/relationships/hyperlink" Target="https://www.ashoka.org/en-us/engage/work-with-us/hiring-criteria" TargetMode="External"/><Relationship Id="rId24" Type="http://schemas.openxmlformats.org/officeDocument/2006/relationships/hyperlink" Target="https://usca.bcorporation.net/about-b-corps/" TargetMode="External"/><Relationship Id="rId25" Type="http://schemas.openxmlformats.org/officeDocument/2006/relationships/hyperlink" Target="https://usca.bcorporation.net/why-certify/" TargetMode="External"/><Relationship Id="rId26" Type="http://schemas.openxmlformats.org/officeDocument/2006/relationships/hyperlink" Target="https://usca.bcorporation.net/process-requirements-fees/" TargetMode="External"/><Relationship Id="rId27" Type="http://schemas.openxmlformats.org/officeDocument/2006/relationships/hyperlink" Target="https://usca.bcorporation.net/faq/" TargetMode="External"/><Relationship Id="rId28" Type="http://schemas.openxmlformats.org/officeDocument/2006/relationships/hyperlink" Target="https://usca.bcorporation.net/who-can-certify/" TargetMode="External"/><Relationship Id="rId29" Type="http://schemas.openxmlformats.org/officeDocument/2006/relationships/hyperlink" Target="https://www.opendoorclimate.com/" TargetMode="External"/><Relationship Id="rId30" Type="http://schemas.openxmlformats.org/officeDocument/2006/relationships/hyperlink" Target="https://www.opendoorclimate.com/jobseeker" TargetMode="External"/><Relationship Id="rId31" Type="http://schemas.openxmlformats.org/officeDocument/2006/relationships/hyperlink" Target="https://www.opendoorclimate.com/directory" TargetMode="External"/><Relationship Id="rId32" Type="http://schemas.openxmlformats.org/officeDocument/2006/relationships/hyperlink" Target="https://www.climate-hive.com/jobseeker-resources" TargetMode="External"/><Relationship Id="rId33" Type="http://schemas.openxmlformats.org/officeDocument/2006/relationships/hyperlink" Target="https://animaladvocacycareers.org/" TargetMode="External"/><Relationship Id="rId34" Type="http://schemas.openxmlformats.org/officeDocument/2006/relationships/hyperlink" Target="https://animaladvocacycareers.org/career-coaching/" TargetMode="External"/><Relationship Id="rId35" Type="http://schemas.openxmlformats.org/officeDocument/2006/relationships/hyperlink" Target="https://animaladvocacycareers.org/about/impact/" TargetMode="External"/><Relationship Id="rId36" Type="http://schemas.openxmlformats.org/officeDocument/2006/relationships/hyperlink" Target="https://animaladvocacycareers.org/post/2021-annual-report/" TargetMode="External"/><Relationship Id="rId37" Type="http://schemas.openxmlformats.org/officeDocument/2006/relationships/hyperlink" Target="https://animaladvocacycareers.org/job-board/" TargetMode="External"/><Relationship Id="rId38" Type="http://schemas.openxmlformats.org/officeDocument/2006/relationships/hyperlink" Target="https://plumvillage.org/mindfulness/the-5-mindfulness-trainings" TargetMode="External"/><Relationship Id="rId39" Type="http://schemas.openxmlformats.org/officeDocument/2006/relationships/hyperlink" Target="https://plumvillage.org/mindfulness/the-14-mindfulness-trainings" TargetMode="External"/><Relationship Id="rId40" Type="http://schemas.openxmlformats.org/officeDocument/2006/relationships/hyperlink" Target="https://plumvillage.org/articles/the-deeper-meaning-behind-monastic-rules" TargetMode="External"/><Relationship Id="rId41" Type="http://schemas.openxmlformats.org/officeDocument/2006/relationships/hyperlink" Target="https://80000hours.org/community/" TargetMode="External"/><Relationship Id="rId42" Type="http://schemas.openxmlformats.org/officeDocument/2006/relationships/hyperlink" Target="https://80000hours.org/about/credibility/reviews/financial-accou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Research Report - Liberation Ecosystem Website Strategy</dc:title>
  <dc:subject>Deliverable 1 benchmark research for website strategy and information architecture</dc:subject>
  <dc:creator>John Mark</dc:creator>
  <cp:keywords>benchmark research, ecosystem architecture, information architecture, website strategy</cp:keywords>
  <dc:description>Internal working document. Findings require team validation before public use.</dc:description>
  <cp:lastModifiedBy/>
  <cp:revision>1</cp:revision>
  <dcterms:created xsi:type="dcterms:W3CDTF">2013-12-23T23:15:00Z</dcterms:created>
  <dcterms:modified xsi:type="dcterms:W3CDTF">2013-12-23T23:15:00Z</dcterms:modified>
  <cp:category/>
</cp:coreProperties>
</file>