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A37D28"/>
          <w:sz w:val="30"/>
        </w:rPr>
        <w:t>DELIVERABLE 6</w:t>
      </w:r>
    </w:p>
    <w:p>
      <w:pPr>
        <w:jc w:val="center"/>
      </w:pPr>
      <w:r>
        <w:rPr>
          <w:b/>
          <w:color w:val="2D2924"/>
          <w:sz w:val="58"/>
        </w:rPr>
        <w:t>User Journey Diagrams</w:t>
      </w:r>
    </w:p>
    <w:p>
      <w:pPr>
        <w:jc w:val="center"/>
      </w:pPr>
      <w:r>
        <w:rPr>
          <w:i/>
          <w:color w:val="665F57"/>
          <w:sz w:val="24"/>
        </w:rPr>
        <w:t>Liberation Ecosystem Website Strategy and Information Architecture Sprint</w:t>
      </w:r>
    </w:p>
    <w:p/>
    <w:tbl>
      <w:tblPr>
        <w:tblStyle w:val="TableGrid"/>
        <w:tblW w:type="auto" w:w="0"/>
        <w:jc w:val="center"/>
        <w:tblLook w:firstColumn="1" w:firstRow="1" w:lastColumn="0" w:lastRow="0" w:noHBand="0" w:noVBand="1" w:val="04A0"/>
      </w:tblPr>
      <w:tblGrid>
        <w:gridCol w:w="5112"/>
        <w:gridCol w:w="5112"/>
      </w:tblGrid>
      <w:tr>
        <w:tc>
          <w:tcPr>
            <w:tcW w:type="dxa" w:w="5112"/>
            <w:shd w:fill="E8D7AE"/>
            <w:tcMar>
              <w:top w:w="90" w:type="dxa"/>
              <w:start w:w="110" w:type="dxa"/>
              <w:bottom w:w="90" w:type="dxa"/>
              <w:end w:w="110" w:type="dxa"/>
            </w:tcMar>
          </w:tcPr>
          <w:p>
            <w:r>
              <w:rPr>
                <w:b/>
                <w:sz w:val="18"/>
              </w:rPr>
              <w:t>Project Owner and Executor</w:t>
            </w:r>
          </w:p>
        </w:tc>
        <w:tc>
          <w:tcPr>
            <w:tcW w:type="dxa" w:w="5112"/>
            <w:tcMar>
              <w:top w:w="90" w:type="dxa"/>
              <w:start w:w="110" w:type="dxa"/>
              <w:bottom w:w="90" w:type="dxa"/>
              <w:end w:w="110" w:type="dxa"/>
            </w:tcMar>
          </w:tcPr>
          <w:p>
            <w:r>
              <w:rPr>
                <w:sz w:val="18"/>
              </w:rPr>
              <w:t>John Mark</w:t>
            </w:r>
          </w:p>
        </w:tc>
        <w:trPr>
          <w:tblHeader/>
        </w:trPr>
      </w:tr>
      <w:tr>
        <w:tc>
          <w:tcPr>
            <w:tcW w:type="dxa" w:w="5112"/>
            <w:shd w:fill="E8D7AE"/>
            <w:tcMar>
              <w:top w:w="90" w:type="dxa"/>
              <w:start w:w="110" w:type="dxa"/>
              <w:bottom w:w="90" w:type="dxa"/>
              <w:end w:w="110" w:type="dxa"/>
            </w:tcMar>
          </w:tcPr>
          <w:p>
            <w:r>
              <w:rPr>
                <w:b/>
                <w:sz w:val="18"/>
              </w:rPr>
              <w:t>Product and Operations Manager</w:t>
            </w:r>
          </w:p>
        </w:tc>
        <w:tc>
          <w:tcPr>
            <w:tcW w:type="dxa" w:w="5112"/>
            <w:tcMar>
              <w:top w:w="90" w:type="dxa"/>
              <w:start w:w="110" w:type="dxa"/>
              <w:bottom w:w="90" w:type="dxa"/>
              <w:end w:w="110" w:type="dxa"/>
            </w:tcMar>
          </w:tcPr>
          <w:p>
            <w:r>
              <w:rPr>
                <w:sz w:val="18"/>
              </w:rPr>
              <w:t>Destine</w:t>
            </w:r>
          </w:p>
        </w:tc>
      </w:tr>
      <w:tr>
        <w:tc>
          <w:tcPr>
            <w:tcW w:type="dxa" w:w="5112"/>
            <w:shd w:fill="E8D7AE"/>
            <w:tcMar>
              <w:top w:w="90" w:type="dxa"/>
              <w:start w:w="110" w:type="dxa"/>
              <w:bottom w:w="90" w:type="dxa"/>
              <w:end w:w="110" w:type="dxa"/>
            </w:tcMar>
          </w:tcPr>
          <w:p>
            <w:r>
              <w:rPr>
                <w:b/>
                <w:sz w:val="18"/>
              </w:rPr>
              <w:t>Vision and Final Direction</w:t>
            </w:r>
          </w:p>
        </w:tc>
        <w:tc>
          <w:tcPr>
            <w:tcW w:type="dxa" w:w="5112"/>
            <w:tcMar>
              <w:top w:w="90" w:type="dxa"/>
              <w:start w:w="110" w:type="dxa"/>
              <w:bottom w:w="90" w:type="dxa"/>
              <w:end w:w="110" w:type="dxa"/>
            </w:tcMar>
          </w:tcPr>
          <w:p>
            <w:r>
              <w:rPr>
                <w:sz w:val="18"/>
              </w:rPr>
              <w:t>Skyler</w:t>
            </w:r>
          </w:p>
        </w:tc>
      </w:tr>
      <w:tr>
        <w:tc>
          <w:tcPr>
            <w:tcW w:type="dxa" w:w="5112"/>
            <w:shd w:fill="E8D7AE"/>
            <w:tcMar>
              <w:top w:w="90" w:type="dxa"/>
              <w:start w:w="110" w:type="dxa"/>
              <w:bottom w:w="90" w:type="dxa"/>
              <w:end w:w="110" w:type="dxa"/>
            </w:tcMar>
          </w:tcPr>
          <w:p>
            <w:r>
              <w:rPr>
                <w:b/>
                <w:sz w:val="18"/>
              </w:rPr>
              <w:t>Project Stage</w:t>
            </w:r>
          </w:p>
        </w:tc>
        <w:tc>
          <w:tcPr>
            <w:tcW w:type="dxa" w:w="5112"/>
            <w:tcMar>
              <w:top w:w="90" w:type="dxa"/>
              <w:start w:w="110" w:type="dxa"/>
              <w:bottom w:w="90" w:type="dxa"/>
              <w:end w:w="110" w:type="dxa"/>
            </w:tcMar>
          </w:tcPr>
          <w:p>
            <w:r>
              <w:rPr>
                <w:sz w:val="18"/>
              </w:rPr>
              <w:t>Research, structure, and low-fidelity planning</w:t>
            </w:r>
          </w:p>
        </w:tc>
      </w:tr>
      <w:tr>
        <w:tc>
          <w:tcPr>
            <w:tcW w:type="dxa" w:w="5112"/>
            <w:shd w:fill="E8D7AE"/>
            <w:tcMar>
              <w:top w:w="90" w:type="dxa"/>
              <w:start w:w="110" w:type="dxa"/>
              <w:bottom w:w="90" w:type="dxa"/>
              <w:end w:w="110" w:type="dxa"/>
            </w:tcMar>
          </w:tcPr>
          <w:p>
            <w:r>
              <w:rPr>
                <w:b/>
                <w:sz w:val="18"/>
              </w:rPr>
              <w:t>Review Gate</w:t>
            </w:r>
          </w:p>
        </w:tc>
        <w:tc>
          <w:tcPr>
            <w:tcW w:type="dxa" w:w="5112"/>
            <w:tcMar>
              <w:top w:w="90" w:type="dxa"/>
              <w:start w:w="110" w:type="dxa"/>
              <w:bottom w:w="90" w:type="dxa"/>
              <w:end w:w="110" w:type="dxa"/>
            </w:tcMar>
          </w:tcPr>
          <w:p>
            <w:r>
              <w:rPr>
                <w:sz w:val="18"/>
              </w:rPr>
              <w:t>Journey validation before later wireframes and implementation planning</w:t>
            </w:r>
          </w:p>
        </w:tc>
      </w:tr>
      <w:tr>
        <w:tc>
          <w:tcPr>
            <w:tcW w:type="dxa" w:w="5112"/>
            <w:shd w:fill="E8D7AE"/>
            <w:tcMar>
              <w:top w:w="90" w:type="dxa"/>
              <w:start w:w="110" w:type="dxa"/>
              <w:bottom w:w="90" w:type="dxa"/>
              <w:end w:w="110" w:type="dxa"/>
            </w:tcMar>
          </w:tcPr>
          <w:p>
            <w:r>
              <w:rPr>
                <w:b/>
                <w:sz w:val="18"/>
              </w:rPr>
              <w:t>Status</w:t>
            </w:r>
          </w:p>
        </w:tc>
        <w:tc>
          <w:tcPr>
            <w:tcW w:type="dxa" w:w="5112"/>
            <w:tcMar>
              <w:top w:w="90" w:type="dxa"/>
              <w:start w:w="110" w:type="dxa"/>
              <w:bottom w:w="90" w:type="dxa"/>
              <w:end w:w="110" w:type="dxa"/>
            </w:tcMar>
          </w:tcPr>
          <w:p>
            <w:r>
              <w:rPr>
                <w:sz w:val="18"/>
              </w:rPr>
              <w:t>Working recommendation; routes align with Deliverables 4 and 5</w:t>
            </w:r>
          </w:p>
        </w:tc>
      </w:tr>
      <w:tr>
        <w:tc>
          <w:tcPr>
            <w:tcW w:type="dxa" w:w="5112"/>
            <w:shd w:fill="E8D7AE"/>
            <w:tcMar>
              <w:top w:w="90" w:type="dxa"/>
              <w:start w:w="110" w:type="dxa"/>
              <w:bottom w:w="90" w:type="dxa"/>
              <w:end w:w="110" w:type="dxa"/>
            </w:tcMar>
          </w:tcPr>
          <w:p>
            <w:r>
              <w:rPr>
                <w:b/>
                <w:sz w:val="18"/>
              </w:rPr>
              <w:t>Date</w:t>
            </w:r>
          </w:p>
        </w:tc>
        <w:tc>
          <w:tcPr>
            <w:tcW w:type="dxa" w:w="5112"/>
            <w:tcMar>
              <w:top w:w="90" w:type="dxa"/>
              <w:start w:w="110" w:type="dxa"/>
              <w:bottom w:w="90" w:type="dxa"/>
              <w:end w:w="110" w:type="dxa"/>
            </w:tcMar>
          </w:tcPr>
          <w:p>
            <w:r>
              <w:rPr>
                <w:sz w:val="18"/>
              </w:rPr>
              <w:t>3 August 2026</w:t>
            </w:r>
          </w:p>
        </w:tc>
      </w:tr>
    </w:tbl>
    <w:p>
      <w:pPr>
        <w:jc w:val="center"/>
      </w:pPr>
      <w:r>
        <w:rPr>
          <w:i/>
          <w:color w:val="6B645C"/>
          <w:sz w:val="16"/>
        </w:rPr>
        <w:t>Source basis: the five required journeys in the project brief and the canonical routes, trust requirements, and page relationships defined in Deliverables 2, 4, and 5.</w:t>
      </w:r>
    </w:p>
    <w:p>
      <w:pPr>
        <w:keepNext/>
        <w:spacing w:after="140"/>
        <w:pageBreakBefore/>
        <w:shd w:fill="A37D28"/>
        <w:ind w:left="140" w:right="140"/>
      </w:pPr>
      <w:r>
        <w:rPr>
          <w:b/>
          <w:color w:val="FFFFFF"/>
          <w:sz w:val="36"/>
        </w:rPr>
        <w:t>Purpose, Method, and Journey Legend</w:t>
      </w:r>
    </w:p>
    <w:p>
      <w:r>
        <w:t>This deliverable visualizes the five required user journeys from first contact to the smallest appropriate next action. Each journey shows the public pages or interactions involved, the trust evidence needed at decision points, and the boundary that prevents the pathway from becoming a guarantee.</w:t>
      </w:r>
    </w:p>
    <w:p>
      <w:pPr>
        <w:pStyle w:val="Heading2"/>
      </w:pPr>
      <w:r>
        <w:t>Journey design principles</w:t>
      </w:r>
    </w:p>
    <w:p>
      <w:pPr>
        <w:pStyle w:val="ListBullet"/>
      </w:pPr>
      <w:r>
        <w:t>Route by immediate need or role before explaining the full ecosystem.</w:t>
      </w:r>
    </w:p>
    <w:p>
      <w:pPr>
        <w:pStyle w:val="ListBullet"/>
      </w:pPr>
      <w:r>
        <w:t>Use the least demanding next action that can responsibly advance trust.</w:t>
      </w:r>
    </w:p>
    <w:p>
      <w:pPr>
        <w:pStyle w:val="ListBullet"/>
      </w:pPr>
      <w:r>
        <w:t>Place privacy, compensation, conduct, consent, and no-guarantee information beside the action they govern.</w:t>
      </w:r>
    </w:p>
    <w:p>
      <w:pPr>
        <w:pStyle w:val="ListBullet"/>
      </w:pPr>
      <w:r>
        <w:t>Use human review where a submission may lead to work, partnership, network participation, or sensitive relationship decisions.</w:t>
      </w:r>
    </w:p>
    <w:p>
      <w:pPr>
        <w:pStyle w:val="ListBullet"/>
      </w:pPr>
      <w:r>
        <w:t>Treat the journeys as possible paths, not automatic funnels or promises.</w:t>
      </w:r>
    </w:p>
    <w:p>
      <w:pPr>
        <w:pStyle w:val="ListBullet"/>
      </w:pPr>
      <w:r>
        <w:t>Keep international outreach and complex member infrastructure outside the current journeys.</w:t>
      </w:r>
    </w:p>
    <w:p>
      <w:pPr>
        <w:pStyle w:val="Heading2"/>
      </w:pPr>
      <w:r>
        <w:t>Visual legend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8C59A"/>
            <w:tcMar>
              <w:top w:w="90" w:type="dxa"/>
              <w:start w:w="110" w:type="dxa"/>
              <w:bottom w:w="90" w:type="dxa"/>
              <w:end w:w="110" w:type="dxa"/>
            </w:tcMar>
          </w:tcPr>
          <w:p>
            <w:r>
              <w:rPr>
                <w:b/>
                <w:color w:val="2D2924"/>
                <w:sz w:val="17"/>
              </w:rPr>
              <w:t>Element</w:t>
            </w:r>
          </w:p>
        </w:tc>
        <w:tc>
          <w:tcPr>
            <w:tcW w:type="dxa" w:w="3408"/>
            <w:shd w:fill="D8C59A"/>
            <w:tcMar>
              <w:top w:w="90" w:type="dxa"/>
              <w:start w:w="110" w:type="dxa"/>
              <w:bottom w:w="90" w:type="dxa"/>
              <w:end w:w="110" w:type="dxa"/>
            </w:tcMar>
          </w:tcPr>
          <w:p>
            <w:r>
              <w:rPr>
                <w:b/>
                <w:color w:val="2D2924"/>
                <w:sz w:val="17"/>
              </w:rPr>
              <w:t>Meaning</w:t>
            </w:r>
          </w:p>
        </w:tc>
        <w:tc>
          <w:tcPr>
            <w:tcW w:type="dxa" w:w="3408"/>
            <w:shd w:fill="D8C59A"/>
            <w:tcMar>
              <w:top w:w="90" w:type="dxa"/>
              <w:start w:w="110" w:type="dxa"/>
              <w:bottom w:w="90" w:type="dxa"/>
              <w:end w:w="110" w:type="dxa"/>
            </w:tcMar>
          </w:tcPr>
          <w:p>
            <w:r>
              <w:rPr>
                <w:b/>
                <w:color w:val="2D2924"/>
                <w:sz w:val="17"/>
              </w:rPr>
              <w:t>Design implication</w:t>
            </w:r>
          </w:p>
        </w:tc>
      </w:tr>
      <w:tr>
        <w:tc>
          <w:tcPr>
            <w:tcW w:type="dxa" w:w="3408"/>
            <w:tcMar>
              <w:top w:w="90" w:type="dxa"/>
              <w:start w:w="110" w:type="dxa"/>
              <w:bottom w:w="90" w:type="dxa"/>
              <w:end w:w="110" w:type="dxa"/>
            </w:tcMar>
            <w:vAlign w:val="top"/>
          </w:tcPr>
          <w:p>
            <w:pPr>
              <w:spacing w:after="40"/>
            </w:pPr>
            <w:r>
              <w:rPr>
                <w:sz w:val="16"/>
              </w:rPr>
              <w:t>Numbered card</w:t>
            </w:r>
          </w:p>
        </w:tc>
        <w:tc>
          <w:tcPr>
            <w:tcW w:type="dxa" w:w="3408"/>
            <w:tcMar>
              <w:top w:w="90" w:type="dxa"/>
              <w:start w:w="110" w:type="dxa"/>
              <w:bottom w:w="90" w:type="dxa"/>
              <w:end w:w="110" w:type="dxa"/>
            </w:tcMar>
            <w:vAlign w:val="top"/>
          </w:tcPr>
          <w:p>
            <w:pPr>
              <w:spacing w:after="40"/>
            </w:pPr>
            <w:r>
              <w:rPr>
                <w:sz w:val="16"/>
              </w:rPr>
              <w:t>A page, content step, or human interaction</w:t>
            </w:r>
          </w:p>
        </w:tc>
        <w:tc>
          <w:tcPr>
            <w:tcW w:type="dxa" w:w="3408"/>
            <w:tcMar>
              <w:top w:w="90" w:type="dxa"/>
              <w:start w:w="110" w:type="dxa"/>
              <w:bottom w:w="90" w:type="dxa"/>
              <w:end w:w="110" w:type="dxa"/>
            </w:tcMar>
            <w:vAlign w:val="top"/>
          </w:tcPr>
          <w:p>
            <w:pPr>
              <w:spacing w:after="40"/>
            </w:pPr>
            <w:r>
              <w:rPr>
                <w:sz w:val="16"/>
              </w:rPr>
              <w:t>Must have a clear purpose and one next action.</w:t>
            </w:r>
          </w:p>
        </w:tc>
      </w:tr>
      <w:tr>
        <w:tc>
          <w:tcPr>
            <w:tcW w:type="dxa" w:w="3408"/>
            <w:tcMar>
              <w:top w:w="90" w:type="dxa"/>
              <w:start w:w="110" w:type="dxa"/>
              <w:bottom w:w="90" w:type="dxa"/>
              <w:end w:w="110" w:type="dxa"/>
            </w:tcMar>
            <w:vAlign w:val="top"/>
          </w:tcPr>
          <w:p>
            <w:pPr>
              <w:spacing w:after="40"/>
            </w:pPr>
            <w:r>
              <w:rPr>
                <w:sz w:val="16"/>
              </w:rPr>
              <w:t>Route label</w:t>
            </w:r>
          </w:p>
        </w:tc>
        <w:tc>
          <w:tcPr>
            <w:tcW w:type="dxa" w:w="3408"/>
            <w:tcMar>
              <w:top w:w="90" w:type="dxa"/>
              <w:start w:w="110" w:type="dxa"/>
              <w:bottom w:w="90" w:type="dxa"/>
              <w:end w:w="110" w:type="dxa"/>
            </w:tcMar>
            <w:vAlign w:val="top"/>
          </w:tcPr>
          <w:p>
            <w:pPr>
              <w:spacing w:after="40"/>
            </w:pPr>
            <w:r>
              <w:rPr>
                <w:sz w:val="16"/>
              </w:rPr>
              <w:t>Canonical page or section from Deliverable 4</w:t>
            </w:r>
          </w:p>
        </w:tc>
        <w:tc>
          <w:tcPr>
            <w:tcW w:type="dxa" w:w="3408"/>
            <w:tcMar>
              <w:top w:w="90" w:type="dxa"/>
              <w:start w:w="110" w:type="dxa"/>
              <w:bottom w:w="90" w:type="dxa"/>
              <w:end w:w="110" w:type="dxa"/>
            </w:tcMar>
            <w:vAlign w:val="top"/>
          </w:tcPr>
          <w:p>
            <w:pPr>
              <w:spacing w:after="40"/>
            </w:pPr>
            <w:r>
              <w:rPr>
                <w:sz w:val="16"/>
              </w:rPr>
              <w:t>Does not create an additional unapproved page.</w:t>
            </w:r>
          </w:p>
        </w:tc>
      </w:tr>
      <w:tr>
        <w:tc>
          <w:tcPr>
            <w:tcW w:type="dxa" w:w="3408"/>
            <w:tcMar>
              <w:top w:w="90" w:type="dxa"/>
              <w:start w:w="110" w:type="dxa"/>
              <w:bottom w:w="90" w:type="dxa"/>
              <w:end w:w="110" w:type="dxa"/>
            </w:tcMar>
            <w:vAlign w:val="top"/>
          </w:tcPr>
          <w:p>
            <w:pPr>
              <w:spacing w:after="40"/>
            </w:pPr>
            <w:r>
              <w:rPr>
                <w:sz w:val="16"/>
              </w:rPr>
              <w:t>Arrow</w:t>
            </w:r>
          </w:p>
        </w:tc>
        <w:tc>
          <w:tcPr>
            <w:tcW w:type="dxa" w:w="3408"/>
            <w:tcMar>
              <w:top w:w="90" w:type="dxa"/>
              <w:start w:w="110" w:type="dxa"/>
              <w:bottom w:w="90" w:type="dxa"/>
              <w:end w:w="110" w:type="dxa"/>
            </w:tcMar>
            <w:vAlign w:val="top"/>
          </w:tcPr>
          <w:p>
            <w:pPr>
              <w:spacing w:after="40"/>
            </w:pPr>
            <w:r>
              <w:rPr>
                <w:sz w:val="16"/>
              </w:rPr>
              <w:t>Expected direction of travel</w:t>
            </w:r>
          </w:p>
        </w:tc>
        <w:tc>
          <w:tcPr>
            <w:tcW w:type="dxa" w:w="3408"/>
            <w:tcMar>
              <w:top w:w="90" w:type="dxa"/>
              <w:start w:w="110" w:type="dxa"/>
              <w:bottom w:w="90" w:type="dxa"/>
              <w:end w:w="110" w:type="dxa"/>
            </w:tcMar>
            <w:vAlign w:val="top"/>
          </w:tcPr>
          <w:p>
            <w:pPr>
              <w:spacing w:after="40"/>
            </w:pPr>
            <w:r>
              <w:rPr>
                <w:sz w:val="16"/>
              </w:rPr>
              <w:t>A user may pause, leave, or return.</w:t>
            </w:r>
          </w:p>
        </w:tc>
      </w:tr>
      <w:tr>
        <w:tc>
          <w:tcPr>
            <w:tcW w:type="dxa" w:w="3408"/>
            <w:tcMar>
              <w:top w:w="90" w:type="dxa"/>
              <w:start w:w="110" w:type="dxa"/>
              <w:bottom w:w="90" w:type="dxa"/>
              <w:end w:w="110" w:type="dxa"/>
            </w:tcMar>
            <w:vAlign w:val="top"/>
          </w:tcPr>
          <w:p>
            <w:pPr>
              <w:spacing w:after="40"/>
            </w:pPr>
            <w:r>
              <w:rPr>
                <w:sz w:val="16"/>
              </w:rPr>
              <w:t>Trust checkpoint</w:t>
            </w:r>
          </w:p>
        </w:tc>
        <w:tc>
          <w:tcPr>
            <w:tcW w:type="dxa" w:w="3408"/>
            <w:tcMar>
              <w:top w:w="90" w:type="dxa"/>
              <w:start w:w="110" w:type="dxa"/>
              <w:bottom w:w="90" w:type="dxa"/>
              <w:end w:w="110" w:type="dxa"/>
            </w:tcMar>
            <w:vAlign w:val="top"/>
          </w:tcPr>
          <w:p>
            <w:pPr>
              <w:spacing w:after="40"/>
            </w:pPr>
            <w:r>
              <w:rPr>
                <w:sz w:val="16"/>
              </w:rPr>
              <w:t>Evidence, safeguard, or expectation near the step</w:t>
            </w:r>
          </w:p>
        </w:tc>
        <w:tc>
          <w:tcPr>
            <w:tcW w:type="dxa" w:w="3408"/>
            <w:tcMar>
              <w:top w:w="90" w:type="dxa"/>
              <w:start w:w="110" w:type="dxa"/>
              <w:bottom w:w="90" w:type="dxa"/>
              <w:end w:w="110" w:type="dxa"/>
            </w:tcMar>
            <w:vAlign w:val="top"/>
          </w:tcPr>
          <w:p>
            <w:pPr>
              <w:spacing w:after="40"/>
            </w:pPr>
            <w:r>
              <w:rPr>
                <w:sz w:val="16"/>
              </w:rPr>
              <w:t>Visible before submission, scheduling, work, or public listing.</w:t>
            </w:r>
          </w:p>
        </w:tc>
      </w:tr>
      <w:tr>
        <w:tc>
          <w:tcPr>
            <w:tcW w:type="dxa" w:w="3408"/>
            <w:tcMar>
              <w:top w:w="90" w:type="dxa"/>
              <w:start w:w="110" w:type="dxa"/>
              <w:bottom w:w="90" w:type="dxa"/>
              <w:end w:w="110" w:type="dxa"/>
            </w:tcMar>
            <w:vAlign w:val="top"/>
          </w:tcPr>
          <w:p>
            <w:pPr>
              <w:spacing w:after="40"/>
            </w:pPr>
            <w:r>
              <w:rPr>
                <w:sz w:val="16"/>
              </w:rPr>
              <w:t>Success condition</w:t>
            </w:r>
          </w:p>
        </w:tc>
        <w:tc>
          <w:tcPr>
            <w:tcW w:type="dxa" w:w="3408"/>
            <w:tcMar>
              <w:top w:w="90" w:type="dxa"/>
              <w:start w:w="110" w:type="dxa"/>
              <w:bottom w:w="90" w:type="dxa"/>
              <w:end w:w="110" w:type="dxa"/>
            </w:tcMar>
            <w:vAlign w:val="top"/>
          </w:tcPr>
          <w:p>
            <w:pPr>
              <w:spacing w:after="40"/>
            </w:pPr>
            <w:r>
              <w:rPr>
                <w:sz w:val="16"/>
              </w:rPr>
              <w:t>Smallest appropriate outcome</w:t>
            </w:r>
          </w:p>
        </w:tc>
        <w:tc>
          <w:tcPr>
            <w:tcW w:type="dxa" w:w="3408"/>
            <w:tcMar>
              <w:top w:w="90" w:type="dxa"/>
              <w:start w:w="110" w:type="dxa"/>
              <w:bottom w:w="90" w:type="dxa"/>
              <w:end w:w="110" w:type="dxa"/>
            </w:tcMar>
            <w:vAlign w:val="top"/>
          </w:tcPr>
          <w:p>
            <w:pPr>
              <w:spacing w:after="40"/>
            </w:pPr>
            <w:r>
              <w:rPr>
                <w:sz w:val="16"/>
              </w:rPr>
              <w:t>Deeper access is not the only valid result.</w:t>
            </w:r>
          </w:p>
        </w:tc>
      </w:tr>
    </w:tbl>
    <w:p>
      <w:pPr>
        <w:keepNext/>
        <w:spacing w:after="140"/>
        <w:pageBreakBefore/>
        <w:shd w:fill="A37D28"/>
        <w:ind w:left="140" w:right="140"/>
      </w:pPr>
      <w:r>
        <w:rPr>
          <w:b/>
          <w:color w:val="FFFFFF"/>
          <w:sz w:val="36"/>
        </w:rPr>
        <w:t>Five-Journey Overview</w:t>
      </w:r>
    </w:p>
    <w:p>
      <w:r>
        <w:drawing>
          <wp:inline xmlns:a="http://schemas.openxmlformats.org/drawingml/2006/main" xmlns:pic="http://schemas.openxmlformats.org/drawingml/2006/picture">
            <wp:extent cx="6172200" cy="7442947"/>
            <wp:docPr id="1" name="Picture 1" descr="Image: image1.png"/>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6172200" cy="7442947"/>
                    </a:xfrm>
                    <a:prstGeom prst="rect"/>
                  </pic:spPr>
                </pic:pic>
              </a:graphicData>
            </a:graphic>
          </wp:inline>
        </w:drawing>
      </w:r>
    </w:p>
    <w:p>
      <w:pPr>
        <w:jc w:val="center"/>
      </w:pPr>
      <w:r>
        <w:rPr>
          <w:i/>
          <w:color w:val="6B645C"/>
          <w:sz w:val="16"/>
        </w:rPr>
        <w:t>Figure 1. Shared public entry layer and five distinct audience journeys.</w:t>
      </w:r>
    </w:p>
    <w:p>
      <w:pPr>
        <w:keepNext/>
        <w:spacing w:after="140"/>
        <w:pageBreakBefore/>
        <w:shd w:fill="4C789F"/>
        <w:ind w:left="140" w:right="140"/>
      </w:pPr>
      <w:r>
        <w:rPr>
          <w:b/>
          <w:color w:val="FFFFFF"/>
          <w:sz w:val="36"/>
        </w:rPr>
        <w:t>Journey A — Organization met by Skyler</w:t>
      </w:r>
    </w:p>
    <w:p>
      <w:r>
        <w:drawing>
          <wp:inline xmlns:a="http://schemas.openxmlformats.org/drawingml/2006/main" xmlns:pic="http://schemas.openxmlformats.org/drawingml/2006/picture">
            <wp:extent cx="6172200" cy="7442947"/>
            <wp:docPr id="2" name="Picture 2" descr="Image: image2.png"/>
            <wp:cNvGraphicFramePr>
              <a:graphicFrameLocks noChangeAspect="1"/>
            </wp:cNvGraphicFramePr>
            <a:graphic>
              <a:graphicData uri="http://schemas.openxmlformats.org/drawingml/2006/picture">
                <pic:pic>
                  <pic:nvPicPr>
                    <pic:cNvPr id="0" name="journey_a.png"/>
                    <pic:cNvPicPr/>
                  </pic:nvPicPr>
                  <pic:blipFill>
                    <a:blip r:embed="rId12"/>
                    <a:stretch>
                      <a:fillRect/>
                    </a:stretch>
                  </pic:blipFill>
                  <pic:spPr>
                    <a:xfrm>
                      <a:off x="0" y="0"/>
                      <a:ext cx="6172200" cy="7442947"/>
                    </a:xfrm>
                    <a:prstGeom prst="rect"/>
                  </pic:spPr>
                </pic:pic>
              </a:graphicData>
            </a:graphic>
          </wp:inline>
        </w:drawing>
      </w:r>
    </w:p>
    <w:p>
      <w:pPr>
        <w:jc w:val="center"/>
      </w:pPr>
      <w:r>
        <w:rPr>
          <w:i/>
          <w:color w:val="6B645C"/>
          <w:sz w:val="16"/>
        </w:rPr>
        <w:t>Figure 2. Journey A path and trust checkpoints.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DE8F2"/>
            <w:tcMar>
              <w:top w:w="90" w:type="dxa"/>
              <w:start w:w="110" w:type="dxa"/>
              <w:bottom w:w="90" w:type="dxa"/>
              <w:end w:w="110" w:type="dxa"/>
            </w:tcMar>
          </w:tcPr>
          <w:p>
            <w:r>
              <w:rPr>
                <w:b/>
                <w:color w:val="2D2924"/>
                <w:sz w:val="17"/>
              </w:rPr>
              <w:t>Entry condition</w:t>
            </w:r>
          </w:p>
        </w:tc>
        <w:tc>
          <w:tcPr>
            <w:tcW w:type="dxa" w:w="2556"/>
            <w:shd w:fill="DDE8F2"/>
            <w:tcMar>
              <w:top w:w="90" w:type="dxa"/>
              <w:start w:w="110" w:type="dxa"/>
              <w:bottom w:w="90" w:type="dxa"/>
              <w:end w:w="110" w:type="dxa"/>
            </w:tcMar>
          </w:tcPr>
          <w:p>
            <w:r>
              <w:rPr>
                <w:b/>
                <w:color w:val="2D2924"/>
                <w:sz w:val="17"/>
              </w:rPr>
              <w:t>Human review / decision</w:t>
            </w:r>
          </w:p>
        </w:tc>
        <w:tc>
          <w:tcPr>
            <w:tcW w:type="dxa" w:w="2556"/>
            <w:shd w:fill="DDE8F2"/>
            <w:tcMar>
              <w:top w:w="90" w:type="dxa"/>
              <w:start w:w="110" w:type="dxa"/>
              <w:bottom w:w="90" w:type="dxa"/>
              <w:end w:w="110" w:type="dxa"/>
            </w:tcMar>
          </w:tcPr>
          <w:p>
            <w:r>
              <w:rPr>
                <w:b/>
                <w:color w:val="2D2924"/>
                <w:sz w:val="17"/>
              </w:rPr>
              <w:t>Successful endpoint</w:t>
            </w:r>
          </w:p>
        </w:tc>
        <w:tc>
          <w:tcPr>
            <w:tcW w:type="dxa" w:w="2556"/>
            <w:shd w:fill="DDE8F2"/>
            <w:tcMar>
              <w:top w:w="90" w:type="dxa"/>
              <w:start w:w="110" w:type="dxa"/>
              <w:bottom w:w="90" w:type="dxa"/>
              <w:end w:w="110" w:type="dxa"/>
            </w:tcMar>
          </w:tcPr>
          <w:p>
            <w:r>
              <w:rPr>
                <w:b/>
                <w:color w:val="2D2924"/>
                <w:sz w:val="17"/>
              </w:rPr>
              <w:t>Primary failure risks</w:t>
            </w:r>
          </w:p>
        </w:tc>
      </w:tr>
      <w:tr>
        <w:tc>
          <w:tcPr>
            <w:tcW w:type="dxa" w:w="2556"/>
            <w:tcMar>
              <w:top w:w="90" w:type="dxa"/>
              <w:start w:w="110" w:type="dxa"/>
              <w:bottom w:w="90" w:type="dxa"/>
              <w:end w:w="110" w:type="dxa"/>
            </w:tcMar>
            <w:vAlign w:val="top"/>
          </w:tcPr>
          <w:p>
            <w:pPr>
              <w:spacing w:after="40"/>
            </w:pPr>
            <w:r>
              <w:rPr>
                <w:sz w:val="15"/>
              </w:rPr>
              <w:t>Trusted introduction or QR scan</w:t>
            </w:r>
          </w:p>
        </w:tc>
        <w:tc>
          <w:tcPr>
            <w:tcW w:type="dxa" w:w="2556"/>
            <w:tcMar>
              <w:top w:w="90" w:type="dxa"/>
              <w:start w:w="110" w:type="dxa"/>
              <w:bottom w:w="90" w:type="dxa"/>
              <w:end w:w="110" w:type="dxa"/>
            </w:tcMar>
            <w:vAlign w:val="top"/>
          </w:tcPr>
          <w:p>
            <w:pPr>
              <w:spacing w:after="40"/>
            </w:pPr>
            <w:r>
              <w:rPr>
                <w:sz w:val="15"/>
              </w:rPr>
              <w:t>Challenge or consultation review</w:t>
            </w:r>
          </w:p>
        </w:tc>
        <w:tc>
          <w:tcPr>
            <w:tcW w:type="dxa" w:w="2556"/>
            <w:tcMar>
              <w:top w:w="90" w:type="dxa"/>
              <w:start w:w="110" w:type="dxa"/>
              <w:bottom w:w="90" w:type="dxa"/>
              <w:end w:w="110" w:type="dxa"/>
            </w:tcMar>
            <w:vAlign w:val="top"/>
          </w:tcPr>
          <w:p>
            <w:pPr>
              <w:spacing w:after="40"/>
            </w:pPr>
            <w:r>
              <w:rPr>
                <w:sz w:val="15"/>
              </w:rPr>
              <w:t>Suitable submission or bounded conversation request</w:t>
            </w:r>
          </w:p>
        </w:tc>
        <w:tc>
          <w:tcPr>
            <w:tcW w:type="dxa" w:w="2556"/>
            <w:tcMar>
              <w:top w:w="90" w:type="dxa"/>
              <w:start w:w="110" w:type="dxa"/>
              <w:bottom w:w="90" w:type="dxa"/>
              <w:end w:w="110" w:type="dxa"/>
            </w:tcMar>
            <w:vAlign w:val="top"/>
          </w:tcPr>
          <w:p>
            <w:pPr>
              <w:spacing w:after="40"/>
            </w:pPr>
            <w:r>
              <w:rPr>
                <w:sz w:val="15"/>
              </w:rPr>
              <w:t>Overpromising, sensitive data, unlimited free-work expectations, weak proof</w:t>
            </w:r>
          </w:p>
        </w:tc>
      </w:tr>
    </w:tbl>
    <w:p>
      <w:pPr>
        <w:keepNext/>
        <w:spacing w:after="140"/>
        <w:pageBreakBefore/>
        <w:shd w:fill="4F7693"/>
        <w:ind w:left="140" w:right="140"/>
      </w:pPr>
      <w:r>
        <w:rPr>
          <w:b/>
          <w:color w:val="FFFFFF"/>
          <w:sz w:val="36"/>
        </w:rPr>
        <w:t>Journey B — Potential builder</w:t>
      </w:r>
    </w:p>
    <w:p>
      <w:r>
        <w:drawing>
          <wp:inline xmlns:a="http://schemas.openxmlformats.org/drawingml/2006/main" xmlns:pic="http://schemas.openxmlformats.org/drawingml/2006/picture">
            <wp:extent cx="6172200" cy="7442947"/>
            <wp:docPr id="3" name="Picture 3" descr="Image: image3.png"/>
            <wp:cNvGraphicFramePr>
              <a:graphicFrameLocks noChangeAspect="1"/>
            </wp:cNvGraphicFramePr>
            <a:graphic>
              <a:graphicData uri="http://schemas.openxmlformats.org/drawingml/2006/picture">
                <pic:pic>
                  <pic:nvPicPr>
                    <pic:cNvPr id="0" name="journey_b.png"/>
                    <pic:cNvPicPr/>
                  </pic:nvPicPr>
                  <pic:blipFill>
                    <a:blip r:embed="rId13"/>
                    <a:stretch>
                      <a:fillRect/>
                    </a:stretch>
                  </pic:blipFill>
                  <pic:spPr>
                    <a:xfrm>
                      <a:off x="0" y="0"/>
                      <a:ext cx="6172200" cy="7442947"/>
                    </a:xfrm>
                    <a:prstGeom prst="rect"/>
                  </pic:spPr>
                </pic:pic>
              </a:graphicData>
            </a:graphic>
          </wp:inline>
        </w:drawing>
      </w:r>
    </w:p>
    <w:p>
      <w:pPr>
        <w:jc w:val="center"/>
      </w:pPr>
      <w:r>
        <w:rPr>
          <w:i/>
          <w:color w:val="6B645C"/>
          <w:sz w:val="16"/>
        </w:rPr>
        <w:t>Figure 3. Journey B path and trust checkpoints.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1EAF1"/>
            <w:tcMar>
              <w:top w:w="90" w:type="dxa"/>
              <w:start w:w="110" w:type="dxa"/>
              <w:bottom w:w="90" w:type="dxa"/>
              <w:end w:w="110" w:type="dxa"/>
            </w:tcMar>
          </w:tcPr>
          <w:p>
            <w:r>
              <w:rPr>
                <w:b/>
                <w:color w:val="2D2924"/>
                <w:sz w:val="17"/>
              </w:rPr>
              <w:t>Entry condition</w:t>
            </w:r>
          </w:p>
        </w:tc>
        <w:tc>
          <w:tcPr>
            <w:tcW w:type="dxa" w:w="2556"/>
            <w:shd w:fill="E1EAF1"/>
            <w:tcMar>
              <w:top w:w="90" w:type="dxa"/>
              <w:start w:w="110" w:type="dxa"/>
              <w:bottom w:w="90" w:type="dxa"/>
              <w:end w:w="110" w:type="dxa"/>
            </w:tcMar>
          </w:tcPr>
          <w:p>
            <w:r>
              <w:rPr>
                <w:b/>
                <w:color w:val="2D2924"/>
                <w:sz w:val="17"/>
              </w:rPr>
              <w:t>Human review / decision</w:t>
            </w:r>
          </w:p>
        </w:tc>
        <w:tc>
          <w:tcPr>
            <w:tcW w:type="dxa" w:w="2556"/>
            <w:shd w:fill="E1EAF1"/>
            <w:tcMar>
              <w:top w:w="90" w:type="dxa"/>
              <w:start w:w="110" w:type="dxa"/>
              <w:bottom w:w="90" w:type="dxa"/>
              <w:end w:w="110" w:type="dxa"/>
            </w:tcMar>
          </w:tcPr>
          <w:p>
            <w:r>
              <w:rPr>
                <w:b/>
                <w:color w:val="2D2924"/>
                <w:sz w:val="17"/>
              </w:rPr>
              <w:t>Successful endpoint</w:t>
            </w:r>
          </w:p>
        </w:tc>
        <w:tc>
          <w:tcPr>
            <w:tcW w:type="dxa" w:w="2556"/>
            <w:shd w:fill="E1EAF1"/>
            <w:tcMar>
              <w:top w:w="90" w:type="dxa"/>
              <w:start w:w="110" w:type="dxa"/>
              <w:bottom w:w="90" w:type="dxa"/>
              <w:end w:w="110" w:type="dxa"/>
            </w:tcMar>
          </w:tcPr>
          <w:p>
            <w:r>
              <w:rPr>
                <w:b/>
                <w:color w:val="2D2924"/>
                <w:sz w:val="17"/>
              </w:rPr>
              <w:t>Primary failure risks</w:t>
            </w:r>
          </w:p>
        </w:tc>
      </w:tr>
      <w:tr>
        <w:tc>
          <w:tcPr>
            <w:tcW w:type="dxa" w:w="2556"/>
            <w:tcMar>
              <w:top w:w="90" w:type="dxa"/>
              <w:start w:w="110" w:type="dxa"/>
              <w:bottom w:w="90" w:type="dxa"/>
              <w:end w:w="110" w:type="dxa"/>
            </w:tcMar>
            <w:vAlign w:val="top"/>
          </w:tcPr>
          <w:p>
            <w:pPr>
              <w:spacing w:after="40"/>
            </w:pPr>
            <w:r>
              <w:rPr>
                <w:sz w:val="15"/>
              </w:rPr>
              <w:t>Educational or project content creates interest</w:t>
            </w:r>
          </w:p>
        </w:tc>
        <w:tc>
          <w:tcPr>
            <w:tcW w:type="dxa" w:w="2556"/>
            <w:tcMar>
              <w:top w:w="90" w:type="dxa"/>
              <w:start w:w="110" w:type="dxa"/>
              <w:bottom w:w="90" w:type="dxa"/>
              <w:end w:w="110" w:type="dxa"/>
            </w:tcMar>
            <w:vAlign w:val="top"/>
          </w:tcPr>
          <w:p>
            <w:pPr>
              <w:spacing w:after="40"/>
            </w:pPr>
            <w:r>
              <w:rPr>
                <w:sz w:val="15"/>
              </w:rPr>
              <w:t>Opportunity and fit review</w:t>
            </w:r>
          </w:p>
        </w:tc>
        <w:tc>
          <w:tcPr>
            <w:tcW w:type="dxa" w:w="2556"/>
            <w:tcMar>
              <w:top w:w="90" w:type="dxa"/>
              <w:start w:w="110" w:type="dxa"/>
              <w:bottom w:w="90" w:type="dxa"/>
              <w:end w:w="110" w:type="dxa"/>
            </w:tcMar>
            <w:vAlign w:val="top"/>
          </w:tcPr>
          <w:p>
            <w:pPr>
              <w:spacing w:after="40"/>
            </w:pPr>
            <w:r>
              <w:rPr>
                <w:sz w:val="15"/>
              </w:rPr>
              <w:t>Informed expression of interest</w:t>
            </w:r>
          </w:p>
        </w:tc>
        <w:tc>
          <w:tcPr>
            <w:tcW w:type="dxa" w:w="2556"/>
            <w:tcMar>
              <w:top w:w="90" w:type="dxa"/>
              <w:start w:w="110" w:type="dxa"/>
              <w:bottom w:w="90" w:type="dxa"/>
              <w:end w:w="110" w:type="dxa"/>
            </w:tcMar>
            <w:vAlign w:val="top"/>
          </w:tcPr>
          <w:p>
            <w:pPr>
              <w:spacing w:after="40"/>
            </w:pPr>
            <w:r>
              <w:rPr>
                <w:sz w:val="15"/>
              </w:rPr>
              <w:t>Unpaid speculative work, employment implication, scope or ownership ambiguity</w:t>
            </w:r>
          </w:p>
        </w:tc>
      </w:tr>
    </w:tbl>
    <w:p>
      <w:pPr>
        <w:keepNext/>
        <w:spacing w:after="140"/>
        <w:pageBreakBefore/>
        <w:shd w:fill="64804B"/>
        <w:ind w:left="140" w:right="140"/>
      </w:pPr>
      <w:r>
        <w:rPr>
          <w:b/>
          <w:color w:val="FFFFFF"/>
          <w:sz w:val="36"/>
        </w:rPr>
        <w:t>Journey C — Potential Liberation Network participant</w:t>
      </w:r>
    </w:p>
    <w:p>
      <w:r>
        <w:drawing>
          <wp:inline xmlns:a="http://schemas.openxmlformats.org/drawingml/2006/main" xmlns:pic="http://schemas.openxmlformats.org/drawingml/2006/picture">
            <wp:extent cx="6172200" cy="7442947"/>
            <wp:docPr id="4" name="Picture 4" descr="Image: image4.png"/>
            <wp:cNvGraphicFramePr>
              <a:graphicFrameLocks noChangeAspect="1"/>
            </wp:cNvGraphicFramePr>
            <a:graphic>
              <a:graphicData uri="http://schemas.openxmlformats.org/drawingml/2006/picture">
                <pic:pic>
                  <pic:nvPicPr>
                    <pic:cNvPr id="0" name="journey_c.png"/>
                    <pic:cNvPicPr/>
                  </pic:nvPicPr>
                  <pic:blipFill>
                    <a:blip r:embed="rId14"/>
                    <a:stretch>
                      <a:fillRect/>
                    </a:stretch>
                  </pic:blipFill>
                  <pic:spPr>
                    <a:xfrm>
                      <a:off x="0" y="0"/>
                      <a:ext cx="6172200" cy="7442947"/>
                    </a:xfrm>
                    <a:prstGeom prst="rect"/>
                  </pic:spPr>
                </pic:pic>
              </a:graphicData>
            </a:graphic>
          </wp:inline>
        </w:drawing>
      </w:r>
    </w:p>
    <w:p>
      <w:pPr>
        <w:jc w:val="center"/>
      </w:pPr>
      <w:r>
        <w:rPr>
          <w:i/>
          <w:color w:val="6B645C"/>
          <w:sz w:val="16"/>
        </w:rPr>
        <w:t>Figure 4. Journey C path and trust checkpoints.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FE8D6"/>
            <w:tcMar>
              <w:top w:w="90" w:type="dxa"/>
              <w:start w:w="110" w:type="dxa"/>
              <w:bottom w:w="90" w:type="dxa"/>
              <w:end w:w="110" w:type="dxa"/>
            </w:tcMar>
          </w:tcPr>
          <w:p>
            <w:r>
              <w:rPr>
                <w:b/>
                <w:color w:val="2D2924"/>
                <w:sz w:val="17"/>
              </w:rPr>
              <w:t>Entry condition</w:t>
            </w:r>
          </w:p>
        </w:tc>
        <w:tc>
          <w:tcPr>
            <w:tcW w:type="dxa" w:w="2556"/>
            <w:shd w:fill="DFE8D6"/>
            <w:tcMar>
              <w:top w:w="90" w:type="dxa"/>
              <w:start w:w="110" w:type="dxa"/>
              <w:bottom w:w="90" w:type="dxa"/>
              <w:end w:w="110" w:type="dxa"/>
            </w:tcMar>
          </w:tcPr>
          <w:p>
            <w:r>
              <w:rPr>
                <w:b/>
                <w:color w:val="2D2924"/>
                <w:sz w:val="17"/>
              </w:rPr>
              <w:t>Human review / decision</w:t>
            </w:r>
          </w:p>
        </w:tc>
        <w:tc>
          <w:tcPr>
            <w:tcW w:type="dxa" w:w="2556"/>
            <w:shd w:fill="DFE8D6"/>
            <w:tcMar>
              <w:top w:w="90" w:type="dxa"/>
              <w:start w:w="110" w:type="dxa"/>
              <w:bottom w:w="90" w:type="dxa"/>
              <w:end w:w="110" w:type="dxa"/>
            </w:tcMar>
          </w:tcPr>
          <w:p>
            <w:r>
              <w:rPr>
                <w:b/>
                <w:color w:val="2D2924"/>
                <w:sz w:val="17"/>
              </w:rPr>
              <w:t>Successful endpoint</w:t>
            </w:r>
          </w:p>
        </w:tc>
        <w:tc>
          <w:tcPr>
            <w:tcW w:type="dxa" w:w="2556"/>
            <w:shd w:fill="DFE8D6"/>
            <w:tcMar>
              <w:top w:w="90" w:type="dxa"/>
              <w:start w:w="110" w:type="dxa"/>
              <w:bottom w:w="90" w:type="dxa"/>
              <w:end w:w="110" w:type="dxa"/>
            </w:tcMar>
          </w:tcPr>
          <w:p>
            <w:r>
              <w:rPr>
                <w:b/>
                <w:color w:val="2D2924"/>
                <w:sz w:val="17"/>
              </w:rPr>
              <w:t>Primary failure risks</w:t>
            </w:r>
          </w:p>
        </w:tc>
      </w:tr>
      <w:tr>
        <w:tc>
          <w:tcPr>
            <w:tcW w:type="dxa" w:w="2556"/>
            <w:tcMar>
              <w:top w:w="90" w:type="dxa"/>
              <w:start w:w="110" w:type="dxa"/>
              <w:bottom w:w="90" w:type="dxa"/>
              <w:end w:w="110" w:type="dxa"/>
            </w:tcMar>
            <w:vAlign w:val="top"/>
          </w:tcPr>
          <w:p>
            <w:pPr>
              <w:spacing w:after="40"/>
            </w:pPr>
            <w:r>
              <w:rPr>
                <w:sz w:val="15"/>
              </w:rPr>
              <w:t>Educational content, referral, or values-aligned interest</w:t>
            </w:r>
          </w:p>
        </w:tc>
        <w:tc>
          <w:tcPr>
            <w:tcW w:type="dxa" w:w="2556"/>
            <w:tcMar>
              <w:top w:w="90" w:type="dxa"/>
              <w:start w:w="110" w:type="dxa"/>
              <w:bottom w:w="90" w:type="dxa"/>
              <w:end w:w="110" w:type="dxa"/>
            </w:tcMar>
            <w:vAlign w:val="top"/>
          </w:tcPr>
          <w:p>
            <w:pPr>
              <w:spacing w:after="40"/>
            </w:pPr>
            <w:r>
              <w:rPr>
                <w:sz w:val="15"/>
              </w:rPr>
              <w:t>Mutual-fit and one-on-one review</w:t>
            </w:r>
          </w:p>
        </w:tc>
        <w:tc>
          <w:tcPr>
            <w:tcW w:type="dxa" w:w="2556"/>
            <w:tcMar>
              <w:top w:w="90" w:type="dxa"/>
              <w:start w:w="110" w:type="dxa"/>
              <w:bottom w:w="90" w:type="dxa"/>
              <w:end w:w="110" w:type="dxa"/>
            </w:tcMar>
            <w:vAlign w:val="top"/>
          </w:tcPr>
          <w:p>
            <w:pPr>
              <w:spacing w:after="40"/>
            </w:pPr>
            <w:r>
              <w:rPr>
                <w:sz w:val="15"/>
              </w:rPr>
              <w:t>Small voluntary next step</w:t>
            </w:r>
          </w:p>
        </w:tc>
        <w:tc>
          <w:tcPr>
            <w:tcW w:type="dxa" w:w="2556"/>
            <w:tcMar>
              <w:top w:w="90" w:type="dxa"/>
              <w:start w:w="110" w:type="dxa"/>
              <w:bottom w:w="90" w:type="dxa"/>
              <w:end w:w="110" w:type="dxa"/>
            </w:tcMar>
            <w:vAlign w:val="top"/>
          </w:tcPr>
          <w:p>
            <w:pPr>
              <w:spacing w:after="40"/>
            </w:pPr>
            <w:r>
              <w:rPr>
                <w:sz w:val="15"/>
              </w:rPr>
              <w:t>Unbounded support, privacy loss, ideological pressure, guaranteed-benefit assumptions</w:t>
            </w:r>
          </w:p>
        </w:tc>
      </w:tr>
    </w:tbl>
    <w:p>
      <w:pPr>
        <w:keepNext/>
        <w:spacing w:after="140"/>
        <w:pageBreakBefore/>
        <w:shd w:fill="7C6F61"/>
        <w:ind w:left="140" w:right="140"/>
      </w:pPr>
      <w:r>
        <w:rPr>
          <w:b/>
          <w:color w:val="FFFFFF"/>
          <w:sz w:val="36"/>
        </w:rPr>
        <w:t>Journey D — Potential partner</w:t>
      </w:r>
    </w:p>
    <w:p>
      <w:r>
        <w:drawing>
          <wp:inline xmlns:a="http://schemas.openxmlformats.org/drawingml/2006/main" xmlns:pic="http://schemas.openxmlformats.org/drawingml/2006/picture">
            <wp:extent cx="6172200" cy="7442947"/>
            <wp:docPr id="5" name="Picture 5" descr="Image: image5.png"/>
            <wp:cNvGraphicFramePr>
              <a:graphicFrameLocks noChangeAspect="1"/>
            </wp:cNvGraphicFramePr>
            <a:graphic>
              <a:graphicData uri="http://schemas.openxmlformats.org/drawingml/2006/picture">
                <pic:pic>
                  <pic:nvPicPr>
                    <pic:cNvPr id="0" name="journey_d.png"/>
                    <pic:cNvPicPr/>
                  </pic:nvPicPr>
                  <pic:blipFill>
                    <a:blip r:embed="rId15"/>
                    <a:stretch>
                      <a:fillRect/>
                    </a:stretch>
                  </pic:blipFill>
                  <pic:spPr>
                    <a:xfrm>
                      <a:off x="0" y="0"/>
                      <a:ext cx="6172200" cy="7442947"/>
                    </a:xfrm>
                    <a:prstGeom prst="rect"/>
                  </pic:spPr>
                </pic:pic>
              </a:graphicData>
            </a:graphic>
          </wp:inline>
        </w:drawing>
      </w:r>
    </w:p>
    <w:p>
      <w:pPr>
        <w:jc w:val="center"/>
      </w:pPr>
      <w:r>
        <w:rPr>
          <w:i/>
          <w:color w:val="6B645C"/>
          <w:sz w:val="16"/>
        </w:rPr>
        <w:t>Figure 5. Journey D path and trust checkpoints.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9E2D9"/>
            <w:tcMar>
              <w:top w:w="90" w:type="dxa"/>
              <w:start w:w="110" w:type="dxa"/>
              <w:bottom w:w="90" w:type="dxa"/>
              <w:end w:w="110" w:type="dxa"/>
            </w:tcMar>
          </w:tcPr>
          <w:p>
            <w:r>
              <w:rPr>
                <w:b/>
                <w:color w:val="2D2924"/>
                <w:sz w:val="17"/>
              </w:rPr>
              <w:t>Entry condition</w:t>
            </w:r>
          </w:p>
        </w:tc>
        <w:tc>
          <w:tcPr>
            <w:tcW w:type="dxa" w:w="2556"/>
            <w:shd w:fill="E9E2D9"/>
            <w:tcMar>
              <w:top w:w="90" w:type="dxa"/>
              <w:start w:w="110" w:type="dxa"/>
              <w:bottom w:w="90" w:type="dxa"/>
              <w:end w:w="110" w:type="dxa"/>
            </w:tcMar>
          </w:tcPr>
          <w:p>
            <w:r>
              <w:rPr>
                <w:b/>
                <w:color w:val="2D2924"/>
                <w:sz w:val="17"/>
              </w:rPr>
              <w:t>Human review / decision</w:t>
            </w:r>
          </w:p>
        </w:tc>
        <w:tc>
          <w:tcPr>
            <w:tcW w:type="dxa" w:w="2556"/>
            <w:shd w:fill="E9E2D9"/>
            <w:tcMar>
              <w:top w:w="90" w:type="dxa"/>
              <w:start w:w="110" w:type="dxa"/>
              <w:bottom w:w="90" w:type="dxa"/>
              <w:end w:w="110" w:type="dxa"/>
            </w:tcMar>
          </w:tcPr>
          <w:p>
            <w:r>
              <w:rPr>
                <w:b/>
                <w:color w:val="2D2924"/>
                <w:sz w:val="17"/>
              </w:rPr>
              <w:t>Successful endpoint</w:t>
            </w:r>
          </w:p>
        </w:tc>
        <w:tc>
          <w:tcPr>
            <w:tcW w:type="dxa" w:w="2556"/>
            <w:shd w:fill="E9E2D9"/>
            <w:tcMar>
              <w:top w:w="90" w:type="dxa"/>
              <w:start w:w="110" w:type="dxa"/>
              <w:bottom w:w="90" w:type="dxa"/>
              <w:end w:w="110" w:type="dxa"/>
            </w:tcMar>
          </w:tcPr>
          <w:p>
            <w:r>
              <w:rPr>
                <w:b/>
                <w:color w:val="2D2924"/>
                <w:sz w:val="17"/>
              </w:rPr>
              <w:t>Primary failure risks</w:t>
            </w:r>
          </w:p>
        </w:tc>
      </w:tr>
      <w:tr>
        <w:tc>
          <w:tcPr>
            <w:tcW w:type="dxa" w:w="2556"/>
            <w:tcMar>
              <w:top w:w="90" w:type="dxa"/>
              <w:start w:w="110" w:type="dxa"/>
              <w:bottom w:w="90" w:type="dxa"/>
              <w:end w:w="110" w:type="dxa"/>
            </w:tcMar>
            <w:vAlign w:val="top"/>
          </w:tcPr>
          <w:p>
            <w:pPr>
              <w:spacing w:after="40"/>
            </w:pPr>
            <w:r>
              <w:rPr>
                <w:sz w:val="15"/>
              </w:rPr>
              <w:t>Credible work or trusted introduction</w:t>
            </w:r>
          </w:p>
        </w:tc>
        <w:tc>
          <w:tcPr>
            <w:tcW w:type="dxa" w:w="2556"/>
            <w:tcMar>
              <w:top w:w="90" w:type="dxa"/>
              <w:start w:w="110" w:type="dxa"/>
              <w:bottom w:w="90" w:type="dxa"/>
              <w:end w:w="110" w:type="dxa"/>
            </w:tcMar>
            <w:vAlign w:val="top"/>
          </w:tcPr>
          <w:p>
            <w:pPr>
              <w:spacing w:after="40"/>
            </w:pPr>
            <w:r>
              <w:rPr>
                <w:sz w:val="15"/>
              </w:rPr>
              <w:t>Strategic partnership review</w:t>
            </w:r>
          </w:p>
        </w:tc>
        <w:tc>
          <w:tcPr>
            <w:tcW w:type="dxa" w:w="2556"/>
            <w:tcMar>
              <w:top w:w="90" w:type="dxa"/>
              <w:start w:w="110" w:type="dxa"/>
              <w:bottom w:w="90" w:type="dxa"/>
              <w:end w:w="110" w:type="dxa"/>
            </w:tcMar>
            <w:vAlign w:val="top"/>
          </w:tcPr>
          <w:p>
            <w:pPr>
              <w:spacing w:after="40"/>
            </w:pPr>
            <w:r>
              <w:rPr>
                <w:sz w:val="15"/>
              </w:rPr>
              <w:t>Well-scoped partnership proposal</w:t>
            </w:r>
          </w:p>
        </w:tc>
        <w:tc>
          <w:tcPr>
            <w:tcW w:type="dxa" w:w="2556"/>
            <w:tcMar>
              <w:top w:w="90" w:type="dxa"/>
              <w:start w:w="110" w:type="dxa"/>
              <w:bottom w:w="90" w:type="dxa"/>
              <w:end w:w="110" w:type="dxa"/>
            </w:tcMar>
            <w:vAlign w:val="top"/>
          </w:tcPr>
          <w:p>
            <w:pPr>
              <w:spacing w:after="40"/>
            </w:pPr>
            <w:r>
              <w:rPr>
                <w:sz w:val="15"/>
              </w:rPr>
              <w:t>Logo misuse, vague commitments, unreviewed provider endorsement</w:t>
            </w:r>
          </w:p>
        </w:tc>
      </w:tr>
    </w:tbl>
    <w:p>
      <w:pPr>
        <w:keepNext/>
        <w:spacing w:after="140"/>
        <w:pageBreakBefore/>
        <w:shd w:fill="A37D28"/>
        <w:ind w:left="140" w:right="140"/>
      </w:pPr>
      <w:r>
        <w:rPr>
          <w:b/>
          <w:color w:val="FFFFFF"/>
          <w:sz w:val="36"/>
        </w:rPr>
        <w:t>Journey E — General learner</w:t>
      </w:r>
    </w:p>
    <w:p>
      <w:r>
        <w:drawing>
          <wp:inline xmlns:a="http://schemas.openxmlformats.org/drawingml/2006/main" xmlns:pic="http://schemas.openxmlformats.org/drawingml/2006/picture">
            <wp:extent cx="6172200" cy="7442947"/>
            <wp:docPr id="6" name="Picture 6" descr="Image: image6.png"/>
            <wp:cNvGraphicFramePr>
              <a:graphicFrameLocks noChangeAspect="1"/>
            </wp:cNvGraphicFramePr>
            <a:graphic>
              <a:graphicData uri="http://schemas.openxmlformats.org/drawingml/2006/picture">
                <pic:pic>
                  <pic:nvPicPr>
                    <pic:cNvPr id="0" name="journey_e.png"/>
                    <pic:cNvPicPr/>
                  </pic:nvPicPr>
                  <pic:blipFill>
                    <a:blip r:embed="rId16"/>
                    <a:stretch>
                      <a:fillRect/>
                    </a:stretch>
                  </pic:blipFill>
                  <pic:spPr>
                    <a:xfrm>
                      <a:off x="0" y="0"/>
                      <a:ext cx="6172200" cy="7442947"/>
                    </a:xfrm>
                    <a:prstGeom prst="rect"/>
                  </pic:spPr>
                </pic:pic>
              </a:graphicData>
            </a:graphic>
          </wp:inline>
        </w:drawing>
      </w:r>
    </w:p>
    <w:p>
      <w:pPr>
        <w:jc w:val="center"/>
      </w:pPr>
      <w:r>
        <w:rPr>
          <w:i/>
          <w:color w:val="6B645C"/>
          <w:sz w:val="16"/>
        </w:rPr>
        <w:t>Figure 6. Journey E path and trust checkpoints.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8D7AE"/>
            <w:tcMar>
              <w:top w:w="90" w:type="dxa"/>
              <w:start w:w="110" w:type="dxa"/>
              <w:bottom w:w="90" w:type="dxa"/>
              <w:end w:w="110" w:type="dxa"/>
            </w:tcMar>
          </w:tcPr>
          <w:p>
            <w:r>
              <w:rPr>
                <w:b/>
                <w:color w:val="2D2924"/>
                <w:sz w:val="17"/>
              </w:rPr>
              <w:t>Entry condition</w:t>
            </w:r>
          </w:p>
        </w:tc>
        <w:tc>
          <w:tcPr>
            <w:tcW w:type="dxa" w:w="2556"/>
            <w:shd w:fill="E8D7AE"/>
            <w:tcMar>
              <w:top w:w="90" w:type="dxa"/>
              <w:start w:w="110" w:type="dxa"/>
              <w:bottom w:w="90" w:type="dxa"/>
              <w:end w:w="110" w:type="dxa"/>
            </w:tcMar>
          </w:tcPr>
          <w:p>
            <w:r>
              <w:rPr>
                <w:b/>
                <w:color w:val="2D2924"/>
                <w:sz w:val="17"/>
              </w:rPr>
              <w:t>Human review / decision</w:t>
            </w:r>
          </w:p>
        </w:tc>
        <w:tc>
          <w:tcPr>
            <w:tcW w:type="dxa" w:w="2556"/>
            <w:shd w:fill="E8D7AE"/>
            <w:tcMar>
              <w:top w:w="90" w:type="dxa"/>
              <w:start w:w="110" w:type="dxa"/>
              <w:bottom w:w="90" w:type="dxa"/>
              <w:end w:w="110" w:type="dxa"/>
            </w:tcMar>
          </w:tcPr>
          <w:p>
            <w:r>
              <w:rPr>
                <w:b/>
                <w:color w:val="2D2924"/>
                <w:sz w:val="17"/>
              </w:rPr>
              <w:t>Successful endpoint</w:t>
            </w:r>
          </w:p>
        </w:tc>
        <w:tc>
          <w:tcPr>
            <w:tcW w:type="dxa" w:w="2556"/>
            <w:shd w:fill="E8D7AE"/>
            <w:tcMar>
              <w:top w:w="90" w:type="dxa"/>
              <w:start w:w="110" w:type="dxa"/>
              <w:bottom w:w="90" w:type="dxa"/>
              <w:end w:w="110" w:type="dxa"/>
            </w:tcMar>
          </w:tcPr>
          <w:p>
            <w:r>
              <w:rPr>
                <w:b/>
                <w:color w:val="2D2924"/>
                <w:sz w:val="17"/>
              </w:rPr>
              <w:t>Primary failure risks</w:t>
            </w:r>
          </w:p>
        </w:tc>
      </w:tr>
      <w:tr>
        <w:tc>
          <w:tcPr>
            <w:tcW w:type="dxa" w:w="2556"/>
            <w:tcMar>
              <w:top w:w="90" w:type="dxa"/>
              <w:start w:w="110" w:type="dxa"/>
              <w:bottom w:w="90" w:type="dxa"/>
              <w:end w:w="110" w:type="dxa"/>
            </w:tcMar>
            <w:vAlign w:val="top"/>
          </w:tcPr>
          <w:p>
            <w:pPr>
              <w:spacing w:after="40"/>
            </w:pPr>
            <w:r>
              <w:rPr>
                <w:sz w:val="15"/>
              </w:rPr>
              <w:t>Public article, video, guide, or shared link</w:t>
            </w:r>
          </w:p>
        </w:tc>
        <w:tc>
          <w:tcPr>
            <w:tcW w:type="dxa" w:w="2556"/>
            <w:tcMar>
              <w:top w:w="90" w:type="dxa"/>
              <w:start w:w="110" w:type="dxa"/>
              <w:bottom w:w="90" w:type="dxa"/>
              <w:end w:w="110" w:type="dxa"/>
            </w:tcMar>
            <w:vAlign w:val="top"/>
          </w:tcPr>
          <w:p>
            <w:pPr>
              <w:spacing w:after="40"/>
            </w:pPr>
            <w:r>
              <w:rPr>
                <w:sz w:val="15"/>
              </w:rPr>
              <w:t>No review required for public learning</w:t>
            </w:r>
          </w:p>
        </w:tc>
        <w:tc>
          <w:tcPr>
            <w:tcW w:type="dxa" w:w="2556"/>
            <w:tcMar>
              <w:top w:w="90" w:type="dxa"/>
              <w:start w:w="110" w:type="dxa"/>
              <w:bottom w:w="90" w:type="dxa"/>
              <w:end w:w="110" w:type="dxa"/>
            </w:tcMar>
            <w:vAlign w:val="top"/>
          </w:tcPr>
          <w:p>
            <w:pPr>
              <w:spacing w:after="40"/>
            </w:pPr>
            <w:r>
              <w:rPr>
                <w:sz w:val="15"/>
              </w:rPr>
              <w:t>Useful learning and optional deeper route</w:t>
            </w:r>
          </w:p>
        </w:tc>
        <w:tc>
          <w:tcPr>
            <w:tcW w:type="dxa" w:w="2556"/>
            <w:tcMar>
              <w:top w:w="90" w:type="dxa"/>
              <w:start w:w="110" w:type="dxa"/>
              <w:bottom w:w="90" w:type="dxa"/>
              <w:end w:w="110" w:type="dxa"/>
            </w:tcMar>
            <w:vAlign w:val="top"/>
          </w:tcPr>
          <w:p>
            <w:pPr>
              <w:spacing w:after="40"/>
            </w:pPr>
            <w:r>
              <w:rPr>
                <w:sz w:val="15"/>
              </w:rPr>
              <w:t>Pressure to join, weak sourcing, unnecessary data collection</w:t>
            </w:r>
          </w:p>
        </w:tc>
      </w:tr>
    </w:tbl>
    <w:p>
      <w:pPr>
        <w:keepNext/>
        <w:spacing w:after="140"/>
        <w:pageBreakBefore/>
        <w:shd w:fill="A37D28"/>
        <w:ind w:left="140" w:right="140"/>
      </w:pPr>
      <w:r>
        <w:rPr>
          <w:b/>
          <w:color w:val="FFFFFF"/>
          <w:sz w:val="36"/>
        </w:rPr>
        <w:t>Cross-Journey Requirements and Handoffs</w:t>
      </w:r>
    </w:p>
    <w:p>
      <w:r>
        <w:t>The journeys share infrastructure but should not collapse into one universal intake or community funnel.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8C59A"/>
            <w:tcMar>
              <w:top w:w="90" w:type="dxa"/>
              <w:start w:w="110" w:type="dxa"/>
              <w:bottom w:w="90" w:type="dxa"/>
              <w:end w:w="110" w:type="dxa"/>
            </w:tcMar>
          </w:tcPr>
          <w:p>
            <w:r>
              <w:rPr>
                <w:b/>
                <w:color w:val="2D2924"/>
                <w:sz w:val="17"/>
              </w:rPr>
              <w:t>Shared node or handoff</w:t>
            </w:r>
          </w:p>
        </w:tc>
        <w:tc>
          <w:tcPr>
            <w:tcW w:type="dxa" w:w="2556"/>
            <w:shd w:fill="D8C59A"/>
            <w:tcMar>
              <w:top w:w="90" w:type="dxa"/>
              <w:start w:w="110" w:type="dxa"/>
              <w:bottom w:w="90" w:type="dxa"/>
              <w:end w:w="110" w:type="dxa"/>
            </w:tcMar>
          </w:tcPr>
          <w:p>
            <w:r>
              <w:rPr>
                <w:b/>
                <w:color w:val="2D2924"/>
                <w:sz w:val="17"/>
              </w:rPr>
              <w:t>Journeys</w:t>
            </w:r>
          </w:p>
        </w:tc>
        <w:tc>
          <w:tcPr>
            <w:tcW w:type="dxa" w:w="2556"/>
            <w:shd w:fill="D8C59A"/>
            <w:tcMar>
              <w:top w:w="90" w:type="dxa"/>
              <w:start w:w="110" w:type="dxa"/>
              <w:bottom w:w="90" w:type="dxa"/>
              <w:end w:w="110" w:type="dxa"/>
            </w:tcMar>
          </w:tcPr>
          <w:p>
            <w:r>
              <w:rPr>
                <w:b/>
                <w:color w:val="2D2924"/>
                <w:sz w:val="17"/>
              </w:rPr>
              <w:t>Required content or process</w:t>
            </w:r>
          </w:p>
        </w:tc>
        <w:tc>
          <w:tcPr>
            <w:tcW w:type="dxa" w:w="2556"/>
            <w:shd w:fill="D8C59A"/>
            <w:tcMar>
              <w:top w:w="90" w:type="dxa"/>
              <w:start w:w="110" w:type="dxa"/>
              <w:bottom w:w="90" w:type="dxa"/>
              <w:end w:w="110" w:type="dxa"/>
            </w:tcMar>
          </w:tcPr>
          <w:p>
            <w:r>
              <w:rPr>
                <w:b/>
                <w:color w:val="2D2924"/>
                <w:sz w:val="17"/>
              </w:rPr>
              <w:t>Boundary</w:t>
            </w:r>
          </w:p>
        </w:tc>
      </w:tr>
      <w:tr>
        <w:tc>
          <w:tcPr>
            <w:tcW w:type="dxa" w:w="2556"/>
            <w:tcMar>
              <w:top w:w="90" w:type="dxa"/>
              <w:start w:w="110" w:type="dxa"/>
              <w:bottom w:w="90" w:type="dxa"/>
              <w:end w:w="110" w:type="dxa"/>
            </w:tcMar>
            <w:vAlign w:val="top"/>
          </w:tcPr>
          <w:p>
            <w:pPr>
              <w:spacing w:after="40"/>
            </w:pPr>
            <w:r>
              <w:rPr>
                <w:sz w:val="14"/>
              </w:rPr>
              <w:t>/start audience router</w:t>
            </w:r>
          </w:p>
        </w:tc>
        <w:tc>
          <w:tcPr>
            <w:tcW w:type="dxa" w:w="2556"/>
            <w:tcMar>
              <w:top w:w="90" w:type="dxa"/>
              <w:start w:w="110" w:type="dxa"/>
              <w:bottom w:w="90" w:type="dxa"/>
              <w:end w:w="110" w:type="dxa"/>
            </w:tcMar>
            <w:vAlign w:val="top"/>
          </w:tcPr>
          <w:p>
            <w:pPr>
              <w:spacing w:after="40"/>
            </w:pPr>
            <w:r>
              <w:rPr>
                <w:sz w:val="14"/>
              </w:rPr>
              <w:t>A–E</w:t>
            </w:r>
          </w:p>
        </w:tc>
        <w:tc>
          <w:tcPr>
            <w:tcW w:type="dxa" w:w="2556"/>
            <w:tcMar>
              <w:top w:w="90" w:type="dxa"/>
              <w:start w:w="110" w:type="dxa"/>
              <w:bottom w:w="90" w:type="dxa"/>
              <w:end w:w="110" w:type="dxa"/>
            </w:tcMar>
            <w:vAlign w:val="top"/>
          </w:tcPr>
          <w:p>
            <w:pPr>
              <w:spacing w:after="40"/>
            </w:pPr>
            <w:r>
              <w:rPr>
                <w:sz w:val="14"/>
              </w:rPr>
              <w:t>Short choices, previews, no sensitive fields, route testing</w:t>
            </w:r>
          </w:p>
        </w:tc>
        <w:tc>
          <w:tcPr>
            <w:tcW w:type="dxa" w:w="2556"/>
            <w:tcMar>
              <w:top w:w="90" w:type="dxa"/>
              <w:start w:w="110" w:type="dxa"/>
              <w:bottom w:w="90" w:type="dxa"/>
              <w:end w:w="110" w:type="dxa"/>
            </w:tcMar>
            <w:vAlign w:val="top"/>
          </w:tcPr>
          <w:p>
            <w:pPr>
              <w:spacing w:after="40"/>
            </w:pPr>
            <w:r>
              <w:rPr>
                <w:sz w:val="14"/>
              </w:rPr>
              <w:t>Choosing a path is not approval or application.</w:t>
            </w:r>
          </w:p>
        </w:tc>
      </w:tr>
      <w:tr>
        <w:tc>
          <w:tcPr>
            <w:tcW w:type="dxa" w:w="2556"/>
            <w:tcMar>
              <w:top w:w="90" w:type="dxa"/>
              <w:start w:w="110" w:type="dxa"/>
              <w:bottom w:w="90" w:type="dxa"/>
              <w:end w:w="110" w:type="dxa"/>
            </w:tcMar>
            <w:vAlign w:val="top"/>
          </w:tcPr>
          <w:p>
            <w:pPr>
              <w:spacing w:after="40"/>
            </w:pPr>
            <w:r>
              <w:rPr>
                <w:sz w:val="14"/>
              </w:rPr>
              <w:t>/ethical-work</w:t>
            </w:r>
          </w:p>
        </w:tc>
        <w:tc>
          <w:tcPr>
            <w:tcW w:type="dxa" w:w="2556"/>
            <w:tcMar>
              <w:top w:w="90" w:type="dxa"/>
              <w:start w:w="110" w:type="dxa"/>
              <w:bottom w:w="90" w:type="dxa"/>
              <w:end w:w="110" w:type="dxa"/>
            </w:tcMar>
            <w:vAlign w:val="top"/>
          </w:tcPr>
          <w:p>
            <w:pPr>
              <w:spacing w:after="40"/>
            </w:pPr>
            <w:r>
              <w:rPr>
                <w:sz w:val="14"/>
              </w:rPr>
              <w:t>A, B, D</w:t>
            </w:r>
          </w:p>
        </w:tc>
        <w:tc>
          <w:tcPr>
            <w:tcW w:type="dxa" w:w="2556"/>
            <w:tcMar>
              <w:top w:w="90" w:type="dxa"/>
              <w:start w:w="110" w:type="dxa"/>
              <w:bottom w:w="90" w:type="dxa"/>
              <w:end w:w="110" w:type="dxa"/>
            </w:tcMar>
            <w:vAlign w:val="top"/>
          </w:tcPr>
          <w:p>
            <w:pPr>
              <w:spacing w:after="40"/>
            </w:pPr>
            <w:r>
              <w:rPr>
                <w:sz w:val="14"/>
              </w:rPr>
              <w:t>Scope, compensation, ownership, supervision, feedback, closure</w:t>
            </w:r>
          </w:p>
        </w:tc>
        <w:tc>
          <w:tcPr>
            <w:tcW w:type="dxa" w:w="2556"/>
            <w:tcMar>
              <w:top w:w="90" w:type="dxa"/>
              <w:start w:w="110" w:type="dxa"/>
              <w:bottom w:w="90" w:type="dxa"/>
              <w:end w:w="110" w:type="dxa"/>
            </w:tcMar>
            <w:vAlign w:val="top"/>
          </w:tcPr>
          <w:p>
            <w:pPr>
              <w:spacing w:after="40"/>
            </w:pPr>
            <w:r>
              <w:rPr>
                <w:sz w:val="14"/>
              </w:rPr>
              <w:t>Does not promise available paid work or legal representation.</w:t>
            </w:r>
          </w:p>
        </w:tc>
      </w:tr>
      <w:tr>
        <w:tc>
          <w:tcPr>
            <w:tcW w:type="dxa" w:w="2556"/>
            <w:tcMar>
              <w:top w:w="90" w:type="dxa"/>
              <w:start w:w="110" w:type="dxa"/>
              <w:bottom w:w="90" w:type="dxa"/>
              <w:end w:w="110" w:type="dxa"/>
            </w:tcMar>
            <w:vAlign w:val="top"/>
          </w:tcPr>
          <w:p>
            <w:pPr>
              <w:spacing w:after="40"/>
            </w:pPr>
            <w:r>
              <w:rPr>
                <w:sz w:val="14"/>
              </w:rPr>
              <w:t>/work evidence</w:t>
            </w:r>
          </w:p>
        </w:tc>
        <w:tc>
          <w:tcPr>
            <w:tcW w:type="dxa" w:w="2556"/>
            <w:tcMar>
              <w:top w:w="90" w:type="dxa"/>
              <w:start w:w="110" w:type="dxa"/>
              <w:bottom w:w="90" w:type="dxa"/>
              <w:end w:w="110" w:type="dxa"/>
            </w:tcMar>
            <w:vAlign w:val="top"/>
          </w:tcPr>
          <w:p>
            <w:pPr>
              <w:spacing w:after="40"/>
            </w:pPr>
            <w:r>
              <w:rPr>
                <w:sz w:val="14"/>
              </w:rPr>
              <w:t>A, B, D</w:t>
            </w:r>
          </w:p>
        </w:tc>
        <w:tc>
          <w:tcPr>
            <w:tcW w:type="dxa" w:w="2556"/>
            <w:tcMar>
              <w:top w:w="90" w:type="dxa"/>
              <w:start w:w="110" w:type="dxa"/>
              <w:bottom w:w="90" w:type="dxa"/>
              <w:end w:w="110" w:type="dxa"/>
            </w:tcMar>
            <w:vAlign w:val="top"/>
          </w:tcPr>
          <w:p>
            <w:pPr>
              <w:spacing w:after="40"/>
            </w:pPr>
            <w:r>
              <w:rPr>
                <w:sz w:val="14"/>
              </w:rPr>
              <w:t>Approved examples, artifacts, permission, limitations</w:t>
            </w:r>
          </w:p>
        </w:tc>
        <w:tc>
          <w:tcPr>
            <w:tcW w:type="dxa" w:w="2556"/>
            <w:tcMar>
              <w:top w:w="90" w:type="dxa"/>
              <w:start w:w="110" w:type="dxa"/>
              <w:bottom w:w="90" w:type="dxa"/>
              <w:end w:w="110" w:type="dxa"/>
            </w:tcMar>
            <w:vAlign w:val="top"/>
          </w:tcPr>
          <w:p>
            <w:pPr>
              <w:spacing w:after="40"/>
            </w:pPr>
            <w:r>
              <w:rPr>
                <w:sz w:val="14"/>
              </w:rPr>
              <w:t>Cannot imply endorsement or proven scale beyond facts.</w:t>
            </w:r>
          </w:p>
        </w:tc>
      </w:tr>
      <w:tr>
        <w:tc>
          <w:tcPr>
            <w:tcW w:type="dxa" w:w="2556"/>
            <w:tcMar>
              <w:top w:w="90" w:type="dxa"/>
              <w:start w:w="110" w:type="dxa"/>
              <w:bottom w:w="90" w:type="dxa"/>
              <w:end w:w="110" w:type="dxa"/>
            </w:tcMar>
            <w:vAlign w:val="top"/>
          </w:tcPr>
          <w:p>
            <w:pPr>
              <w:spacing w:after="40"/>
            </w:pPr>
            <w:r>
              <w:rPr>
                <w:sz w:val="14"/>
              </w:rPr>
              <w:t>/community-standards</w:t>
            </w:r>
          </w:p>
        </w:tc>
        <w:tc>
          <w:tcPr>
            <w:tcW w:type="dxa" w:w="2556"/>
            <w:tcMar>
              <w:top w:w="90" w:type="dxa"/>
              <w:start w:w="110" w:type="dxa"/>
              <w:bottom w:w="90" w:type="dxa"/>
              <w:end w:w="110" w:type="dxa"/>
            </w:tcMar>
            <w:vAlign w:val="top"/>
          </w:tcPr>
          <w:p>
            <w:pPr>
              <w:spacing w:after="40"/>
            </w:pPr>
            <w:r>
              <w:rPr>
                <w:sz w:val="14"/>
              </w:rPr>
              <w:t>B, C</w:t>
            </w:r>
          </w:p>
        </w:tc>
        <w:tc>
          <w:tcPr>
            <w:tcW w:type="dxa" w:w="2556"/>
            <w:tcMar>
              <w:top w:w="90" w:type="dxa"/>
              <w:start w:w="110" w:type="dxa"/>
              <w:bottom w:w="90" w:type="dxa"/>
              <w:end w:w="110" w:type="dxa"/>
            </w:tcMar>
            <w:vAlign w:val="top"/>
          </w:tcPr>
          <w:p>
            <w:pPr>
              <w:spacing w:after="40"/>
            </w:pPr>
            <w:r>
              <w:rPr>
                <w:sz w:val="14"/>
              </w:rPr>
              <w:t>Consent, privacy, boundaries, solicitation, concern reporting</w:t>
            </w:r>
          </w:p>
        </w:tc>
        <w:tc>
          <w:tcPr>
            <w:tcW w:type="dxa" w:w="2556"/>
            <w:tcMar>
              <w:top w:w="90" w:type="dxa"/>
              <w:start w:w="110" w:type="dxa"/>
              <w:bottom w:w="90" w:type="dxa"/>
              <w:end w:w="110" w:type="dxa"/>
            </w:tcMar>
            <w:vAlign w:val="top"/>
          </w:tcPr>
          <w:p>
            <w:pPr>
              <w:spacing w:after="40"/>
            </w:pPr>
            <w:r>
              <w:rPr>
                <w:sz w:val="14"/>
              </w:rPr>
              <w:t>Protect safety without ideological purity testing.</w:t>
            </w:r>
          </w:p>
        </w:tc>
      </w:tr>
      <w:tr>
        <w:tc>
          <w:tcPr>
            <w:tcW w:type="dxa" w:w="2556"/>
            <w:tcMar>
              <w:top w:w="90" w:type="dxa"/>
              <w:start w:w="110" w:type="dxa"/>
              <w:bottom w:w="90" w:type="dxa"/>
              <w:end w:w="110" w:type="dxa"/>
            </w:tcMar>
            <w:vAlign w:val="top"/>
          </w:tcPr>
          <w:p>
            <w:pPr>
              <w:spacing w:after="40"/>
            </w:pPr>
            <w:r>
              <w:rPr>
                <w:sz w:val="14"/>
              </w:rPr>
              <w:t>Human review</w:t>
            </w:r>
          </w:p>
        </w:tc>
        <w:tc>
          <w:tcPr>
            <w:tcW w:type="dxa" w:w="2556"/>
            <w:tcMar>
              <w:top w:w="90" w:type="dxa"/>
              <w:start w:w="110" w:type="dxa"/>
              <w:bottom w:w="90" w:type="dxa"/>
              <w:end w:w="110" w:type="dxa"/>
            </w:tcMar>
            <w:vAlign w:val="top"/>
          </w:tcPr>
          <w:p>
            <w:pPr>
              <w:spacing w:after="40"/>
            </w:pPr>
            <w:r>
              <w:rPr>
                <w:sz w:val="14"/>
              </w:rPr>
              <w:t>A, B, C, D</w:t>
            </w:r>
          </w:p>
        </w:tc>
        <w:tc>
          <w:tcPr>
            <w:tcW w:type="dxa" w:w="2556"/>
            <w:tcMar>
              <w:top w:w="90" w:type="dxa"/>
              <w:start w:w="110" w:type="dxa"/>
              <w:bottom w:w="90" w:type="dxa"/>
              <w:end w:w="110" w:type="dxa"/>
            </w:tcMar>
            <w:vAlign w:val="top"/>
          </w:tcPr>
          <w:p>
            <w:pPr>
              <w:spacing w:after="40"/>
            </w:pPr>
            <w:r>
              <w:rPr>
                <w:sz w:val="14"/>
              </w:rPr>
              <w:t>Named owner, fit criteria, response expectations, possible outcomes</w:t>
            </w:r>
          </w:p>
        </w:tc>
        <w:tc>
          <w:tcPr>
            <w:tcW w:type="dxa" w:w="2556"/>
            <w:tcMar>
              <w:top w:w="90" w:type="dxa"/>
              <w:start w:w="110" w:type="dxa"/>
              <w:bottom w:w="90" w:type="dxa"/>
              <w:end w:w="110" w:type="dxa"/>
            </w:tcMar>
            <w:vAlign w:val="top"/>
          </w:tcPr>
          <w:p>
            <w:pPr>
              <w:spacing w:after="40"/>
            </w:pPr>
            <w:r>
              <w:rPr>
                <w:sz w:val="14"/>
              </w:rPr>
              <w:t>Submission creates no work, membership, partnership, or service obligation.</w:t>
            </w:r>
          </w:p>
        </w:tc>
      </w:tr>
      <w:tr>
        <w:tc>
          <w:tcPr>
            <w:tcW w:type="dxa" w:w="2556"/>
            <w:tcMar>
              <w:top w:w="90" w:type="dxa"/>
              <w:start w:w="110" w:type="dxa"/>
              <w:bottom w:w="90" w:type="dxa"/>
              <w:end w:w="110" w:type="dxa"/>
            </w:tcMar>
            <w:vAlign w:val="top"/>
          </w:tcPr>
          <w:p>
            <w:pPr>
              <w:spacing w:after="40"/>
            </w:pPr>
            <w:r>
              <w:rPr>
                <w:sz w:val="14"/>
              </w:rPr>
              <w:t>/privacy notices</w:t>
            </w:r>
          </w:p>
        </w:tc>
        <w:tc>
          <w:tcPr>
            <w:tcW w:type="dxa" w:w="2556"/>
            <w:tcMar>
              <w:top w:w="90" w:type="dxa"/>
              <w:start w:w="110" w:type="dxa"/>
              <w:bottom w:w="90" w:type="dxa"/>
              <w:end w:w="110" w:type="dxa"/>
            </w:tcMar>
            <w:vAlign w:val="top"/>
          </w:tcPr>
          <w:p>
            <w:pPr>
              <w:spacing w:after="40"/>
            </w:pPr>
            <w:r>
              <w:rPr>
                <w:sz w:val="14"/>
              </w:rPr>
              <w:t>A, B, C, D</w:t>
            </w:r>
          </w:p>
        </w:tc>
        <w:tc>
          <w:tcPr>
            <w:tcW w:type="dxa" w:w="2556"/>
            <w:tcMar>
              <w:top w:w="90" w:type="dxa"/>
              <w:start w:w="110" w:type="dxa"/>
              <w:bottom w:w="90" w:type="dxa"/>
              <w:end w:w="110" w:type="dxa"/>
            </w:tcMar>
            <w:vAlign w:val="top"/>
          </w:tcPr>
          <w:p>
            <w:pPr>
              <w:spacing w:after="40"/>
            </w:pPr>
            <w:r>
              <w:rPr>
                <w:sz w:val="14"/>
              </w:rPr>
              <w:t>Data minimization, sensitive-data warning, retention and sharing</w:t>
            </w:r>
          </w:p>
        </w:tc>
        <w:tc>
          <w:tcPr>
            <w:tcW w:type="dxa" w:w="2556"/>
            <w:tcMar>
              <w:top w:w="90" w:type="dxa"/>
              <w:start w:w="110" w:type="dxa"/>
              <w:bottom w:w="90" w:type="dxa"/>
              <w:end w:w="110" w:type="dxa"/>
            </w:tcMar>
            <w:vAlign w:val="top"/>
          </w:tcPr>
          <w:p>
            <w:pPr>
              <w:spacing w:after="40"/>
            </w:pPr>
            <w:r>
              <w:rPr>
                <w:sz w:val="14"/>
              </w:rPr>
              <w:t>Do not collect unnecessary sensitive information.</w:t>
            </w:r>
          </w:p>
        </w:tc>
      </w:tr>
      <w:tr>
        <w:tc>
          <w:tcPr>
            <w:tcW w:type="dxa" w:w="2556"/>
            <w:tcMar>
              <w:top w:w="90" w:type="dxa"/>
              <w:start w:w="110" w:type="dxa"/>
              <w:bottom w:w="90" w:type="dxa"/>
              <w:end w:w="110" w:type="dxa"/>
            </w:tcMar>
            <w:vAlign w:val="top"/>
          </w:tcPr>
          <w:p>
            <w:pPr>
              <w:spacing w:after="40"/>
            </w:pPr>
            <w:r>
              <w:rPr>
                <w:sz w:val="14"/>
              </w:rPr>
              <w:t>/resources</w:t>
            </w:r>
          </w:p>
        </w:tc>
        <w:tc>
          <w:tcPr>
            <w:tcW w:type="dxa" w:w="2556"/>
            <w:tcMar>
              <w:top w:w="90" w:type="dxa"/>
              <w:start w:w="110" w:type="dxa"/>
              <w:bottom w:w="90" w:type="dxa"/>
              <w:end w:w="110" w:type="dxa"/>
            </w:tcMar>
            <w:vAlign w:val="top"/>
          </w:tcPr>
          <w:p>
            <w:pPr>
              <w:spacing w:after="40"/>
            </w:pPr>
            <w:r>
              <w:rPr>
                <w:sz w:val="14"/>
              </w:rPr>
              <w:t>B, C, E</w:t>
            </w:r>
          </w:p>
        </w:tc>
        <w:tc>
          <w:tcPr>
            <w:tcW w:type="dxa" w:w="2556"/>
            <w:tcMar>
              <w:top w:w="90" w:type="dxa"/>
              <w:start w:w="110" w:type="dxa"/>
              <w:bottom w:w="90" w:type="dxa"/>
              <w:end w:w="110" w:type="dxa"/>
            </w:tcMar>
            <w:vAlign w:val="top"/>
          </w:tcPr>
          <w:p>
            <w:pPr>
              <w:spacing w:after="40"/>
            </w:pPr>
            <w:r>
              <w:rPr>
                <w:sz w:val="14"/>
              </w:rPr>
              <w:t>Authors, sources, dates, review status, limitations</w:t>
            </w:r>
          </w:p>
        </w:tc>
        <w:tc>
          <w:tcPr>
            <w:tcW w:type="dxa" w:w="2556"/>
            <w:tcMar>
              <w:top w:w="90" w:type="dxa"/>
              <w:start w:w="110" w:type="dxa"/>
              <w:bottom w:w="90" w:type="dxa"/>
              <w:end w:w="110" w:type="dxa"/>
            </w:tcMar>
            <w:vAlign w:val="top"/>
          </w:tcPr>
          <w:p>
            <w:pPr>
              <w:spacing w:after="40"/>
            </w:pPr>
            <w:r>
              <w:rPr>
                <w:sz w:val="14"/>
              </w:rPr>
              <w:t>Learning remains available without joining.</w:t>
            </w:r>
          </w:p>
        </w:tc>
      </w:tr>
    </w:tbl>
    <w:p>
      <w:pPr>
        <w:pStyle w:val="Heading2"/>
      </w:pPr>
      <w:r>
        <w:t>Measurement recommendations</w:t>
      </w:r>
    </w:p>
    <w:p>
      <w:pPr>
        <w:pStyle w:val="ListBullet"/>
      </w:pPr>
      <w:r>
        <w:t>Measure route selection and completion separately; deeper participation is not the only success.</w:t>
      </w:r>
    </w:p>
    <w:p>
      <w:pPr>
        <w:pStyle w:val="ListBullet"/>
      </w:pPr>
      <w:r>
        <w:t>Track page-level drop-off to find unclear wording, excessive friction, or missing trust evidence.</w:t>
      </w:r>
    </w:p>
    <w:p>
      <w:pPr>
        <w:pStyle w:val="ListBullet"/>
      </w:pPr>
      <w:r>
        <w:t>Publish response times only after the team can consistently meet them.</w:t>
      </w:r>
    </w:p>
    <w:p>
      <w:pPr>
        <w:pStyle w:val="ListBullet"/>
      </w:pPr>
      <w:r>
        <w:t>Record hold, referral, or decline reasons without exposing sensitive personal judgments.</w:t>
      </w:r>
    </w:p>
    <w:p>
      <w:pPr>
        <w:pStyle w:val="ListBullet"/>
      </w:pPr>
      <w:r>
        <w:t>Do not publish conversion or impact metrics until the data is reliable, consented, and interpretable.</w:t>
      </w:r>
    </w:p>
    <w:p>
      <w:pPr>
        <w:pStyle w:val="Heading2"/>
      </w:pPr>
      <w:r>
        <w:t>Definition of Done — Deliverable 6</w:t>
      </w:r>
    </w:p>
    <w:p>
      <w:pPr>
        <w:pStyle w:val="ListBullet"/>
      </w:pPr>
      <w:r>
        <w:t>☐ All five required journeys are represented visually.</w:t>
      </w:r>
    </w:p>
    <w:p>
      <w:pPr>
        <w:pStyle w:val="ListBullet"/>
      </w:pPr>
      <w:r>
        <w:t>☐ Each journey uses canonical pages and relationships from Deliverable 4.</w:t>
      </w:r>
    </w:p>
    <w:p>
      <w:pPr>
        <w:pStyle w:val="ListBullet"/>
      </w:pPr>
      <w:r>
        <w:t>☐ Each journey identifies entry, decisions, primary action, and successful endpoint.</w:t>
      </w:r>
    </w:p>
    <w:p>
      <w:pPr>
        <w:pStyle w:val="ListBullet"/>
      </w:pPr>
      <w:r>
        <w:t>☐ Each journey includes trust and safeguard checkpoints.</w:t>
      </w:r>
    </w:p>
    <w:p>
      <w:pPr>
        <w:pStyle w:val="ListBullet"/>
      </w:pPr>
      <w:r>
        <w:t>☐ The five audience journeys remain distinct.</w:t>
      </w:r>
    </w:p>
    <w:p>
      <w:pPr>
        <w:pStyle w:val="ListBullet"/>
      </w:pPr>
      <w:r>
        <w:t>☐ One-on-one trust development is visible without promising membership or benefits.</w:t>
      </w:r>
    </w:p>
    <w:p>
      <w:pPr>
        <w:pStyle w:val="ListBullet"/>
      </w:pPr>
      <w:r>
        <w:t>☐ Give-first and supervised collaboration are visible without promising unlimited free work.</w:t>
      </w:r>
    </w:p>
    <w:p>
      <w:pPr>
        <w:pStyle w:val="ListBullet"/>
      </w:pPr>
      <w:r>
        <w:t>☐ Public learning remains useful without pressure to join.</w:t>
      </w:r>
    </w:p>
    <w:p>
      <w:pPr>
        <w:pStyle w:val="ListBullet"/>
      </w:pPr>
      <w:r>
        <w:t>☐ Future directories, matching, payments, marketplaces, accounts, and international outreach are not current steps.</w:t>
      </w:r>
    </w:p>
    <w:p>
      <w:pPr>
        <w:pStyle w:val="ListBullet"/>
      </w:pPr>
      <w:r>
        <w:t>☐ The diagrams are clear enough to support stakeholder review and later wireframes.</w:t>
      </w:r>
    </w:p>
    <w:p>
      <w:pPr>
        <w:pStyle w:val="Heading2"/>
      </w:pPr>
      <w:r>
        <w:t>Review Questions for Destine and Skyler</w:t>
      </w:r>
    </w:p>
    <w:p>
      <w:pPr>
        <w:pStyle w:val="ListBullet"/>
      </w:pPr>
      <w:r>
        <w:t>Are the success conditions appropriately modest and realistic?</w:t>
      </w:r>
    </w:p>
    <w:p>
      <w:pPr>
        <w:pStyle w:val="ListBullet"/>
      </w:pPr>
      <w:r>
        <w:t>Which conditional actions can the team actually operate at launch?</w:t>
      </w:r>
    </w:p>
    <w:p>
      <w:pPr>
        <w:pStyle w:val="ListBullet"/>
      </w:pPr>
      <w:r>
        <w:t>Who owns each human review, and what response expectation can be published?</w:t>
      </w:r>
    </w:p>
    <w:p>
      <w:pPr>
        <w:pStyle w:val="ListBullet"/>
      </w:pPr>
      <w:r>
        <w:t>Does the Liberation journey balance invitation, mutual fit, privacy, and gradual trust?</w:t>
      </w:r>
    </w:p>
    <w:p>
      <w:pPr>
        <w:pStyle w:val="ListBullet"/>
      </w:pPr>
      <w:r>
        <w:t>Are the organization and builder journeys sufficiently protective against unpaid work and overpromising?</w:t>
      </w:r>
    </w:p>
    <w:p>
      <w:pPr>
        <w:pStyle w:val="ListBullet"/>
      </w:pPr>
      <w:r>
        <w:t>Is /start simple enough to serve as Skyler’s primary QR destination?</w:t>
      </w:r>
    </w:p>
    <w:p>
      <w:pPr>
        <w:jc w:val="center"/>
      </w:pPr>
      <w:r>
        <w:rPr>
          <w:b/>
          <w:color w:val="A37D28"/>
          <w:sz w:val="22"/>
        </w:rPr>
        <w:t>END OF DELIVERABLE 6</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0685F"/>
        <w:sz w:val="15"/>
      </w:rPr>
      <w:t xml:space="preserve">INTERNAL WORKING DOCUMENT  |  </w:t>
    </w:r>
    <w:r>
      <w:rPr>
        <w:rFonts w:ascii="Arial" w:hAnsi="Arial"/>
        <w:color w:val="70685F"/>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0685F"/>
        <w:sz w:val="15"/>
      </w:rPr>
      <w:t>LIBERATION ECOSYSTEM WEBSITE STRATEGY  |  DELIVERABLE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D292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665F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665F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D292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