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40"/>
        </w:rPr>
        <w:t>An Agentic Self-Corrective RAG Framework with Adaptive OCR Routing</w:t>
        <w:br/>
        <w:t>for Multilingual Academic Query Resolution</w:t>
      </w:r>
    </w:p>
    <w:p>
      <w:pPr>
        <w:spacing w:before="80" w:after="40"/>
        <w:jc w:val="center"/>
      </w:pPr>
      <w:r>
        <w:rPr>
          <w:rFonts w:ascii="Times New Roman" w:hAnsi="Times New Roman"/>
          <w:i/>
          <w:sz w:val="22"/>
        </w:rPr>
        <w:t>Yash Jain, Yash Mishra, Uday Khanna</w:t>
      </w:r>
    </w:p>
    <w:p>
      <w:pPr>
        <w:spacing w:before="0" w:after="40"/>
        <w:jc w:val="center"/>
      </w:pPr>
      <w:r>
        <w:rPr>
          <w:rFonts w:ascii="Times New Roman" w:hAnsi="Times New Roman"/>
          <w:sz w:val="20"/>
        </w:rPr>
        <w:t>Department of Computer Science and Engineering</w:t>
        <w:br/>
        <w:t>Maharaja Agrasen Institute of Technology, New Delhi, India</w:t>
      </w:r>
    </w:p>
    <w:p>
      <w:pPr>
        <w:spacing w:before="0" w:after="200"/>
        <w:jc w:val="center"/>
      </w:pPr>
      <w:r>
        <w:rPr>
          <w:rFonts w:ascii="Times New Roman" w:hAnsi="Times New Roman"/>
          <w:i/>
          <w:sz w:val="20"/>
        </w:rPr>
        <w:t>Project Guide: Ms. Prachi Gupta</w:t>
      </w:r>
    </w:p>
    <w:p>
      <w:pPr>
        <w:spacing w:before="200" w:after="80"/>
        <w:jc w:val="center"/>
      </w:pPr>
      <w:r>
        <w:rPr>
          <w:rFonts w:ascii="Times New Roman" w:hAnsi="Times New Roman"/>
          <w:b/>
          <w:sz w:val="20"/>
        </w:rPr>
        <w:t>ABSTRACT</w:t>
      </w:r>
    </w:p>
    <w:p>
      <w:pPr>
        <w:spacing w:before="0" w:after="80" w:line="240" w:lineRule="exact"/>
        <w:jc w:val="both"/>
      </w:pPr>
      <w:r>
        <w:rPr>
          <w:rFonts w:ascii="Times New Roman" w:hAnsi="Times New Roman"/>
          <w:sz w:val="20"/>
        </w:rPr>
        <w:t>Campus administrative offices at academic institutions face persistent pressure from repetitive, time-sensitive student queries regarding scholarship deadlines, fee schedules, examination timetables, and eligibility criteria. Existing institutional chatbot deployments rely on naive Retrieval-Augmented Generation (RAG) pipelines that fail on three documented axes: inability to process scanned noticeboard images and image-based PDFs, exact-identifier retrieval failure on circular codes and form numbers, and cross-lingual language drift in multilingual conversational settings. This paper presents an agentic, self-corrective RAG framework that addresses all three failure modes simultaneously. The proposed system introduces an adaptive OCR routing strategy that dispatches document ingestion across PyMuPDF, Tesseract 5.x, and Pixtral-12B based on measurable image-quality metrics, enabling extraction from previously inaccessible scanned notices. A two-step Hinglish normalization pipeline applies phonetic transliteration and intent-keyword mapping to handle Romanized Hindi-English code-mixed queries. Dense retrieval via BGE-M3 is fused with BM25 sparse lexical search using Reciprocal Rank Fusion (RRF, k=60), followed by cross-encoder re-ranking to produce high-precision context passages. A five-node LangGraph decision graph orchestrates document relevance grading, query reformulation, grounded generation via Mistral 7B Instruct, factuality verification, and language consistency validation, with confident human escalation when information is unavailable. All models are open-weight and locally deployable, ensuring reproducibility. Quantitative evaluation using the RAGAS framework across a benchmark of 200 verified institutional question-answer pairs is described; results are reported separately upon system deployment.</w:t>
      </w:r>
    </w:p>
    <w:p>
      <w:pPr>
        <w:spacing w:before="0" w:after="200"/>
        <w:jc w:val="both"/>
      </w:pPr>
      <w:r>
        <w:rPr>
          <w:rFonts w:ascii="Times New Roman" w:hAnsi="Times New Roman"/>
          <w:b/>
          <w:sz w:val="20"/>
        </w:rPr>
        <w:t xml:space="preserve">Index Terms — </w:t>
      </w:r>
      <w:r>
        <w:rPr>
          <w:rFonts w:ascii="Times New Roman" w:hAnsi="Times New Roman"/>
          <w:i/>
          <w:sz w:val="20"/>
        </w:rPr>
        <w:t>Retrieval-Augmented Generation, Optical Character Recognition, Multilingual Information Retrieval, LangGraph, Hinglish Normalization, Institutional Chatbot, Self-Corrective AI, BGE-M3, Mistral, Dense-Sparse Hybrid Retrieval</w:t>
      </w:r>
    </w:p>
    <w:p>
      <w:pPr>
        <w:spacing w:before="200" w:after="80"/>
        <w:jc w:val="center"/>
      </w:pPr>
      <w:r>
        <w:rPr>
          <w:rFonts w:ascii="Times New Roman" w:hAnsi="Times New Roman"/>
          <w:b/>
          <w:sz w:val="20"/>
        </w:rPr>
        <w:t>I. INTRODUCTION</w:t>
      </w:r>
    </w:p>
    <w:p>
      <w:pPr>
        <w:spacing w:before="0" w:after="80" w:line="240" w:lineRule="exact"/>
        <w:ind w:firstLine="280"/>
        <w:jc w:val="both"/>
      </w:pPr>
      <w:r>
        <w:rPr>
          <w:rFonts w:ascii="Times New Roman" w:hAnsi="Times New Roman"/>
          <w:sz w:val="20"/>
        </w:rPr>
        <w:t>Academic institutions routinely publish critical administrative information — scholarship application procedures, fee payment deadlines, examination schedules, and eligibility conditions — in formats that are structurally inaccessible to automated processing. A significant share of this information is disseminated as physical noticeboard postings that are photographed and circulated, scanned raster-image PDFs, and dynamically updated departmental web pages. Simultaneously, a substantial proportion of the student population is more fluent in Hindi or colloquial Romanized Hinglish than in formal English, creating a compounded barrier: the information is in English and locked in image formats that standard text pipelines cannot read.</w:t>
      </w:r>
    </w:p>
    <w:p>
      <w:pPr>
        <w:spacing w:before="0" w:after="80" w:line="240" w:lineRule="exact"/>
        <w:ind w:firstLine="280"/>
        <w:jc w:val="both"/>
      </w:pPr>
      <w:r>
        <w:rPr>
          <w:rFonts w:ascii="Times New Roman" w:hAnsi="Times New Roman"/>
          <w:sz w:val="20"/>
        </w:rPr>
        <w:t>Contemporary deployments of Retrieval-Augmented Generation (RAG) chatbots in educational settings [1] adopt a naive pipeline: ingest searchable PDFs, chunk text, embed into a vector store, and retrieve the top-k chunks as context for a language model. While this approach demonstrates viability for clean digital documents, it produces three well-documented failure modes in institutional deployments. First, as Lewis et al. [5] established in the original RAG formulation, the system offers no self-correction mechanism; irrelevant retrieved passages are blindly passed to the generator, which then produces hallucinated responses. Second, dense vector embeddings trained on semantic similarity consistently miss exact identifiers such as circular codes, form numbers, and specific numerical dates [3]. Third, Medina et al. [2] empirically measured a 27% cross-lingual language drift rate in prompt-only multilingual RAG systems, whereby the generator reverts to English even when the student's query was posed in Hindi or another regional language.</w:t>
      </w:r>
    </w:p>
    <w:p>
      <w:pPr>
        <w:spacing w:before="0" w:after="80" w:line="240" w:lineRule="exact"/>
        <w:ind w:firstLine="280"/>
        <w:jc w:val="both"/>
      </w:pPr>
      <w:r>
        <w:rPr>
          <w:rFonts w:ascii="Times New Roman" w:hAnsi="Times New Roman"/>
          <w:sz w:val="20"/>
        </w:rPr>
        <w:t>This paper presents a framework that addresses all three failure modes through four architectural contributions:</w:t>
      </w:r>
    </w:p>
    <w:p>
      <w:pPr>
        <w:pStyle w:val="ListNumber"/>
        <w:spacing w:before="0" w:after="40"/>
        <w:jc w:val="both"/>
      </w:pPr>
      <w:r>
        <w:rPr>
          <w:rFonts w:ascii="Times New Roman" w:hAnsi="Times New Roman"/>
          <w:sz w:val="20"/>
        </w:rPr>
        <w:t>Adaptive OCR Routing: A quality-aware dispatcher that selects among PyMuPDF [6], Tesseract 5.x [7], and the Pixtral-12B vision language model [8] based on computed image sharpness, enabling extraction from scanned noticeboard photographs and image PDFs.</w:t>
      </w:r>
    </w:p>
    <w:p>
      <w:pPr>
        <w:pStyle w:val="ListNumber"/>
        <w:spacing w:before="0" w:after="40"/>
        <w:jc w:val="both"/>
      </w:pPr>
      <w:r>
        <w:rPr>
          <w:rFonts w:ascii="Times New Roman" w:hAnsi="Times New Roman"/>
          <w:sz w:val="20"/>
        </w:rPr>
        <w:t>Hinglish Normalization Pipeline: A two-step module combining phonetic transliteration and intent-keyword mapping to handle Romanized Hindi-English code-mixed queries before retrieval.</w:t>
      </w:r>
    </w:p>
    <w:p>
      <w:pPr>
        <w:pStyle w:val="ListNumber"/>
        <w:spacing w:before="0" w:after="40"/>
        <w:jc w:val="both"/>
      </w:pPr>
      <w:r>
        <w:rPr>
          <w:rFonts w:ascii="Times New Roman" w:hAnsi="Times New Roman"/>
          <w:sz w:val="20"/>
        </w:rPr>
        <w:t>Hybrid Dense-Sparse Retrieval with RRF and Re-Ranking: BGE-M3 [9] dense retrieval fused with BM25 [10] sparse lexical retrieval via Reciprocal Rank Fusion [11], followed by cross-encoder re-ranking.</w:t>
      </w:r>
    </w:p>
    <w:p>
      <w:pPr>
        <w:pStyle w:val="ListNumber"/>
        <w:spacing w:before="0" w:after="40"/>
        <w:jc w:val="both"/>
      </w:pPr>
      <w:r>
        <w:rPr>
          <w:rFonts w:ascii="Times New Roman" w:hAnsi="Times New Roman"/>
          <w:sz w:val="20"/>
        </w:rPr>
        <w:t>LangGraph Self-Corrective Decision Engine: A five-node stateful graph [1] that grades document relevance, reformulates failed queries, generates grounded answers via Mistral 7B Instruct [12], verifies factuality, enforces language consistency [2], and escalates to human staff when necessary.</w:t>
      </w:r>
    </w:p>
    <w:p>
      <w:pPr>
        <w:spacing w:before="0" w:after="80" w:line="240" w:lineRule="exact"/>
        <w:ind w:firstLine="280"/>
        <w:jc w:val="both"/>
      </w:pPr>
      <w:r>
        <w:rPr>
          <w:rFonts w:ascii="Times New Roman" w:hAnsi="Times New Roman"/>
          <w:sz w:val="20"/>
        </w:rPr>
        <w:t>All components use open-weight models, making the system fully reproducible and locally deployable without proprietary API dependencies. The remainder of this paper is organized as follows: Section II reviews related work. Section III describes the system architecture in detail. Section IV presents the experimental setup. Section V reports results. Section VI concludes.</w:t>
      </w:r>
    </w:p>
    <w:p>
      <w:pPr>
        <w:spacing w:before="200" w:after="80"/>
        <w:jc w:val="center"/>
      </w:pPr>
      <w:r>
        <w:rPr>
          <w:rFonts w:ascii="Times New Roman" w:hAnsi="Times New Roman"/>
          <w:b/>
          <w:sz w:val="20"/>
        </w:rPr>
        <w:t>II. RELATED WORK</w:t>
      </w:r>
    </w:p>
    <w:p>
      <w:pPr>
        <w:spacing w:before="120" w:after="40"/>
        <w:jc w:val="left"/>
      </w:pPr>
      <w:r>
        <w:rPr>
          <w:rFonts w:ascii="Times New Roman" w:hAnsi="Times New Roman"/>
          <w:b/>
          <w:i/>
          <w:sz w:val="20"/>
        </w:rPr>
        <w:t>A. RAG in Educational Settings</w:t>
      </w:r>
    </w:p>
    <w:p>
      <w:pPr>
        <w:spacing w:before="0" w:after="80" w:line="240" w:lineRule="exact"/>
        <w:ind w:firstLine="280"/>
        <w:jc w:val="both"/>
      </w:pPr>
      <w:r>
        <w:rPr>
          <w:rFonts w:ascii="Times New Roman" w:hAnsi="Times New Roman"/>
          <w:sz w:val="20"/>
        </w:rPr>
        <w:t>Swacha and Gracel [1] conducted a comprehensive survey of RAG chatbot applications in education, analyzing 47 deployments across university and K-12 contexts. They report that the dominant architectural pattern remains a single-pass retrieve-then-generate pipeline, and that fewer than 12% of surveyed systems incorporate any self-correction or grounding verification mechanism. The survey identifies hallucination on time-sensitive facts such as deadlines and fees as the primary trust failure, and calls for agentic verification loops as a research priority. Our work directly responds to this gap by introducing a LangGraph orchestrated self-corrective loop with explicit factuality grading.</w:t>
      </w:r>
    </w:p>
    <w:p>
      <w:pPr>
        <w:spacing w:before="120" w:after="40"/>
        <w:jc w:val="left"/>
      </w:pPr>
      <w:r>
        <w:rPr>
          <w:rFonts w:ascii="Times New Roman" w:hAnsi="Times New Roman"/>
          <w:b/>
          <w:i/>
          <w:sz w:val="20"/>
        </w:rPr>
        <w:t>B. Cross-Lingual and Multilingual RAG</w:t>
      </w:r>
    </w:p>
    <w:p>
      <w:pPr>
        <w:spacing w:before="0" w:after="80" w:line="240" w:lineRule="exact"/>
        <w:ind w:firstLine="280"/>
        <w:jc w:val="both"/>
      </w:pPr>
      <w:r>
        <w:rPr>
          <w:rFonts w:ascii="Times New Roman" w:hAnsi="Times New Roman"/>
          <w:sz w:val="20"/>
        </w:rPr>
        <w:t>Medina et al. [2] introduced EduX-RAG, a cross-lingual RAG framework evaluated on English, Spanish, and Korean educational corpora. They document the language drift phenomenon quantitatively, measuring a 27% drift rate in zero-shot multilingual prompting, and propose language-locking through conversational state as a mitigation. Their evaluation does not address code-mixed Romanized regional languages, which present a distinct challenge because standard tokenizers fragment Romanized Hindi into semantically incoherent subword units. Our system extends their language-locking approach via Node 5 of the LangGraph pipeline, while additionally addressing the code-mixing problem through the dedicated Hinglish normalization module.</w:t>
      </w:r>
    </w:p>
    <w:p>
      <w:pPr>
        <w:spacing w:before="120" w:after="40"/>
        <w:jc w:val="left"/>
      </w:pPr>
      <w:r>
        <w:rPr>
          <w:rFonts w:ascii="Times New Roman" w:hAnsi="Times New Roman"/>
          <w:b/>
          <w:i/>
          <w:sz w:val="20"/>
        </w:rPr>
        <w:t>C. Retrieval Quality and Hybrid Methods</w:t>
      </w:r>
    </w:p>
    <w:p>
      <w:pPr>
        <w:spacing w:before="0" w:after="80" w:line="240" w:lineRule="exact"/>
        <w:ind w:firstLine="280"/>
        <w:jc w:val="both"/>
      </w:pPr>
      <w:r>
        <w:rPr>
          <w:rFonts w:ascii="Times New Roman" w:hAnsi="Times New Roman"/>
          <w:sz w:val="20"/>
        </w:rPr>
        <w:t>Son et al. [3] evaluated a RAG-based electronic medical record chatbot and identified two critical retrieval failure modes: dense embeddings missing exact alphanumeric identifiers, and single-modality retrieval returning contextually irrelevant passages. They propose a hybrid dense-sparse approach and report improved retrieval precision on clinical identifier queries. We adopt their hybrid retrieval insight and extend it with Reciprocal Rank Fusion [11] and cross-encoder re-ranking, which Son et al. did not employ. The institutional notice domain shares the exact-identifier retrieval challenge identified in their medical record context, making their findings directly applicable.</w:t>
      </w:r>
    </w:p>
    <w:p>
      <w:pPr>
        <w:spacing w:before="120" w:after="40"/>
        <w:jc w:val="left"/>
      </w:pPr>
      <w:r>
        <w:rPr>
          <w:rFonts w:ascii="Times New Roman" w:hAnsi="Times New Roman"/>
          <w:b/>
          <w:i/>
          <w:sz w:val="20"/>
        </w:rPr>
        <w:t>D. Multilingual Conversational AI and Human Fallback</w:t>
      </w:r>
    </w:p>
    <w:p>
      <w:pPr>
        <w:spacing w:before="0" w:after="80" w:line="240" w:lineRule="exact"/>
        <w:ind w:firstLine="280"/>
        <w:jc w:val="both"/>
      </w:pPr>
      <w:r>
        <w:rPr>
          <w:rFonts w:ascii="Times New Roman" w:hAnsi="Times New Roman"/>
          <w:sz w:val="20"/>
        </w:rPr>
        <w:t>Sharanesha et al. [4] reviewed multilingual conversational AI systems in healthcare delivery and identified confidence-based human escalation as a critical safety mechanism. Their systematic review of 34 deployments reports a 30-70% administrative workload deflection rate for systems with robust fallback mechanisms. Our system incorporates their recommendation directly: when retrieval confidence falls below the 0.70 threshold after two reformulation attempts, the system presents the physical office contact details and logs the unresolved query in SQLite for staff review.</w:t>
      </w:r>
    </w:p>
    <w:p>
      <w:pPr>
        <w:spacing w:before="120" w:after="40"/>
        <w:jc w:val="left"/>
      </w:pPr>
      <w:r>
        <w:rPr>
          <w:rFonts w:ascii="Times New Roman" w:hAnsi="Times New Roman"/>
          <w:b/>
          <w:i/>
          <w:sz w:val="20"/>
        </w:rPr>
        <w:t>E. OCR in Document Processing</w:t>
      </w:r>
    </w:p>
    <w:p>
      <w:pPr>
        <w:spacing w:before="0" w:after="80" w:line="240" w:lineRule="exact"/>
        <w:ind w:firstLine="280"/>
        <w:jc w:val="both"/>
      </w:pPr>
      <w:r>
        <w:rPr>
          <w:rFonts w:ascii="Times New Roman" w:hAnsi="Times New Roman"/>
          <w:sz w:val="20"/>
        </w:rPr>
        <w:t>Smith [7] introduced Tesseract as an open-source OCR engine with strong performance on clean scanned documents. Its limitations on degraded images — low-resolution photographs, skewed text, stamped or handwritten annotations — are well-established. Agrawal et al. [8] introduced Pixtral-12B, a multimodal language model with demonstrated OCR capability on complex document images. No prior work has proposed an adaptive routing strategy that selects between classical OCR and vision language model OCR based on image quality metrics; this constitutes a novel contribution of the present paper.</w:t>
      </w:r>
    </w:p>
    <w:p>
      <w:pPr>
        <w:spacing w:before="200" w:after="80"/>
        <w:jc w:val="center"/>
      </w:pPr>
      <w:r>
        <w:rPr>
          <w:rFonts w:ascii="Times New Roman" w:hAnsi="Times New Roman"/>
          <w:b/>
          <w:sz w:val="20"/>
        </w:rPr>
        <w:t>III. SYSTEM ARCHITECTURE</w:t>
      </w:r>
    </w:p>
    <w:p>
      <w:pPr>
        <w:spacing w:before="0" w:after="80" w:line="240" w:lineRule="exact"/>
        <w:ind w:firstLine="280"/>
        <w:jc w:val="both"/>
      </w:pPr>
      <w:r>
        <w:rPr>
          <w:rFonts w:ascii="Times New Roman" w:hAnsi="Times New Roman"/>
          <w:sz w:val="20"/>
        </w:rPr>
        <w:t>The proposed system is organized as a four-layer pipeline. Layer 1 is an offline scheduled ingestion pipeline. Layer 3 (Linguistic Pre-processing) executes first at query time, followed by Layer 2 (Hybrid Retrieval), and finally Layer 4 (LangGraph Decision Engine). This numbering follows the architectural specification; the runtime execution order is L3 → L2 → L4, with L1 operating asynchronously as a background batch job.</w:t>
      </w:r>
    </w:p>
    <w:p>
      <w:pPr>
        <w:spacing w:before="120" w:after="40"/>
        <w:jc w:val="left"/>
      </w:pPr>
      <w:r>
        <w:rPr>
          <w:rFonts w:ascii="Times New Roman" w:hAnsi="Times New Roman"/>
          <w:b/>
          <w:i/>
          <w:sz w:val="20"/>
        </w:rPr>
        <w:t>A. Layer 1: Adaptive OCR and Multi-Modal Ingestion Pipeline</w:t>
      </w:r>
    </w:p>
    <w:p>
      <w:pPr>
        <w:spacing w:before="0" w:after="80" w:line="240" w:lineRule="exact"/>
        <w:ind w:firstLine="280"/>
        <w:jc w:val="both"/>
      </w:pPr>
      <w:r>
        <w:rPr>
          <w:rFonts w:ascii="Times New Roman" w:hAnsi="Times New Roman"/>
          <w:sz w:val="20"/>
        </w:rPr>
        <w:t>The ingestion pipeline processes two primary institutional data streams: a scheduled web scraper and a document ingestion engine. The web scraper, implemented with BeautifulSoup4, periodically monitors the institutional notice board portal and extracts headline announcements with publication timestamps. This component runs as a scheduled offline batch job and is never invoked at query time, ensuring that the runtime critical path remains bounded.</w:t>
      </w:r>
    </w:p>
    <w:p>
      <w:pPr>
        <w:spacing w:before="0" w:after="80" w:line="240" w:lineRule="exact"/>
        <w:ind w:firstLine="280"/>
        <w:jc w:val="both"/>
      </w:pPr>
      <w:r>
        <w:rPr>
          <w:rFonts w:ascii="Times New Roman" w:hAnsi="Times New Roman"/>
          <w:sz w:val="20"/>
        </w:rPr>
        <w:t>The document ingestion engine is the primary architectural contribution of this layer. Rather than applying a single OCR strategy to all inputs, the system dispatches each document through one of three extraction paths based on the document type and computed image quality.</w:t>
      </w:r>
    </w:p>
    <w:p>
      <w:pPr>
        <w:spacing w:before="0" w:after="80" w:line="240" w:lineRule="exact"/>
        <w:ind w:firstLine="280"/>
        <w:jc w:val="both"/>
      </w:pPr>
      <w:r>
        <w:rPr>
          <w:rFonts w:ascii="Times New Roman" w:hAnsi="Times New Roman"/>
          <w:sz w:val="20"/>
        </w:rPr>
        <w:t>Path A — PyMuPDF for Digital PDFs: When the input is a PDF with an extractable text layer, PyMuPDF [6] is used for layout-aware text and table extraction. This path provides near-perfect fidelity for digitally authored circulars and incurs minimal computational cost.</w:t>
      </w:r>
    </w:p>
    <w:p>
      <w:pPr>
        <w:spacing w:before="0" w:after="80" w:line="240" w:lineRule="exact"/>
        <w:ind w:firstLine="280"/>
        <w:jc w:val="both"/>
      </w:pPr>
      <w:r>
        <w:rPr>
          <w:rFonts w:ascii="Times New Roman" w:hAnsi="Times New Roman"/>
          <w:sz w:val="20"/>
        </w:rPr>
        <w:t>Path B — Tesseract 5.x for Clean Scanned Images: When the input is a raster image or an image-only PDF, image sharpness is quantified using the Laplacian variance method. A sharpness score at or above the threshold τ (empirically set to 100.0 Laplacian variance units) indicates a clean scan suitable for classical OCR. The image undergoes OpenCV preprocessing — binarization via Otsu's method and deskewing — before being passed to Tesseract 5.x [7].</w:t>
      </w:r>
    </w:p>
    <w:p>
      <w:pPr>
        <w:spacing w:before="0" w:after="80" w:line="240" w:lineRule="exact"/>
        <w:ind w:firstLine="280"/>
        <w:jc w:val="both"/>
      </w:pPr>
      <w:r>
        <w:rPr>
          <w:rFonts w:ascii="Times New Roman" w:hAnsi="Times New Roman"/>
          <w:sz w:val="20"/>
        </w:rPr>
        <w:t>Path C — Pixtral-12B for Noisy or Complex Images: When the Laplacian variance falls below τ, indicating blur, noise, perspective distortion, stamps, or handwritten annotations, the image is routed to Pixtral-12B [8]. As a vision language model, Pixtral processes the image holistically without requiring preprocessing, yielding substantially higher accuracy on degraded institutional notice photographs. The model is run locally via Ollama, preserving data privacy.</w:t>
      </w:r>
    </w:p>
    <w:p>
      <w:pPr>
        <w:spacing w:before="0" w:after="80" w:line="240" w:lineRule="exact"/>
        <w:ind w:firstLine="280"/>
        <w:jc w:val="both"/>
      </w:pPr>
      <w:r>
        <w:rPr>
          <w:rFonts w:ascii="Times New Roman" w:hAnsi="Times New Roman"/>
          <w:sz w:val="20"/>
        </w:rPr>
        <w:t>Each extracted text block is tagged with an ocr_method metadata field (pymupdf, tesseract, or pixtral-12b). Following extraction, text is segmented using recursive semantic chunking with a 500-token window and a 100-token overlap, with each chunk storing structured metadata: circular_number, date, department, page_num, source_url, and ocr_method. All chunks are simultaneously indexed into ChromaDB (via BGE-M3 embeddings) and a BM25 lexical index.</w:t>
      </w:r>
    </w:p>
    <w:p>
      <w:pPr>
        <w:spacing w:before="120" w:after="40"/>
        <w:jc w:val="left"/>
      </w:pPr>
      <w:r>
        <w:rPr>
          <w:rFonts w:ascii="Times New Roman" w:hAnsi="Times New Roman"/>
          <w:b/>
          <w:i/>
          <w:sz w:val="20"/>
        </w:rPr>
        <w:t>B. Layer 3: Linguistic Pre-Processing and Query Routing</w:t>
      </w:r>
    </w:p>
    <w:p>
      <w:pPr>
        <w:spacing w:before="0" w:after="80" w:line="240" w:lineRule="exact"/>
        <w:ind w:firstLine="280"/>
        <w:jc w:val="both"/>
      </w:pPr>
      <w:r>
        <w:rPr>
          <w:rFonts w:ascii="Times New Roman" w:hAnsi="Times New Roman"/>
          <w:sz w:val="20"/>
        </w:rPr>
        <w:t>Layer 3 executes first on every incoming student query, before any retrieval operation. It comprises three sequential components: language detection, Hinglish normalization, and contextual query rewriting.</w:t>
      </w:r>
    </w:p>
    <w:p>
      <w:pPr>
        <w:spacing w:before="0" w:after="80" w:line="240" w:lineRule="exact"/>
        <w:ind w:firstLine="280"/>
        <w:jc w:val="both"/>
      </w:pPr>
      <w:r>
        <w:rPr>
          <w:rFonts w:ascii="Times New Roman" w:hAnsi="Times New Roman"/>
          <w:sz w:val="20"/>
        </w:rPr>
        <w:t>Language Detection: The lingua-py library identifies the query language as English (en) or Hindi/Hinglish (hi). The detected language is stored in the LangGraph AgentState and propagated through the entire pipeline for use by Node 5.</w:t>
      </w:r>
    </w:p>
    <w:p>
      <w:pPr>
        <w:spacing w:before="0" w:after="80" w:line="240" w:lineRule="exact"/>
        <w:ind w:firstLine="280"/>
        <w:jc w:val="both"/>
      </w:pPr>
      <w:r>
        <w:rPr>
          <w:rFonts w:ascii="Times New Roman" w:hAnsi="Times New Roman"/>
          <w:sz w:val="20"/>
        </w:rPr>
        <w:t>Hinglish Normalization Module: Romanized Hindi-English code-mixing presents a distinct retrieval challenge. Standard tokenizers split tokens such as 'aakhri taarikh' or 'fees kab bharna hai' into semantically incoherent subword units, destroying the retrieval signal. The proposed normalization pipeline applies two steps: (1) phonetic transliteration using the indic-transliteration library maps Romanized Hindi tokens to their normalized equivalents; (2) intent-keyword mapping applies a curated lexicon to map colloquial campus phrases to formal institutional terminology (e.g., 'last date' → 'submission deadline', 'form kahan milega' → 'where to obtain form'). This two-step approach ensures that BGE-M3's cross-lingual semantic space can map the normalized query directly to English notice passages without requiring a parallel translation corpus [2].</w:t>
      </w:r>
    </w:p>
    <w:p>
      <w:pPr>
        <w:spacing w:before="0" w:after="80" w:line="240" w:lineRule="exact"/>
        <w:ind w:firstLine="280"/>
        <w:jc w:val="both"/>
      </w:pPr>
      <w:r>
        <w:rPr>
          <w:rFonts w:ascii="Times New Roman" w:hAnsi="Times New Roman"/>
          <w:sz w:val="20"/>
        </w:rPr>
        <w:t>Contextual Query Rewriter: In multi-turn conversations, students frequently pose follow-up queries with unresolved pronoun references (e.g., 'When is its last date?' following a question about a scholarship). The query rewriter uses Mistral 7B Instruct [12] with the last two conversational turns to rewrite ambiguous follow-up queries into complete, self-contained search queries.</w:t>
      </w:r>
    </w:p>
    <w:p>
      <w:pPr>
        <w:spacing w:before="120" w:after="40"/>
        <w:jc w:val="left"/>
      </w:pPr>
      <w:r>
        <w:rPr>
          <w:rFonts w:ascii="Times New Roman" w:hAnsi="Times New Roman"/>
          <w:b/>
          <w:i/>
          <w:sz w:val="20"/>
        </w:rPr>
        <w:t>C. Layer 2: Hybrid Retrieval Engine</w:t>
      </w:r>
    </w:p>
    <w:p>
      <w:pPr>
        <w:spacing w:before="0" w:after="80" w:line="240" w:lineRule="exact"/>
        <w:ind w:firstLine="280"/>
        <w:jc w:val="both"/>
      </w:pPr>
      <w:r>
        <w:rPr>
          <w:rFonts w:ascii="Times New Roman" w:hAnsi="Times New Roman"/>
          <w:sz w:val="20"/>
        </w:rPr>
        <w:t>Following linguistic pre-processing, the rewritten query is submitted to the hybrid retrieval engine, which operates over the offline-built ChromaDB and BM25 indices.</w:t>
      </w:r>
    </w:p>
    <w:p>
      <w:pPr>
        <w:spacing w:before="0" w:after="80" w:line="240" w:lineRule="exact"/>
        <w:ind w:firstLine="280"/>
        <w:jc w:val="both"/>
      </w:pPr>
      <w:r>
        <w:rPr>
          <w:rFonts w:ascii="Times New Roman" w:hAnsi="Times New Roman"/>
          <w:sz w:val="20"/>
        </w:rPr>
        <w:t>Dense Retrieval — BGE-M3: BGE-M3 [9] generates a 1024-dimensional embedding of the query in a shared multilingual semantic space. Because BGE-M3 was trained on multilingual corpora including Indic languages, it maps Hindi and Hinglish query representations directly to semantically equivalent English passage representations without translation. Dense retrieval returns the top-10 candidates by cosine similarity from ChromaDB.</w:t>
      </w:r>
    </w:p>
    <w:p>
      <w:pPr>
        <w:spacing w:before="0" w:after="80" w:line="240" w:lineRule="exact"/>
        <w:ind w:firstLine="280"/>
        <w:jc w:val="both"/>
      </w:pPr>
      <w:r>
        <w:rPr>
          <w:rFonts w:ascii="Times New Roman" w:hAnsi="Times New Roman"/>
          <w:sz w:val="20"/>
        </w:rPr>
        <w:t>Sparse Retrieval — BM25: BM25 Okapi [10] performs lexical retrieval over the tokenized text corpus. Unlike dense embeddings, BM25 assigns high scores to exact lexical matches, making it robust to queries containing specific circular codes, numerical dates, and department identifiers that dense models tend to dilute through semantic generalization. BM25 retrieval returns the top-10 candidates by BM25 score.</w:t>
      </w:r>
    </w:p>
    <w:p>
      <w:pPr>
        <w:spacing w:before="0" w:after="80" w:line="240" w:lineRule="exact"/>
        <w:ind w:firstLine="280"/>
        <w:jc w:val="both"/>
      </w:pPr>
      <w:r>
        <w:rPr>
          <w:rFonts w:ascii="Times New Roman" w:hAnsi="Times New Roman"/>
          <w:sz w:val="20"/>
        </w:rPr>
        <w:t>Reciprocal Rank Fusion: The two ranked lists are merged using Reciprocal Rank Fusion (RRF) [11] with constant k = 60: RRF(d) = Σ 1 / (k + rank_r(d)), summed over dense and sparse rankings. RRF produces a unified ranking that elevates documents that rank highly in both lists, combining semantic and lexical relevance signals without requiring score normalization across heterogeneous retrieval systems. The top 10 fused candidates proceed to re-ranking.</w:t>
      </w:r>
    </w:p>
    <w:p>
      <w:pPr>
        <w:spacing w:before="0" w:after="80" w:line="240" w:lineRule="exact"/>
        <w:ind w:firstLine="280"/>
        <w:jc w:val="both"/>
      </w:pPr>
      <w:r>
        <w:rPr>
          <w:rFonts w:ascii="Times New Roman" w:hAnsi="Times New Roman"/>
          <w:sz w:val="20"/>
        </w:rPr>
        <w:t>Cross-Encoder Re-Ranking: A BAAI/bge-reranker-v2-m3 cross-encoder scores each query-passage pair jointly, capturing fine-grained relevance signals that bi-encoder models cannot express. The top 3 passages by cross-encoder score are selected as the final context window for generation.</w:t>
      </w:r>
    </w:p>
    <w:p>
      <w:pPr>
        <w:spacing w:before="120" w:after="40"/>
        <w:jc w:val="left"/>
      </w:pPr>
      <w:r>
        <w:rPr>
          <w:rFonts w:ascii="Times New Roman" w:hAnsi="Times New Roman"/>
          <w:b/>
          <w:i/>
          <w:sz w:val="20"/>
        </w:rPr>
        <w:t>D. Layer 4: LangGraph Self-Corrective Decision Engine</w:t>
      </w:r>
    </w:p>
    <w:p>
      <w:pPr>
        <w:spacing w:before="0" w:after="80" w:line="240" w:lineRule="exact"/>
        <w:ind w:firstLine="280"/>
        <w:jc w:val="both"/>
      </w:pPr>
      <w:r>
        <w:rPr>
          <w:rFonts w:ascii="Times New Roman" w:hAnsi="Times New Roman"/>
          <w:sz w:val="20"/>
        </w:rPr>
        <w:t>The retrieved passages enter a stateful LangGraph [1] workflow comprising five decision nodes. The workflow maintains an explicit AgentState object containing the original query, detected language, conversation history, retrieved chunks, relevance score, retry count, draft response, citation list, groundedness flag, and final response.</w:t>
      </w:r>
    </w:p>
    <w:p>
      <w:pPr>
        <w:spacing w:before="0" w:after="80" w:line="240" w:lineRule="exact"/>
        <w:ind w:firstLine="280"/>
        <w:jc w:val="both"/>
      </w:pPr>
      <w:r>
        <w:rPr>
          <w:rFonts w:ascii="Times New Roman" w:hAnsi="Times New Roman"/>
          <w:sz w:val="20"/>
        </w:rPr>
        <w:t>Node 1 — Document Relevance Grader: The grader evaluates whether the top-3 retrieved passages collectively contain the factual content required to answer the query. If the relevance score exceeds the threshold θ = 0.70 and key query terms are present in the passages, the workflow proceeds to generation. If the score falls below θ, control passes to Node 2.</w:t>
      </w:r>
    </w:p>
    <w:p>
      <w:pPr>
        <w:spacing w:before="0" w:after="80" w:line="240" w:lineRule="exact"/>
        <w:ind w:firstLine="280"/>
        <w:jc w:val="both"/>
      </w:pPr>
      <w:r>
        <w:rPr>
          <w:rFonts w:ascii="Times New Roman" w:hAnsi="Times New Roman"/>
          <w:sz w:val="20"/>
        </w:rPr>
        <w:t>Node 2 — Query Reformulation and Retrieval Fallback: When initial retrieval is insufficient, Node 2 applies three sequential escalation strategies: (1) reformulates the query using Mistral 7B and re-queries ChromaDB; (2) if the re-query still fails, the live ChromaDB index (which includes scraped notices from the most recent batch run) is queried; (3) if information remains absent after a maximum of two reformulation attempts, the workflow routes to the escalation handler.</w:t>
      </w:r>
    </w:p>
    <w:p>
      <w:pPr>
        <w:spacing w:before="0" w:after="80" w:line="240" w:lineRule="exact"/>
        <w:ind w:firstLine="280"/>
        <w:jc w:val="both"/>
      </w:pPr>
      <w:r>
        <w:rPr>
          <w:rFonts w:ascii="Times New Roman" w:hAnsi="Times New Roman"/>
          <w:sz w:val="20"/>
        </w:rPr>
        <w:t>Node 3 — Grounded Generation Engine: Mistral 7B Instruct [12] generates a response strictly constrained to the verified top-3 passages. The system prompt explicitly prohibits speculation and instructs the model to attach structured citation tags to every factual assertion in the format [Source: filename, Page: N]. Mistral 7B is selected for its strong instruction-following capability, open-weight Apache 2.0 licensing, and local deployability [12].</w:t>
      </w:r>
    </w:p>
    <w:p>
      <w:pPr>
        <w:spacing w:before="0" w:after="80" w:line="240" w:lineRule="exact"/>
        <w:ind w:firstLine="280"/>
        <w:jc w:val="both"/>
      </w:pPr>
      <w:r>
        <w:rPr>
          <w:rFonts w:ascii="Times New Roman" w:hAnsi="Times New Roman"/>
          <w:sz w:val="20"/>
        </w:rPr>
        <w:t>Node 4 — Hallucination and Factuality Grader: The generated draft is submitted to a factuality verification step. Mistral 7B is prompted to assess whether every factual claim in the draft has direct textual support in the source passages. If the verification returns a negative judgment and the retry count permits, the draft is rejected and Node 3 is invoked again with a lower generation temperature and tighter context constraints.</w:t>
      </w:r>
    </w:p>
    <w:p>
      <w:pPr>
        <w:spacing w:before="0" w:after="80" w:line="240" w:lineRule="exact"/>
        <w:ind w:firstLine="280"/>
        <w:jc w:val="both"/>
      </w:pPr>
      <w:r>
        <w:rPr>
          <w:rFonts w:ascii="Times New Roman" w:hAnsi="Times New Roman"/>
          <w:sz w:val="20"/>
        </w:rPr>
        <w:t>Node 5 — Language Consistency Validator: The draft's output language is compared against the detected_language field in AgentState. If the draft is in English but the student queried in Hindi, Mistral 7B is prompted to translate the response while explicitly preserving all citation tags. This architectural enforcement directly resolves the 27% language drift failure documented by Medina et al. [2] by making language consistency a hard system constraint rather than a prompt-level instruction.</w:t>
      </w:r>
    </w:p>
    <w:p>
      <w:pPr>
        <w:spacing w:before="0" w:after="80" w:line="240" w:lineRule="exact"/>
        <w:ind w:firstLine="280"/>
        <w:jc w:val="both"/>
      </w:pPr>
      <w:r>
        <w:rPr>
          <w:rFonts w:ascii="Times New Roman" w:hAnsi="Times New Roman"/>
          <w:sz w:val="20"/>
        </w:rPr>
        <w:t>Escalation Handler: When the workflow determines that reliable information cannot be retrieved, generation halts. The system displays the administrative office's physical location, visiting hours, and contact email, and inserts the unresolved query, detected language, and failure reason into the SQLite escalation_tickets table, creating an automated operational backlog for staff [4].</w:t>
      </w:r>
    </w:p>
    <w:p>
      <w:pPr>
        <w:spacing w:before="80" w:after="160"/>
        <w:jc w:val="center"/>
      </w:pPr>
      <w:r>
        <w:rPr>
          <w:rFonts w:ascii="Times New Roman" w:hAnsi="Times New Roman"/>
          <w:b/>
          <w:sz w:val="18"/>
        </w:rPr>
        <w:t>TABLE I: LangGraph Routing Decision Rules</w:t>
      </w:r>
    </w:p>
    <w:tbl>
      <w:tblPr>
        <w:tblStyle w:val="TableGrid"/>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3456"/>
        <w:gridCol w:w="3456"/>
      </w:tblGrid>
      <w:tr>
        <w:tc>
          <w:tcPr>
            <w:tcW w:type="dxa" w:w="3360"/>
            <w:shd w:val="clear" w:color="auto" w:fill="1F3864"/>
          </w:tcPr>
          <w:p>
            <w:pPr>
              <w:jc w:val="center"/>
            </w:pPr>
            <w:r>
              <w:rPr>
                <w:rFonts w:ascii="Times New Roman" w:hAnsi="Times New Roman"/>
                <w:b/>
                <w:color w:val="FFFFFF"/>
                <w:sz w:val="18"/>
              </w:rPr>
              <w:t>Decision Point</w:t>
            </w:r>
          </w:p>
        </w:tc>
        <w:tc>
          <w:tcPr>
            <w:tcW w:type="dxa" w:w="3360"/>
            <w:shd w:val="clear" w:color="auto" w:fill="1F3864"/>
          </w:tcPr>
          <w:p>
            <w:pPr>
              <w:jc w:val="center"/>
            </w:pPr>
            <w:r>
              <w:rPr>
                <w:rFonts w:ascii="Times New Roman" w:hAnsi="Times New Roman"/>
                <w:b/>
                <w:color w:val="FFFFFF"/>
                <w:sz w:val="18"/>
              </w:rPr>
              <w:t>Condition</w:t>
            </w:r>
          </w:p>
        </w:tc>
        <w:tc>
          <w:tcPr>
            <w:tcW w:type="dxa" w:w="3360"/>
            <w:shd w:val="clear" w:color="auto" w:fill="1F3864"/>
          </w:tcPr>
          <w:p>
            <w:pPr>
              <w:jc w:val="center"/>
            </w:pPr>
            <w:r>
              <w:rPr>
                <w:rFonts w:ascii="Times New Roman" w:hAnsi="Times New Roman"/>
                <w:b/>
                <w:color w:val="FFFFFF"/>
                <w:sz w:val="18"/>
              </w:rPr>
              <w:t>Action</w:t>
            </w:r>
          </w:p>
        </w:tc>
      </w:tr>
      <w:tr>
        <w:tc>
          <w:tcPr>
            <w:tcW w:type="dxa" w:w="3360"/>
            <w:shd w:val="clear" w:color="auto" w:fill="EBF0FA"/>
          </w:tcPr>
          <w:p>
            <w:r>
              <w:rPr>
                <w:rFonts w:ascii="Times New Roman" w:hAnsi="Times New Roman"/>
                <w:sz w:val="18"/>
              </w:rPr>
              <w:t>Retrieval Assessment</w:t>
            </w:r>
          </w:p>
        </w:tc>
        <w:tc>
          <w:tcPr>
            <w:tcW w:type="dxa" w:w="3360"/>
            <w:shd w:val="clear" w:color="auto" w:fill="EBF0FA"/>
          </w:tcPr>
          <w:p>
            <w:r>
              <w:rPr>
                <w:rFonts w:ascii="Times New Roman" w:hAnsi="Times New Roman"/>
                <w:sz w:val="18"/>
              </w:rPr>
              <w:t>Relevance score ≥ 0.70 and key terms present</w:t>
            </w:r>
          </w:p>
        </w:tc>
        <w:tc>
          <w:tcPr>
            <w:tcW w:type="dxa" w:w="3360"/>
            <w:shd w:val="clear" w:color="auto" w:fill="EBF0FA"/>
          </w:tcPr>
          <w:p>
            <w:r>
              <w:rPr>
                <w:rFonts w:ascii="Times New Roman" w:hAnsi="Times New Roman"/>
                <w:sz w:val="18"/>
              </w:rPr>
              <w:t>Proceed to Node 3 (Generation)</w:t>
            </w:r>
          </w:p>
        </w:tc>
      </w:tr>
      <w:tr>
        <w:tc>
          <w:tcPr>
            <w:tcW w:type="dxa" w:w="3360"/>
            <w:shd w:val="clear" w:color="auto" w:fill="FFFFFF"/>
          </w:tcPr>
          <w:p>
            <w:r>
              <w:rPr>
                <w:rFonts w:ascii="Times New Roman" w:hAnsi="Times New Roman"/>
                <w:sz w:val="18"/>
              </w:rPr>
              <w:t>Ambiguity / Context Gap</w:t>
            </w:r>
          </w:p>
        </w:tc>
        <w:tc>
          <w:tcPr>
            <w:tcW w:type="dxa" w:w="3360"/>
            <w:shd w:val="clear" w:color="auto" w:fill="FFFFFF"/>
          </w:tcPr>
          <w:p>
            <w:r>
              <w:rPr>
                <w:rFonts w:ascii="Times New Roman" w:hAnsi="Times New Roman"/>
                <w:sz w:val="18"/>
              </w:rPr>
              <w:t>Relevance score &lt; 0.70 on initial retrieval</w:t>
            </w:r>
          </w:p>
        </w:tc>
        <w:tc>
          <w:tcPr>
            <w:tcW w:type="dxa" w:w="3360"/>
            <w:shd w:val="clear" w:color="auto" w:fill="FFFFFF"/>
          </w:tcPr>
          <w:p>
            <w:r>
              <w:rPr>
                <w:rFonts w:ascii="Times New Roman" w:hAnsi="Times New Roman"/>
                <w:sz w:val="18"/>
              </w:rPr>
              <w:t>Node 2: reformulate + re-query ChromaDB</w:t>
            </w:r>
          </w:p>
        </w:tc>
      </w:tr>
      <w:tr>
        <w:tc>
          <w:tcPr>
            <w:tcW w:type="dxa" w:w="3360"/>
            <w:shd w:val="clear" w:color="auto" w:fill="EBF0FA"/>
          </w:tcPr>
          <w:p>
            <w:r>
              <w:rPr>
                <w:rFonts w:ascii="Times New Roman" w:hAnsi="Times New Roman"/>
                <w:sz w:val="18"/>
              </w:rPr>
              <w:t>Second Retrieval Attempt</w:t>
            </w:r>
          </w:p>
        </w:tc>
        <w:tc>
          <w:tcPr>
            <w:tcW w:type="dxa" w:w="3360"/>
            <w:shd w:val="clear" w:color="auto" w:fill="EBF0FA"/>
          </w:tcPr>
          <w:p>
            <w:r>
              <w:rPr>
                <w:rFonts w:ascii="Times New Roman" w:hAnsi="Times New Roman"/>
                <w:sz w:val="18"/>
              </w:rPr>
              <w:t>Reformulated query still below threshold</w:t>
            </w:r>
          </w:p>
        </w:tc>
        <w:tc>
          <w:tcPr>
            <w:tcW w:type="dxa" w:w="3360"/>
            <w:shd w:val="clear" w:color="auto" w:fill="EBF0FA"/>
          </w:tcPr>
          <w:p>
            <w:r>
              <w:rPr>
                <w:rFonts w:ascii="Times New Roman" w:hAnsi="Times New Roman"/>
                <w:sz w:val="18"/>
              </w:rPr>
              <w:t>Node 2: query live scraper batch index</w:t>
            </w:r>
          </w:p>
        </w:tc>
      </w:tr>
      <w:tr>
        <w:tc>
          <w:tcPr>
            <w:tcW w:type="dxa" w:w="3360"/>
            <w:shd w:val="clear" w:color="auto" w:fill="FFFFFF"/>
          </w:tcPr>
          <w:p>
            <w:r>
              <w:rPr>
                <w:rFonts w:ascii="Times New Roman" w:hAnsi="Times New Roman"/>
                <w:sz w:val="18"/>
              </w:rPr>
              <w:t>Max Retries Exceeded</w:t>
            </w:r>
          </w:p>
        </w:tc>
        <w:tc>
          <w:tcPr>
            <w:tcW w:type="dxa" w:w="3360"/>
            <w:shd w:val="clear" w:color="auto" w:fill="FFFFFF"/>
          </w:tcPr>
          <w:p>
            <w:r>
              <w:rPr>
                <w:rFonts w:ascii="Times New Roman" w:hAnsi="Times New Roman"/>
                <w:sz w:val="18"/>
              </w:rPr>
              <w:t>Failure after MAX_RETRY_COUNT attempts</w:t>
            </w:r>
          </w:p>
        </w:tc>
        <w:tc>
          <w:tcPr>
            <w:tcW w:type="dxa" w:w="3360"/>
            <w:shd w:val="clear" w:color="auto" w:fill="FFFFFF"/>
          </w:tcPr>
          <w:p>
            <w:r>
              <w:rPr>
                <w:rFonts w:ascii="Times New Roman" w:hAnsi="Times New Roman"/>
                <w:sz w:val="18"/>
              </w:rPr>
              <w:t>Route to Escalation Handler</w:t>
            </w:r>
          </w:p>
        </w:tc>
      </w:tr>
      <w:tr>
        <w:tc>
          <w:tcPr>
            <w:tcW w:type="dxa" w:w="3360"/>
            <w:shd w:val="clear" w:color="auto" w:fill="EBF0FA"/>
          </w:tcPr>
          <w:p>
            <w:r>
              <w:rPr>
                <w:rFonts w:ascii="Times New Roman" w:hAnsi="Times New Roman"/>
                <w:sz w:val="18"/>
              </w:rPr>
              <w:t>Factuality Check</w:t>
            </w:r>
          </w:p>
        </w:tc>
        <w:tc>
          <w:tcPr>
            <w:tcW w:type="dxa" w:w="3360"/>
            <w:shd w:val="clear" w:color="auto" w:fill="EBF0FA"/>
          </w:tcPr>
          <w:p>
            <w:r>
              <w:rPr>
                <w:rFonts w:ascii="Times New Roman" w:hAnsi="Times New Roman"/>
                <w:sz w:val="18"/>
              </w:rPr>
              <w:t>Generated facts lack direct grounding</w:t>
            </w:r>
          </w:p>
        </w:tc>
        <w:tc>
          <w:tcPr>
            <w:tcW w:type="dxa" w:w="3360"/>
            <w:shd w:val="clear" w:color="auto" w:fill="EBF0FA"/>
          </w:tcPr>
          <w:p>
            <w:r>
              <w:rPr>
                <w:rFonts w:ascii="Times New Roman" w:hAnsi="Times New Roman"/>
                <w:sz w:val="18"/>
              </w:rPr>
              <w:t>Reject draft; re-invoke Node 3 with temperature ↓</w:t>
            </w:r>
          </w:p>
        </w:tc>
      </w:tr>
      <w:tr>
        <w:tc>
          <w:tcPr>
            <w:tcW w:type="dxa" w:w="3360"/>
            <w:shd w:val="clear" w:color="auto" w:fill="FFFFFF"/>
          </w:tcPr>
          <w:p>
            <w:r>
              <w:rPr>
                <w:rFonts w:ascii="Times New Roman" w:hAnsi="Times New Roman"/>
                <w:sz w:val="18"/>
              </w:rPr>
              <w:t>Language Verification</w:t>
            </w:r>
          </w:p>
        </w:tc>
        <w:tc>
          <w:tcPr>
            <w:tcW w:type="dxa" w:w="3360"/>
            <w:shd w:val="clear" w:color="auto" w:fill="FFFFFF"/>
          </w:tcPr>
          <w:p>
            <w:r>
              <w:rPr>
                <w:rFonts w:ascii="Times New Roman" w:hAnsi="Times New Roman"/>
                <w:sz w:val="18"/>
              </w:rPr>
              <w:t>Draft language ≠ detected query language</w:t>
            </w:r>
          </w:p>
        </w:tc>
        <w:tc>
          <w:tcPr>
            <w:tcW w:type="dxa" w:w="3360"/>
            <w:shd w:val="clear" w:color="auto" w:fill="FFFFFF"/>
          </w:tcPr>
          <w:p>
            <w:r>
              <w:rPr>
                <w:rFonts w:ascii="Times New Roman" w:hAnsi="Times New Roman"/>
                <w:sz w:val="18"/>
              </w:rPr>
              <w:t>Node 5: alignment pass preserving citation tags</w:t>
            </w:r>
          </w:p>
        </w:tc>
      </w:tr>
    </w:tbl>
    <w:p/>
    <w:p>
      <w:pPr>
        <w:spacing w:before="120" w:after="40"/>
        <w:jc w:val="left"/>
      </w:pPr>
      <w:r>
        <w:rPr>
          <w:rFonts w:ascii="Times New Roman" w:hAnsi="Times New Roman"/>
          <w:b/>
          <w:i/>
          <w:sz w:val="20"/>
        </w:rPr>
        <w:t>E. Frontend and Infrastructure</w:t>
      </w:r>
    </w:p>
    <w:p>
      <w:pPr>
        <w:spacing w:before="0" w:after="80" w:line="240" w:lineRule="exact"/>
        <w:ind w:firstLine="280"/>
        <w:jc w:val="both"/>
      </w:pPr>
      <w:r>
        <w:rPr>
          <w:rFonts w:ascii="Times New Roman" w:hAnsi="Times New Roman"/>
          <w:sz w:val="20"/>
        </w:rPr>
        <w:t>The student-facing interface is a ReactJS application styled with Tailwind CSS. The chat window renders bot and user messages in separate bubbles; each bot message is accompanied by CitationCard components displaying the circular title, issuing department, publication date, and page number, with a link that opens the source PDF directly to the cited page. When the escalation handler triggers, an EscalationCard component renders the office contact details in place of a chatbot response.</w:t>
      </w:r>
    </w:p>
    <w:p>
      <w:pPr>
        <w:spacing w:before="0" w:after="80" w:line="240" w:lineRule="exact"/>
        <w:ind w:firstLine="280"/>
        <w:jc w:val="both"/>
      </w:pPr>
      <w:r>
        <w:rPr>
          <w:rFonts w:ascii="Times New Roman" w:hAnsi="Times New Roman"/>
          <w:sz w:val="20"/>
        </w:rPr>
        <w:t>The backend is a Python Flask REST API exposing four endpoints: POST /api/chat (invokes the LangGraph agent), GET /api/health (verifies Ollama and ChromaDB status), GET /api/unresolved (returns the escalation ticket backlog for administrative staff), and POST /api/feedback (records student rating of each response). All session history, query logs, retrieval scores, latency measurements, and escalation events are persisted in SQLite via SQLAlchemy.</w:t>
      </w:r>
    </w:p>
    <w:p/>
    <w:p>
      <w:pPr>
        <w:spacing w:before="80" w:after="160"/>
        <w:jc w:val="center"/>
      </w:pPr>
      <w:r>
        <w:rPr>
          <w:rFonts w:ascii="Times New Roman" w:hAnsi="Times New Roman"/>
          <w:b/>
          <w:sz w:val="18"/>
        </w:rPr>
        <w:t>TABLE II: System Technology Stack</w:t>
      </w:r>
    </w:p>
    <w:tbl>
      <w:tblPr>
        <w:tblStyle w:val="TableGrid"/>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160"/>
        <w:gridCol w:w="4032"/>
        <w:gridCol w:w="2016"/>
      </w:tblGrid>
      <w:tr>
        <w:tc>
          <w:tcPr>
            <w:tcW w:type="dxa" w:w="3360"/>
            <w:shd w:val="clear" w:color="auto" w:fill="1F3864"/>
          </w:tcPr>
          <w:p>
            <w:pPr>
              <w:jc w:val="center"/>
            </w:pPr>
            <w:r>
              <w:rPr>
                <w:rFonts w:ascii="Times New Roman" w:hAnsi="Times New Roman"/>
                <w:b/>
                <w:color w:val="FFFFFF"/>
                <w:sz w:val="18"/>
              </w:rPr>
              <w:t>System Layer</w:t>
            </w:r>
          </w:p>
        </w:tc>
        <w:tc>
          <w:tcPr>
            <w:tcW w:type="dxa" w:w="3360"/>
            <w:shd w:val="clear" w:color="auto" w:fill="1F3864"/>
          </w:tcPr>
          <w:p>
            <w:pPr>
              <w:jc w:val="center"/>
            </w:pPr>
            <w:r>
              <w:rPr>
                <w:rFonts w:ascii="Times New Roman" w:hAnsi="Times New Roman"/>
                <w:b/>
                <w:color w:val="FFFFFF"/>
                <w:sz w:val="18"/>
              </w:rPr>
              <w:t>Component</w:t>
            </w:r>
          </w:p>
        </w:tc>
        <w:tc>
          <w:tcPr>
            <w:tcW w:type="dxa" w:w="3360"/>
            <w:shd w:val="clear" w:color="auto" w:fill="1F3864"/>
          </w:tcPr>
          <w:p>
            <w:pPr>
              <w:jc w:val="center"/>
            </w:pPr>
            <w:r>
              <w:rPr>
                <w:rFonts w:ascii="Times New Roman" w:hAnsi="Times New Roman"/>
                <w:b/>
                <w:color w:val="FFFFFF"/>
                <w:sz w:val="18"/>
              </w:rPr>
              <w:t>Reference</w:t>
            </w:r>
          </w:p>
        </w:tc>
      </w:tr>
      <w:tr>
        <w:tc>
          <w:tcPr>
            <w:tcW w:type="dxa" w:w="3360"/>
            <w:shd w:val="clear" w:color="auto" w:fill="EBF0FA"/>
          </w:tcPr>
          <w:p>
            <w:r>
              <w:rPr>
                <w:rFonts w:ascii="Times New Roman" w:hAnsi="Times New Roman"/>
                <w:sz w:val="18"/>
              </w:rPr>
              <w:t>Generation LLM</w:t>
            </w:r>
          </w:p>
        </w:tc>
        <w:tc>
          <w:tcPr>
            <w:tcW w:type="dxa" w:w="3360"/>
            <w:shd w:val="clear" w:color="auto" w:fill="EBF0FA"/>
          </w:tcPr>
          <w:p>
            <w:r>
              <w:rPr>
                <w:rFonts w:ascii="Times New Roman" w:hAnsi="Times New Roman"/>
                <w:sz w:val="18"/>
              </w:rPr>
              <w:t>Mistral 7B Instruct (open weights, Apache 2.0)</w:t>
            </w:r>
          </w:p>
        </w:tc>
        <w:tc>
          <w:tcPr>
            <w:tcW w:type="dxa" w:w="3360"/>
            <w:shd w:val="clear" w:color="auto" w:fill="EBF0FA"/>
          </w:tcPr>
          <w:p>
            <w:r>
              <w:rPr>
                <w:rFonts w:ascii="Times New Roman" w:hAnsi="Times New Roman"/>
                <w:sz w:val="18"/>
              </w:rPr>
              <w:t>Jiang et al. [12]</w:t>
            </w:r>
          </w:p>
        </w:tc>
      </w:tr>
      <w:tr>
        <w:tc>
          <w:tcPr>
            <w:tcW w:type="dxa" w:w="3360"/>
            <w:shd w:val="clear" w:color="auto" w:fill="FFFFFF"/>
          </w:tcPr>
          <w:p>
            <w:r>
              <w:rPr>
                <w:rFonts w:ascii="Times New Roman" w:hAnsi="Times New Roman"/>
                <w:sz w:val="18"/>
              </w:rPr>
              <w:t>OCR — Digital PDF</w:t>
            </w:r>
          </w:p>
        </w:tc>
        <w:tc>
          <w:tcPr>
            <w:tcW w:type="dxa" w:w="3360"/>
            <w:shd w:val="clear" w:color="auto" w:fill="FFFFFF"/>
          </w:tcPr>
          <w:p>
            <w:r>
              <w:rPr>
                <w:rFonts w:ascii="Times New Roman" w:hAnsi="Times New Roman"/>
                <w:sz w:val="18"/>
              </w:rPr>
              <w:t>PyMuPDF</w:t>
            </w:r>
          </w:p>
        </w:tc>
        <w:tc>
          <w:tcPr>
            <w:tcW w:type="dxa" w:w="3360"/>
            <w:shd w:val="clear" w:color="auto" w:fill="FFFFFF"/>
          </w:tcPr>
          <w:p>
            <w:r>
              <w:rPr>
                <w:rFonts w:ascii="Times New Roman" w:hAnsi="Times New Roman"/>
                <w:sz w:val="18"/>
              </w:rPr>
              <w:t>[6]</w:t>
            </w:r>
          </w:p>
        </w:tc>
      </w:tr>
      <w:tr>
        <w:tc>
          <w:tcPr>
            <w:tcW w:type="dxa" w:w="3360"/>
            <w:shd w:val="clear" w:color="auto" w:fill="EBF0FA"/>
          </w:tcPr>
          <w:p>
            <w:r>
              <w:rPr>
                <w:rFonts w:ascii="Times New Roman" w:hAnsi="Times New Roman"/>
                <w:sz w:val="18"/>
              </w:rPr>
              <w:t>OCR — Clean Scans</w:t>
            </w:r>
          </w:p>
        </w:tc>
        <w:tc>
          <w:tcPr>
            <w:tcW w:type="dxa" w:w="3360"/>
            <w:shd w:val="clear" w:color="auto" w:fill="EBF0FA"/>
          </w:tcPr>
          <w:p>
            <w:r>
              <w:rPr>
                <w:rFonts w:ascii="Times New Roman" w:hAnsi="Times New Roman"/>
                <w:sz w:val="18"/>
              </w:rPr>
              <w:t>Tesseract 5.x + OpenCV</w:t>
            </w:r>
          </w:p>
        </w:tc>
        <w:tc>
          <w:tcPr>
            <w:tcW w:type="dxa" w:w="3360"/>
            <w:shd w:val="clear" w:color="auto" w:fill="EBF0FA"/>
          </w:tcPr>
          <w:p>
            <w:r>
              <w:rPr>
                <w:rFonts w:ascii="Times New Roman" w:hAnsi="Times New Roman"/>
                <w:sz w:val="18"/>
              </w:rPr>
              <w:t>Smith [7]</w:t>
            </w:r>
          </w:p>
        </w:tc>
      </w:tr>
      <w:tr>
        <w:tc>
          <w:tcPr>
            <w:tcW w:type="dxa" w:w="3360"/>
            <w:shd w:val="clear" w:color="auto" w:fill="FFFFFF"/>
          </w:tcPr>
          <w:p>
            <w:r>
              <w:rPr>
                <w:rFonts w:ascii="Times New Roman" w:hAnsi="Times New Roman"/>
                <w:sz w:val="18"/>
              </w:rPr>
              <w:t>OCR — Noisy Images</w:t>
            </w:r>
          </w:p>
        </w:tc>
        <w:tc>
          <w:tcPr>
            <w:tcW w:type="dxa" w:w="3360"/>
            <w:shd w:val="clear" w:color="auto" w:fill="FFFFFF"/>
          </w:tcPr>
          <w:p>
            <w:r>
              <w:rPr>
                <w:rFonts w:ascii="Times New Roman" w:hAnsi="Times New Roman"/>
                <w:sz w:val="18"/>
              </w:rPr>
              <w:t>Pixtral-12B (open weights)</w:t>
            </w:r>
          </w:p>
        </w:tc>
        <w:tc>
          <w:tcPr>
            <w:tcW w:type="dxa" w:w="3360"/>
            <w:shd w:val="clear" w:color="auto" w:fill="FFFFFF"/>
          </w:tcPr>
          <w:p>
            <w:r>
              <w:rPr>
                <w:rFonts w:ascii="Times New Roman" w:hAnsi="Times New Roman"/>
                <w:sz w:val="18"/>
              </w:rPr>
              <w:t>Agrawal et al. [8]</w:t>
            </w:r>
          </w:p>
        </w:tc>
      </w:tr>
      <w:tr>
        <w:tc>
          <w:tcPr>
            <w:tcW w:type="dxa" w:w="3360"/>
            <w:shd w:val="clear" w:color="auto" w:fill="EBF0FA"/>
          </w:tcPr>
          <w:p>
            <w:r>
              <w:rPr>
                <w:rFonts w:ascii="Times New Roman" w:hAnsi="Times New Roman"/>
                <w:sz w:val="18"/>
              </w:rPr>
              <w:t>Dense Embedder</w:t>
            </w:r>
          </w:p>
        </w:tc>
        <w:tc>
          <w:tcPr>
            <w:tcW w:type="dxa" w:w="3360"/>
            <w:shd w:val="clear" w:color="auto" w:fill="EBF0FA"/>
          </w:tcPr>
          <w:p>
            <w:r>
              <w:rPr>
                <w:rFonts w:ascii="Times New Roman" w:hAnsi="Times New Roman"/>
                <w:sz w:val="18"/>
              </w:rPr>
              <w:t>BGE-M3 (BAAI, open weights)</w:t>
            </w:r>
          </w:p>
        </w:tc>
        <w:tc>
          <w:tcPr>
            <w:tcW w:type="dxa" w:w="3360"/>
            <w:shd w:val="clear" w:color="auto" w:fill="EBF0FA"/>
          </w:tcPr>
          <w:p>
            <w:r>
              <w:rPr>
                <w:rFonts w:ascii="Times New Roman" w:hAnsi="Times New Roman"/>
                <w:sz w:val="18"/>
              </w:rPr>
              <w:t>Chen et al. [9]</w:t>
            </w:r>
          </w:p>
        </w:tc>
      </w:tr>
      <w:tr>
        <w:tc>
          <w:tcPr>
            <w:tcW w:type="dxa" w:w="3360"/>
            <w:shd w:val="clear" w:color="auto" w:fill="FFFFFF"/>
          </w:tcPr>
          <w:p>
            <w:r>
              <w:rPr>
                <w:rFonts w:ascii="Times New Roman" w:hAnsi="Times New Roman"/>
                <w:sz w:val="18"/>
              </w:rPr>
              <w:t>Sparse Search</w:t>
            </w:r>
          </w:p>
        </w:tc>
        <w:tc>
          <w:tcPr>
            <w:tcW w:type="dxa" w:w="3360"/>
            <w:shd w:val="clear" w:color="auto" w:fill="FFFFFF"/>
          </w:tcPr>
          <w:p>
            <w:r>
              <w:rPr>
                <w:rFonts w:ascii="Times New Roman" w:hAnsi="Times New Roman"/>
                <w:sz w:val="18"/>
              </w:rPr>
              <w:t>BM25 Okapi (rank-bm25)</w:t>
            </w:r>
          </w:p>
        </w:tc>
        <w:tc>
          <w:tcPr>
            <w:tcW w:type="dxa" w:w="3360"/>
            <w:shd w:val="clear" w:color="auto" w:fill="FFFFFF"/>
          </w:tcPr>
          <w:p>
            <w:r>
              <w:rPr>
                <w:rFonts w:ascii="Times New Roman" w:hAnsi="Times New Roman"/>
                <w:sz w:val="18"/>
              </w:rPr>
              <w:t>Robertson et al. [10]</w:t>
            </w:r>
          </w:p>
        </w:tc>
      </w:tr>
      <w:tr>
        <w:tc>
          <w:tcPr>
            <w:tcW w:type="dxa" w:w="3360"/>
            <w:shd w:val="clear" w:color="auto" w:fill="EBF0FA"/>
          </w:tcPr>
          <w:p>
            <w:r>
              <w:rPr>
                <w:rFonts w:ascii="Times New Roman" w:hAnsi="Times New Roman"/>
                <w:sz w:val="18"/>
              </w:rPr>
              <w:t>Rank Fusion</w:t>
            </w:r>
          </w:p>
        </w:tc>
        <w:tc>
          <w:tcPr>
            <w:tcW w:type="dxa" w:w="3360"/>
            <w:shd w:val="clear" w:color="auto" w:fill="EBF0FA"/>
          </w:tcPr>
          <w:p>
            <w:r>
              <w:rPr>
                <w:rFonts w:ascii="Times New Roman" w:hAnsi="Times New Roman"/>
                <w:sz w:val="18"/>
              </w:rPr>
              <w:t>Reciprocal Rank Fusion, k=60</w:t>
            </w:r>
          </w:p>
        </w:tc>
        <w:tc>
          <w:tcPr>
            <w:tcW w:type="dxa" w:w="3360"/>
            <w:shd w:val="clear" w:color="auto" w:fill="EBF0FA"/>
          </w:tcPr>
          <w:p>
            <w:r>
              <w:rPr>
                <w:rFonts w:ascii="Times New Roman" w:hAnsi="Times New Roman"/>
                <w:sz w:val="18"/>
              </w:rPr>
              <w:t>Cormack et al. [11]</w:t>
            </w:r>
          </w:p>
        </w:tc>
      </w:tr>
      <w:tr>
        <w:tc>
          <w:tcPr>
            <w:tcW w:type="dxa" w:w="3360"/>
            <w:shd w:val="clear" w:color="auto" w:fill="FFFFFF"/>
          </w:tcPr>
          <w:p>
            <w:r>
              <w:rPr>
                <w:rFonts w:ascii="Times New Roman" w:hAnsi="Times New Roman"/>
                <w:sz w:val="18"/>
              </w:rPr>
              <w:t>Re-Ranker</w:t>
            </w:r>
          </w:p>
        </w:tc>
        <w:tc>
          <w:tcPr>
            <w:tcW w:type="dxa" w:w="3360"/>
            <w:shd w:val="clear" w:color="auto" w:fill="FFFFFF"/>
          </w:tcPr>
          <w:p>
            <w:r>
              <w:rPr>
                <w:rFonts w:ascii="Times New Roman" w:hAnsi="Times New Roman"/>
                <w:sz w:val="18"/>
              </w:rPr>
              <w:t>BAAI/bge-reranker-v2-m3</w:t>
            </w:r>
          </w:p>
        </w:tc>
        <w:tc>
          <w:tcPr>
            <w:tcW w:type="dxa" w:w="3360"/>
            <w:shd w:val="clear" w:color="auto" w:fill="FFFFFF"/>
          </w:tcPr>
          <w:p>
            <w:r>
              <w:rPr>
                <w:rFonts w:ascii="Times New Roman" w:hAnsi="Times New Roman"/>
                <w:sz w:val="18"/>
              </w:rPr>
              <w:t>Chen et al. [9]</w:t>
            </w:r>
          </w:p>
        </w:tc>
      </w:tr>
      <w:tr>
        <w:tc>
          <w:tcPr>
            <w:tcW w:type="dxa" w:w="3360"/>
            <w:shd w:val="clear" w:color="auto" w:fill="EBF0FA"/>
          </w:tcPr>
          <w:p>
            <w:r>
              <w:rPr>
                <w:rFonts w:ascii="Times New Roman" w:hAnsi="Times New Roman"/>
                <w:sz w:val="18"/>
              </w:rPr>
              <w:t>Orchestration</w:t>
            </w:r>
          </w:p>
        </w:tc>
        <w:tc>
          <w:tcPr>
            <w:tcW w:type="dxa" w:w="3360"/>
            <w:shd w:val="clear" w:color="auto" w:fill="EBF0FA"/>
          </w:tcPr>
          <w:p>
            <w:r>
              <w:rPr>
                <w:rFonts w:ascii="Times New Roman" w:hAnsi="Times New Roman"/>
                <w:sz w:val="18"/>
              </w:rPr>
              <w:t>LangGraph + LangChain</w:t>
            </w:r>
          </w:p>
        </w:tc>
        <w:tc>
          <w:tcPr>
            <w:tcW w:type="dxa" w:w="3360"/>
            <w:shd w:val="clear" w:color="auto" w:fill="EBF0FA"/>
          </w:tcPr>
          <w:p>
            <w:r>
              <w:rPr>
                <w:rFonts w:ascii="Times New Roman" w:hAnsi="Times New Roman"/>
                <w:sz w:val="18"/>
              </w:rPr>
              <w:t>[1]</w:t>
            </w:r>
          </w:p>
        </w:tc>
      </w:tr>
      <w:tr>
        <w:tc>
          <w:tcPr>
            <w:tcW w:type="dxa" w:w="3360"/>
            <w:shd w:val="clear" w:color="auto" w:fill="FFFFFF"/>
          </w:tcPr>
          <w:p>
            <w:r>
              <w:rPr>
                <w:rFonts w:ascii="Times New Roman" w:hAnsi="Times New Roman"/>
                <w:sz w:val="18"/>
              </w:rPr>
              <w:t>Vector Store</w:t>
            </w:r>
          </w:p>
        </w:tc>
        <w:tc>
          <w:tcPr>
            <w:tcW w:type="dxa" w:w="3360"/>
            <w:shd w:val="clear" w:color="auto" w:fill="FFFFFF"/>
          </w:tcPr>
          <w:p>
            <w:r>
              <w:rPr>
                <w:rFonts w:ascii="Times New Roman" w:hAnsi="Times New Roman"/>
                <w:sz w:val="18"/>
              </w:rPr>
              <w:t>ChromaDB (persistent)</w:t>
            </w:r>
          </w:p>
        </w:tc>
        <w:tc>
          <w:tcPr>
            <w:tcW w:type="dxa" w:w="3360"/>
            <w:shd w:val="clear" w:color="auto" w:fill="FFFFFF"/>
          </w:tcPr>
          <w:p>
            <w:r>
              <w:rPr>
                <w:rFonts w:ascii="Times New Roman" w:hAnsi="Times New Roman"/>
                <w:sz w:val="18"/>
              </w:rPr>
              <w:t>—</w:t>
            </w:r>
          </w:p>
        </w:tc>
      </w:tr>
      <w:tr>
        <w:tc>
          <w:tcPr>
            <w:tcW w:type="dxa" w:w="3360"/>
            <w:shd w:val="clear" w:color="auto" w:fill="EBF0FA"/>
          </w:tcPr>
          <w:p>
            <w:r>
              <w:rPr>
                <w:rFonts w:ascii="Times New Roman" w:hAnsi="Times New Roman"/>
                <w:sz w:val="18"/>
              </w:rPr>
              <w:t>Relational DB</w:t>
            </w:r>
          </w:p>
        </w:tc>
        <w:tc>
          <w:tcPr>
            <w:tcW w:type="dxa" w:w="3360"/>
            <w:shd w:val="clear" w:color="auto" w:fill="EBF0FA"/>
          </w:tcPr>
          <w:p>
            <w:r>
              <w:rPr>
                <w:rFonts w:ascii="Times New Roman" w:hAnsi="Times New Roman"/>
                <w:sz w:val="18"/>
              </w:rPr>
              <w:t>SQLite + SQLAlchemy</w:t>
            </w:r>
          </w:p>
        </w:tc>
        <w:tc>
          <w:tcPr>
            <w:tcW w:type="dxa" w:w="3360"/>
            <w:shd w:val="clear" w:color="auto" w:fill="EBF0FA"/>
          </w:tcPr>
          <w:p>
            <w:r>
              <w:rPr>
                <w:rFonts w:ascii="Times New Roman" w:hAnsi="Times New Roman"/>
                <w:sz w:val="18"/>
              </w:rPr>
              <w:t>—</w:t>
            </w:r>
          </w:p>
        </w:tc>
      </w:tr>
      <w:tr>
        <w:tc>
          <w:tcPr>
            <w:tcW w:type="dxa" w:w="3360"/>
            <w:shd w:val="clear" w:color="auto" w:fill="FFFFFF"/>
          </w:tcPr>
          <w:p>
            <w:r>
              <w:rPr>
                <w:rFonts w:ascii="Times New Roman" w:hAnsi="Times New Roman"/>
                <w:sz w:val="18"/>
              </w:rPr>
              <w:t>Language Detection</w:t>
            </w:r>
          </w:p>
        </w:tc>
        <w:tc>
          <w:tcPr>
            <w:tcW w:type="dxa" w:w="3360"/>
            <w:shd w:val="clear" w:color="auto" w:fill="FFFFFF"/>
          </w:tcPr>
          <w:p>
            <w:r>
              <w:rPr>
                <w:rFonts w:ascii="Times New Roman" w:hAnsi="Times New Roman"/>
                <w:sz w:val="18"/>
              </w:rPr>
              <w:t>lingua-py</w:t>
            </w:r>
          </w:p>
        </w:tc>
        <w:tc>
          <w:tcPr>
            <w:tcW w:type="dxa" w:w="3360"/>
            <w:shd w:val="clear" w:color="auto" w:fill="FFFFFF"/>
          </w:tcPr>
          <w:p>
            <w:r>
              <w:rPr>
                <w:rFonts w:ascii="Times New Roman" w:hAnsi="Times New Roman"/>
                <w:sz w:val="18"/>
              </w:rPr>
              <w:t>—</w:t>
            </w:r>
          </w:p>
        </w:tc>
      </w:tr>
      <w:tr>
        <w:tc>
          <w:tcPr>
            <w:tcW w:type="dxa" w:w="3360"/>
            <w:shd w:val="clear" w:color="auto" w:fill="EBF0FA"/>
          </w:tcPr>
          <w:p>
            <w:r>
              <w:rPr>
                <w:rFonts w:ascii="Times New Roman" w:hAnsi="Times New Roman"/>
                <w:sz w:val="18"/>
              </w:rPr>
              <w:t>Hinglish Normalization</w:t>
            </w:r>
          </w:p>
        </w:tc>
        <w:tc>
          <w:tcPr>
            <w:tcW w:type="dxa" w:w="3360"/>
            <w:shd w:val="clear" w:color="auto" w:fill="EBF0FA"/>
          </w:tcPr>
          <w:p>
            <w:r>
              <w:rPr>
                <w:rFonts w:ascii="Times New Roman" w:hAnsi="Times New Roman"/>
                <w:sz w:val="18"/>
              </w:rPr>
              <w:t>indic-transliteration + custom lexicon</w:t>
            </w:r>
          </w:p>
        </w:tc>
        <w:tc>
          <w:tcPr>
            <w:tcW w:type="dxa" w:w="3360"/>
            <w:shd w:val="clear" w:color="auto" w:fill="EBF0FA"/>
          </w:tcPr>
          <w:p>
            <w:r>
              <w:rPr>
                <w:rFonts w:ascii="Times New Roman" w:hAnsi="Times New Roman"/>
                <w:sz w:val="18"/>
              </w:rPr>
              <w:t>[2], [4]</w:t>
            </w:r>
          </w:p>
        </w:tc>
      </w:tr>
      <w:tr>
        <w:tc>
          <w:tcPr>
            <w:tcW w:type="dxa" w:w="3360"/>
            <w:shd w:val="clear" w:color="auto" w:fill="FFFFFF"/>
          </w:tcPr>
          <w:p>
            <w:r>
              <w:rPr>
                <w:rFonts w:ascii="Times New Roman" w:hAnsi="Times New Roman"/>
                <w:sz w:val="18"/>
              </w:rPr>
              <w:t>Web Scraper</w:t>
            </w:r>
          </w:p>
        </w:tc>
        <w:tc>
          <w:tcPr>
            <w:tcW w:type="dxa" w:w="3360"/>
            <w:shd w:val="clear" w:color="auto" w:fill="FFFFFF"/>
          </w:tcPr>
          <w:p>
            <w:r>
              <w:rPr>
                <w:rFonts w:ascii="Times New Roman" w:hAnsi="Times New Roman"/>
                <w:sz w:val="18"/>
              </w:rPr>
              <w:t>BeautifulSoup4 (offline batch)</w:t>
            </w:r>
          </w:p>
        </w:tc>
        <w:tc>
          <w:tcPr>
            <w:tcW w:type="dxa" w:w="3360"/>
            <w:shd w:val="clear" w:color="auto" w:fill="FFFFFF"/>
          </w:tcPr>
          <w:p>
            <w:r>
              <w:rPr>
                <w:rFonts w:ascii="Times New Roman" w:hAnsi="Times New Roman"/>
                <w:sz w:val="18"/>
              </w:rPr>
              <w:t>—</w:t>
            </w:r>
          </w:p>
        </w:tc>
      </w:tr>
      <w:tr>
        <w:tc>
          <w:tcPr>
            <w:tcW w:type="dxa" w:w="3360"/>
            <w:shd w:val="clear" w:color="auto" w:fill="EBF0FA"/>
          </w:tcPr>
          <w:p>
            <w:r>
              <w:rPr>
                <w:rFonts w:ascii="Times New Roman" w:hAnsi="Times New Roman"/>
                <w:sz w:val="18"/>
              </w:rPr>
              <w:t>Frontend</w:t>
            </w:r>
          </w:p>
        </w:tc>
        <w:tc>
          <w:tcPr>
            <w:tcW w:type="dxa" w:w="3360"/>
            <w:shd w:val="clear" w:color="auto" w:fill="EBF0FA"/>
          </w:tcPr>
          <w:p>
            <w:r>
              <w:rPr>
                <w:rFonts w:ascii="Times New Roman" w:hAnsi="Times New Roman"/>
                <w:sz w:val="18"/>
              </w:rPr>
              <w:t>ReactJS + Tailwind CSS</w:t>
            </w:r>
          </w:p>
        </w:tc>
        <w:tc>
          <w:tcPr>
            <w:tcW w:type="dxa" w:w="3360"/>
            <w:shd w:val="clear" w:color="auto" w:fill="EBF0FA"/>
          </w:tcPr>
          <w:p>
            <w:r>
              <w:rPr>
                <w:rFonts w:ascii="Times New Roman" w:hAnsi="Times New Roman"/>
                <w:sz w:val="18"/>
              </w:rPr>
              <w:t>—</w:t>
            </w:r>
          </w:p>
        </w:tc>
      </w:tr>
      <w:tr>
        <w:tc>
          <w:tcPr>
            <w:tcW w:type="dxa" w:w="3360"/>
            <w:shd w:val="clear" w:color="auto" w:fill="FFFFFF"/>
          </w:tcPr>
          <w:p>
            <w:r>
              <w:rPr>
                <w:rFonts w:ascii="Times New Roman" w:hAnsi="Times New Roman"/>
                <w:sz w:val="18"/>
              </w:rPr>
              <w:t>Backend API</w:t>
            </w:r>
          </w:p>
        </w:tc>
        <w:tc>
          <w:tcPr>
            <w:tcW w:type="dxa" w:w="3360"/>
            <w:shd w:val="clear" w:color="auto" w:fill="FFFFFF"/>
          </w:tcPr>
          <w:p>
            <w:r>
              <w:rPr>
                <w:rFonts w:ascii="Times New Roman" w:hAnsi="Times New Roman"/>
                <w:sz w:val="18"/>
              </w:rPr>
              <w:t>Python + Flask</w:t>
            </w:r>
          </w:p>
        </w:tc>
        <w:tc>
          <w:tcPr>
            <w:tcW w:type="dxa" w:w="3360"/>
            <w:shd w:val="clear" w:color="auto" w:fill="FFFFFF"/>
          </w:tcPr>
          <w:p>
            <w:r>
              <w:rPr>
                <w:rFonts w:ascii="Times New Roman" w:hAnsi="Times New Roman"/>
                <w:sz w:val="18"/>
              </w:rPr>
              <w:t>—</w:t>
            </w:r>
          </w:p>
        </w:tc>
      </w:tr>
      <w:tr>
        <w:tc>
          <w:tcPr>
            <w:tcW w:type="dxa" w:w="3360"/>
            <w:shd w:val="clear" w:color="auto" w:fill="EBF0FA"/>
          </w:tcPr>
          <w:p>
            <w:r>
              <w:rPr>
                <w:rFonts w:ascii="Times New Roman" w:hAnsi="Times New Roman"/>
                <w:sz w:val="18"/>
              </w:rPr>
              <w:t>Evaluation</w:t>
            </w:r>
          </w:p>
        </w:tc>
        <w:tc>
          <w:tcPr>
            <w:tcW w:type="dxa" w:w="3360"/>
            <w:shd w:val="clear" w:color="auto" w:fill="EBF0FA"/>
          </w:tcPr>
          <w:p>
            <w:r>
              <w:rPr>
                <w:rFonts w:ascii="Times New Roman" w:hAnsi="Times New Roman"/>
                <w:sz w:val="18"/>
              </w:rPr>
              <w:t>RAGAS Framework</w:t>
            </w:r>
          </w:p>
        </w:tc>
        <w:tc>
          <w:tcPr>
            <w:tcW w:type="dxa" w:w="3360"/>
            <w:shd w:val="clear" w:color="auto" w:fill="EBF0FA"/>
          </w:tcPr>
          <w:p>
            <w:r>
              <w:rPr>
                <w:rFonts w:ascii="Times New Roman" w:hAnsi="Times New Roman"/>
                <w:sz w:val="18"/>
              </w:rPr>
              <w:t>Es et al. [13]</w:t>
            </w:r>
          </w:p>
        </w:tc>
      </w:tr>
    </w:tbl>
    <w:p/>
    <w:p>
      <w:pPr>
        <w:spacing w:before="200" w:after="80"/>
        <w:jc w:val="center"/>
      </w:pPr>
      <w:r>
        <w:rPr>
          <w:rFonts w:ascii="Times New Roman" w:hAnsi="Times New Roman"/>
          <w:b/>
          <w:sz w:val="20"/>
        </w:rPr>
        <w:t>IV. EXPERIMENTAL SETUP</w:t>
      </w:r>
    </w:p>
    <w:p>
      <w:pPr>
        <w:spacing w:before="120" w:after="40"/>
        <w:jc w:val="left"/>
      </w:pPr>
      <w:r>
        <w:rPr>
          <w:rFonts w:ascii="Times New Roman" w:hAnsi="Times New Roman"/>
          <w:b/>
          <w:i/>
          <w:sz w:val="20"/>
        </w:rPr>
        <w:t>A. Dataset Construction</w:t>
      </w:r>
    </w:p>
    <w:p>
      <w:pPr>
        <w:spacing w:before="0" w:after="80" w:line="240" w:lineRule="exact"/>
        <w:ind w:firstLine="280"/>
        <w:jc w:val="both"/>
      </w:pPr>
      <w:r>
        <w:rPr>
          <w:rFonts w:ascii="Times New Roman" w:hAnsi="Times New Roman"/>
          <w:sz w:val="20"/>
        </w:rPr>
        <w:t>The absence of a publicly available benchmark dataset for Indian institutional notice-board OCR and multilingual academic Q&amp;A necessitates the construction of two purpose-built evaluation datasets.</w:t>
      </w:r>
    </w:p>
    <w:p>
      <w:pPr>
        <w:spacing w:before="0" w:after="80" w:line="240" w:lineRule="exact"/>
        <w:ind w:firstLine="280"/>
        <w:jc w:val="both"/>
      </w:pPr>
      <w:r>
        <w:rPr>
          <w:rFonts w:ascii="Times New Roman" w:hAnsi="Times New Roman"/>
          <w:sz w:val="20"/>
        </w:rPr>
        <w:t>OCR Benchmark Dataset: A collection of 50 institutional notice images is assembled from MAIT administrative records, spanning three categories: (i) digitally authored PDFs converted to images, (ii) clean scans of printed circulars, and (iii) photographs of physical noticeboard postings. Ground-truth transcriptions are prepared manually by two independent annotators; inter-annotator agreement is measured using Cohen's Kappa. All three OCR paths are applied to the entire dataset regardless of the routing decision, enabling controlled comparison.</w:t>
      </w:r>
    </w:p>
    <w:p>
      <w:pPr>
        <w:spacing w:before="0" w:after="80" w:line="240" w:lineRule="exact"/>
        <w:ind w:firstLine="280"/>
        <w:jc w:val="both"/>
      </w:pPr>
      <w:r>
        <w:rPr>
          <w:rFonts w:ascii="Times New Roman" w:hAnsi="Times New Roman"/>
          <w:sz w:val="20"/>
        </w:rPr>
        <w:t>RAG Evaluation Dataset: A set of 200 question-answer pairs is constructed from verified MAIT institutional documents spanning five query categories: (i) fee payment deadlines, (ii) scholarship application procedures, (iii) examination schedules, (iv) eligibility criteria, and (v) form submission locations. Fifty of the 200 pairs are posed in Hindi or Romanized Hinglish to evaluate cross-lingual retrieval and generation. Ground-truth answers are extracted directly from source documents by human annotators.</w:t>
      </w:r>
    </w:p>
    <w:p>
      <w:pPr>
        <w:spacing w:before="120" w:after="40"/>
        <w:jc w:val="left"/>
      </w:pPr>
      <w:r>
        <w:rPr>
          <w:rFonts w:ascii="Times New Roman" w:hAnsi="Times New Roman"/>
          <w:b/>
          <w:i/>
          <w:sz w:val="20"/>
        </w:rPr>
        <w:t>B. Evaluation Metrics</w:t>
      </w:r>
    </w:p>
    <w:p>
      <w:pPr>
        <w:spacing w:before="0" w:after="80" w:line="240" w:lineRule="exact"/>
        <w:ind w:firstLine="280"/>
        <w:jc w:val="both"/>
      </w:pPr>
      <w:r>
        <w:rPr>
          <w:rFonts w:ascii="Times New Roman" w:hAnsi="Times New Roman"/>
          <w:sz w:val="20"/>
        </w:rPr>
        <w:t>OCR Evaluation: Character Error Rate (CER) measures the ratio of character-level edit distance to total characters in the ground-truth transcription. Word Error Rate (WER) measures the ratio of word-level edit distance to total words. Lower is better for both metrics.</w:t>
      </w:r>
    </w:p>
    <w:p>
      <w:pPr>
        <w:spacing w:before="0" w:after="80" w:line="240" w:lineRule="exact"/>
        <w:ind w:firstLine="280"/>
        <w:jc w:val="both"/>
      </w:pPr>
      <w:r>
        <w:rPr>
          <w:rFonts w:ascii="Times New Roman" w:hAnsi="Times New Roman"/>
          <w:sz w:val="20"/>
        </w:rPr>
        <w:t>RAG Evaluation (RAGAS Framework [13]): Faithfulness measures the fraction of claims in the generated answer that are directly supported by the retrieved context passages. Context Precision measures whether the ground-truth relevant passages appear in the top-3 retrieved context. Answer Relevance measures semantic similarity between the generated answer and the ground-truth answer.</w:t>
      </w:r>
    </w:p>
    <w:p>
      <w:pPr>
        <w:spacing w:before="0" w:after="80" w:line="240" w:lineRule="exact"/>
        <w:ind w:firstLine="280"/>
        <w:jc w:val="both"/>
      </w:pPr>
      <w:r>
        <w:rPr>
          <w:rFonts w:ascii="Times New Roman" w:hAnsi="Times New Roman"/>
          <w:sz w:val="20"/>
        </w:rPr>
        <w:t>Operational Metrics: Administrative Workload Deflection Rate measures the percentage of the 200 benchmark queries resolved by the bot without escalation (target: ≥ 80% [4]). Language Consistency Rate measures the percentage of Hindi/Hinglish queries that receive a response in the correct target language (target: ≥ 99%, versus the 73% baseline implied by the 27% drift rate in [2]). End-to-End Latency measures mean response time in milliseconds.</w:t>
      </w:r>
    </w:p>
    <w:p>
      <w:pPr>
        <w:spacing w:before="120" w:after="40"/>
        <w:jc w:val="left"/>
      </w:pPr>
      <w:r>
        <w:rPr>
          <w:rFonts w:ascii="Times New Roman" w:hAnsi="Times New Roman"/>
          <w:b/>
          <w:i/>
          <w:sz w:val="20"/>
        </w:rPr>
        <w:t>C. Baselines</w:t>
      </w:r>
    </w:p>
    <w:p>
      <w:pPr>
        <w:spacing w:before="0" w:after="80" w:line="240" w:lineRule="exact"/>
        <w:ind w:firstLine="280"/>
        <w:jc w:val="both"/>
      </w:pPr>
      <w:r>
        <w:rPr>
          <w:rFonts w:ascii="Times New Roman" w:hAnsi="Times New Roman"/>
          <w:sz w:val="20"/>
        </w:rPr>
        <w:t>Three baseline systems are evaluated against the proposed framework: (1) Naive RAG — Tesseract-only OCR, single ChromaDB dense index using BGE-M3, top-3 retrieval by cosine similarity, Mistral 7B generation with no verification, representing the standard single-pass pipeline [1]. (2) Hybrid RAG without Self-Correction — same adaptive OCR routing and BGE-M3 + BM25 + RRF retrieval, but Mistral 7B generation without LangGraph verification nodes. (3) Proposed System — full pipeline as described in Section III. Comparison across these three baselines isolates the individual contributions of adaptive OCR, hybrid retrieval, and the self-corrective LangGraph engine.</w:t>
      </w:r>
    </w:p>
    <w:p>
      <w:pPr>
        <w:spacing w:before="120" w:after="40"/>
        <w:jc w:val="left"/>
      </w:pPr>
      <w:r>
        <w:rPr>
          <w:rFonts w:ascii="Times New Roman" w:hAnsi="Times New Roman"/>
          <w:b/>
          <w:i/>
          <w:sz w:val="20"/>
        </w:rPr>
        <w:t>D. Implementation Details</w:t>
      </w:r>
    </w:p>
    <w:p>
      <w:pPr>
        <w:spacing w:before="0" w:after="80" w:line="240" w:lineRule="exact"/>
        <w:ind w:firstLine="280"/>
        <w:jc w:val="both"/>
      </w:pPr>
      <w:r>
        <w:rPr>
          <w:rFonts w:ascii="Times New Roman" w:hAnsi="Times New Roman"/>
          <w:sz w:val="20"/>
        </w:rPr>
        <w:t>All models are run locally using Ollama for LLM inference, ensuring no data is transmitted to external servers. BGE-M3 and the bge-reranker-v2-m3 cross-encoder are loaded via the sentence-transformers library. ChromaDB is configured with a persistent local storage path. The LangGraph workflow is compiled with a maximum retry count of 2 (MAX_RETRY_COUNT = 2) and a relevance threshold of 0.70 (RELEVANCE_THRESHOLD = 0.70). All hyperparameters are defined in a centralized config.py to facilitate reproducibility.</w:t>
      </w:r>
    </w:p>
    <w:p>
      <w:pPr>
        <w:spacing w:before="200" w:after="80"/>
        <w:jc w:val="center"/>
      </w:pPr>
      <w:r>
        <w:rPr>
          <w:rFonts w:ascii="Times New Roman" w:hAnsi="Times New Roman"/>
          <w:b/>
          <w:sz w:val="20"/>
        </w:rPr>
        <w:t>V. RESULTS AND DISCUSSION</w:t>
      </w:r>
    </w:p>
    <w:p>
      <w:pPr>
        <w:spacing w:before="0" w:after="80" w:line="240" w:lineRule="exact"/>
        <w:ind w:firstLine="280"/>
        <w:jc w:val="both"/>
      </w:pPr>
      <w:r>
        <w:rPr>
          <w:rFonts w:ascii="Times New Roman" w:hAnsi="Times New Roman"/>
          <w:sz w:val="20"/>
        </w:rPr>
        <w:t>[TO BE COMPLETED AFTER SYSTEM DEPLOYMENT AND EVALUATION]</w:t>
      </w:r>
    </w:p>
    <w:p>
      <w:pPr>
        <w:spacing w:before="0" w:after="80" w:line="240" w:lineRule="exact"/>
        <w:ind w:firstLine="280"/>
        <w:jc w:val="both"/>
      </w:pPr>
      <w:r>
        <w:rPr>
          <w:rFonts w:ascii="Times New Roman" w:hAnsi="Times New Roman"/>
          <w:sz w:val="20"/>
        </w:rPr>
        <w:t>Planned tables:</w:t>
      </w:r>
    </w:p>
    <w:p>
      <w:pPr>
        <w:pStyle w:val="ListBullet"/>
        <w:spacing w:before="0" w:after="40"/>
        <w:jc w:val="left"/>
      </w:pPr>
      <w:r>
        <w:rPr>
          <w:rFonts w:ascii="Times New Roman" w:hAnsi="Times New Roman"/>
          <w:i/>
          <w:sz w:val="20"/>
        </w:rPr>
        <w:t>Table III: OCR Accuracy Comparison — CER and WER across PyMuPDF, Tesseract 5.x, Pixtral-12B, and Adaptive Router</w:t>
      </w:r>
    </w:p>
    <w:p>
      <w:pPr>
        <w:pStyle w:val="ListBullet"/>
        <w:spacing w:before="0" w:after="40"/>
        <w:jc w:val="left"/>
      </w:pPr>
      <w:r>
        <w:rPr>
          <w:rFonts w:ascii="Times New Roman" w:hAnsi="Times New Roman"/>
          <w:i/>
          <w:sz w:val="20"/>
        </w:rPr>
        <w:t>Table IV: RAGAS Scores — Faithfulness, Context Precision, Answer Relevance (across three baselines)</w:t>
      </w:r>
    </w:p>
    <w:p>
      <w:pPr>
        <w:pStyle w:val="ListBullet"/>
        <w:spacing w:before="0" w:after="40"/>
        <w:jc w:val="left"/>
      </w:pPr>
      <w:r>
        <w:rPr>
          <w:rFonts w:ascii="Times New Roman" w:hAnsi="Times New Roman"/>
          <w:i/>
          <w:sz w:val="20"/>
        </w:rPr>
        <w:t>Table V: Language Consistency Rate and Administrative Workload Deflection Rate</w:t>
      </w:r>
    </w:p>
    <w:p>
      <w:pPr>
        <w:pStyle w:val="ListBullet"/>
        <w:spacing w:before="0" w:after="40"/>
        <w:jc w:val="left"/>
      </w:pPr>
      <w:r>
        <w:rPr>
          <w:rFonts w:ascii="Times New Roman" w:hAnsi="Times New Roman"/>
          <w:i/>
          <w:sz w:val="20"/>
        </w:rPr>
        <w:t>Table VI: Mean End-to-End Latency by Query Type</w:t>
      </w:r>
    </w:p>
    <w:p>
      <w:pPr>
        <w:spacing w:before="200" w:after="80"/>
        <w:jc w:val="center"/>
      </w:pPr>
      <w:r>
        <w:rPr>
          <w:rFonts w:ascii="Times New Roman" w:hAnsi="Times New Roman"/>
          <w:b/>
          <w:sz w:val="20"/>
        </w:rPr>
        <w:t>VI. CONCLUSION</w:t>
      </w:r>
    </w:p>
    <w:p>
      <w:pPr>
        <w:spacing w:before="0" w:after="80" w:line="240" w:lineRule="exact"/>
        <w:ind w:firstLine="280"/>
        <w:jc w:val="both"/>
      </w:pPr>
      <w:r>
        <w:rPr>
          <w:rFonts w:ascii="Times New Roman" w:hAnsi="Times New Roman"/>
          <w:sz w:val="20"/>
        </w:rPr>
        <w:t>This paper presents an agentic, self-corrective RAG framework for multilingual academic query resolution at institutional scale. The system makes four primary contributions over existing educational chatbot deployments [1]: (i) an adaptive OCR routing strategy that extends RAG to scanned institutional notices previously inaccessible to text-based pipelines, (ii) a two-step Hinglish normalization pipeline enabling retrieval over Romanized Hindi-English code-mixed queries, (iii) a hybrid BGE-M3 and BM25 retrieval architecture fused via RRF and re-ranked by a cross-encoder, and (iv) a five-node LangGraph self-corrective decision engine with grounded generation, factuality grading, and architectural language drift prevention.</w:t>
      </w:r>
    </w:p>
    <w:p>
      <w:pPr>
        <w:spacing w:before="0" w:after="80" w:line="240" w:lineRule="exact"/>
        <w:ind w:firstLine="280"/>
        <w:jc w:val="both"/>
      </w:pPr>
      <w:r>
        <w:rPr>
          <w:rFonts w:ascii="Times New Roman" w:hAnsi="Times New Roman"/>
          <w:sz w:val="20"/>
        </w:rPr>
        <w:t>The use of exclusively open-weight, locally deployable models — Mistral 7B Instruct [12], Pixtral-12B [8], and BGE-M3 [9] — ensures full reproducibility and institutional data privacy without dependence on proprietary APIs. Confident human escalation with SQL audit logging provides a governance layer aligned with institutional trust requirements [4].</w:t>
      </w:r>
    </w:p>
    <w:p>
      <w:pPr>
        <w:spacing w:before="0" w:after="80" w:line="240" w:lineRule="exact"/>
        <w:ind w:firstLine="280"/>
        <w:jc w:val="both"/>
      </w:pPr>
      <w:r>
        <w:rPr>
          <w:rFonts w:ascii="Times New Roman" w:hAnsi="Times New Roman"/>
          <w:sz w:val="20"/>
        </w:rPr>
        <w:t>Future work will extend language support to Marathi and Tamil, investigate fine-tuning BGE-M3 on domain-specific institutional terminology, explore voice input via speech-to-text integration for Hindi queries, and evaluate the system's generalizability across multiple Indian academic institutions beyond MAIT.</w:t>
      </w:r>
    </w:p>
    <w:p>
      <w:pPr>
        <w:spacing w:before="200" w:after="80"/>
        <w:jc w:val="center"/>
      </w:pPr>
      <w:r>
        <w:rPr>
          <w:rFonts w:ascii="Times New Roman" w:hAnsi="Times New Roman"/>
          <w:b/>
          <w:sz w:val="20"/>
        </w:rPr>
        <w:t>REFERENCES</w:t>
      </w:r>
    </w:p>
    <w:p>
      <w:pPr>
        <w:spacing w:before="0" w:after="60"/>
        <w:ind w:left="360" w:hanging="360"/>
        <w:jc w:val="both"/>
      </w:pPr>
      <w:r>
        <w:rPr>
          <w:rFonts w:ascii="Times New Roman" w:hAnsi="Times New Roman"/>
          <w:sz w:val="18"/>
        </w:rPr>
        <w:t>[1] J. Swacha and M. Gracel, "Retrieval-Augmented Generation (RAG) Chatbots for Education: A Survey of Applications," Applied Sciences, vol. 15, no. 8, Art. no. 4234, Apr. 2025, doi: 10.3390/app15084234.</w:t>
      </w:r>
    </w:p>
    <w:p>
      <w:pPr>
        <w:spacing w:before="0" w:after="60"/>
        <w:ind w:left="360" w:hanging="360"/>
        <w:jc w:val="both"/>
      </w:pPr>
      <w:r>
        <w:rPr>
          <w:rFonts w:ascii="Times New Roman" w:hAnsi="Times New Roman"/>
          <w:sz w:val="18"/>
        </w:rPr>
        <w:t>[2] J. Medina, S. Gyo-Jung, J. Salminen, K. K. Aldous, and B. J. Jansen, "EduX-RAG: Retrieval Augmented Generation Framework for Cross-Lingual Educational Chatbots," in Proc. 3rd Int. Conf. Foundation and Large Language Models (FLLM), Dubai, UAE, Feb. 2025, pp. 465–473, doi: 10.1109/FLLM65463.2025.00078.</w:t>
      </w:r>
    </w:p>
    <w:p>
      <w:pPr>
        <w:spacing w:before="0" w:after="60"/>
        <w:ind w:left="360" w:hanging="360"/>
        <w:jc w:val="both"/>
      </w:pPr>
      <w:r>
        <w:rPr>
          <w:rFonts w:ascii="Times New Roman" w:hAnsi="Times New Roman"/>
          <w:sz w:val="18"/>
        </w:rPr>
        <w:t>[3] N. Son, I. Kang, I. Kim, K. Lee, S. Nam, and D. Lee, "Development and Evaluation of a Retrieval-Augmented Generation-Based Electronic Medical Record Chatbot System," Healthcare Informatics Research, vol. 31, no. 3, pp. 218–225, Jul. 2025, doi: 10.4258/hir.2025.31.3.218.</w:t>
      </w:r>
    </w:p>
    <w:p>
      <w:pPr>
        <w:spacing w:before="0" w:after="60"/>
        <w:ind w:left="360" w:hanging="360"/>
        <w:jc w:val="both"/>
      </w:pPr>
      <w:r>
        <w:rPr>
          <w:rFonts w:ascii="Times New Roman" w:hAnsi="Times New Roman"/>
          <w:sz w:val="18"/>
        </w:rPr>
        <w:t>[4] R. B. Sharanesha, D. Virupakshappa, A. Abushanan, and S. Alghamdi, "Multilingual Conversational AI Chatbots for Efficient Healthcare Delivery During Case History-Taking: A Systematic Review," Informatics, vol. 13, no. 8, Art. no. 129, Aug. 2026, doi: 10.3390/informatics13080129.</w:t>
      </w:r>
    </w:p>
    <w:p>
      <w:pPr>
        <w:spacing w:before="0" w:after="60"/>
        <w:ind w:left="360" w:hanging="360"/>
        <w:jc w:val="both"/>
      </w:pPr>
      <w:r>
        <w:rPr>
          <w:rFonts w:ascii="Times New Roman" w:hAnsi="Times New Roman"/>
          <w:sz w:val="18"/>
        </w:rPr>
        <w:t>[5] P. Lewis, E. Perez, A. Piktus, F. Petroni, V. Karpukhin, N. Goyal, H. Küttler, M. Lewis, W. Yih, T. Rocktäschel, S. Riedel, and D. Kiela, "Retrieval-Augmented Generation for Knowledge-Intensive NLP Tasks," in Advances in Neural Information Processing Systems (NeurIPS), vol. 33, 2020, pp. 9459–9474.</w:t>
      </w:r>
    </w:p>
    <w:p>
      <w:pPr>
        <w:spacing w:before="0" w:after="60"/>
        <w:ind w:left="360" w:hanging="360"/>
        <w:jc w:val="both"/>
      </w:pPr>
      <w:r>
        <w:rPr>
          <w:rFonts w:ascii="Times New Roman" w:hAnsi="Times New Roman"/>
          <w:sz w:val="18"/>
        </w:rPr>
        <w:t>[6] Artifex Software, "MuPDF: A Lightweight PDF and XPS Viewer," 2024. [Online]. Available: https://mupdf.com</w:t>
      </w:r>
    </w:p>
    <w:p>
      <w:pPr>
        <w:spacing w:before="0" w:after="60"/>
        <w:ind w:left="360" w:hanging="360"/>
        <w:jc w:val="both"/>
      </w:pPr>
      <w:r>
        <w:rPr>
          <w:rFonts w:ascii="Times New Roman" w:hAnsi="Times New Roman"/>
          <w:sz w:val="18"/>
        </w:rPr>
        <w:t>[7] R. Smith, "An Overview of the Tesseract OCR Engine," in Proc. 9th Int. Conf. Document Analysis and Recognition (ICDAR), Curitiba, Brazil, Sep. 2007, pp. 629–633, doi: 10.1109/ICDAR.2007.4376991.</w:t>
      </w:r>
    </w:p>
    <w:p>
      <w:pPr>
        <w:spacing w:before="0" w:after="60"/>
        <w:ind w:left="360" w:hanging="360"/>
        <w:jc w:val="both"/>
      </w:pPr>
      <w:r>
        <w:rPr>
          <w:rFonts w:ascii="Times New Roman" w:hAnsi="Times New Roman"/>
          <w:sz w:val="18"/>
        </w:rPr>
        <w:t>[8] A. Agrawal et al., "Pixtral 12B," arXiv preprint, arXiv:2410.07073, Oct. 2024. [Online]. Available: https://arxiv.org/abs/2410.07073</w:t>
      </w:r>
    </w:p>
    <w:p>
      <w:pPr>
        <w:spacing w:before="0" w:after="60"/>
        <w:ind w:left="360" w:hanging="360"/>
        <w:jc w:val="both"/>
      </w:pPr>
      <w:r>
        <w:rPr>
          <w:rFonts w:ascii="Times New Roman" w:hAnsi="Times New Roman"/>
          <w:sz w:val="18"/>
        </w:rPr>
        <w:t>[9] J. Chen, S. Xiao, P. Zhang, K. Luo, D. Lian, and Z. Liu, "BGE M3-Embedding: Multi-Lingual, Multi-Functionality, Multi-Granularity Text Embeddings Through Self-Knowledge Distillation," arXiv preprint, arXiv:2309.07597, Sep. 2023. [Online]. Available: https://arxiv.org/abs/2309.07597</w:t>
      </w:r>
    </w:p>
    <w:p>
      <w:pPr>
        <w:spacing w:before="0" w:after="60"/>
        <w:ind w:left="360" w:hanging="360"/>
        <w:jc w:val="both"/>
      </w:pPr>
      <w:r>
        <w:rPr>
          <w:rFonts w:ascii="Times New Roman" w:hAnsi="Times New Roman"/>
          <w:sz w:val="18"/>
        </w:rPr>
        <w:t>[10] S. Robertson and H. Zaragoza, "The Probabilistic Relevance Framework: BM25 and Beyond," Foundations and Trends in Information Retrieval, vol. 3, no. 4, pp. 333–389, 2009, doi: 10.1561/1500000019.</w:t>
      </w:r>
    </w:p>
    <w:p>
      <w:pPr>
        <w:spacing w:before="0" w:after="60"/>
        <w:ind w:left="360" w:hanging="360"/>
        <w:jc w:val="both"/>
      </w:pPr>
      <w:r>
        <w:rPr>
          <w:rFonts w:ascii="Times New Roman" w:hAnsi="Times New Roman"/>
          <w:sz w:val="18"/>
        </w:rPr>
        <w:t>[11] G. V. Cormack, C. L. A. Clarke, and S. Buettcher, "Reciprocal Rank Fusion Outperforms Condorcet and Individual Rank Learning Methods," in Proc. 32nd Int. ACM SIGIR Conf., Boston, MA, USA, Jul. 2009, pp. 758–759, doi: 10.1145/1571941.1572114.</w:t>
      </w:r>
    </w:p>
    <w:p>
      <w:pPr>
        <w:spacing w:before="0" w:after="60"/>
        <w:ind w:left="360" w:hanging="360"/>
        <w:jc w:val="both"/>
      </w:pPr>
      <w:r>
        <w:rPr>
          <w:rFonts w:ascii="Times New Roman" w:hAnsi="Times New Roman"/>
          <w:sz w:val="18"/>
        </w:rPr>
        <w:t>[12] A. Q. Jiang et al., "Mistral 7B," arXiv preprint, arXiv:2310.06825, Oct. 2023. [Online]. Available: https://arxiv.org/abs/2310.06825</w:t>
      </w:r>
    </w:p>
    <w:p>
      <w:pPr>
        <w:spacing w:before="0" w:after="60"/>
        <w:ind w:left="360" w:hanging="360"/>
        <w:jc w:val="both"/>
      </w:pPr>
      <w:r>
        <w:rPr>
          <w:rFonts w:ascii="Times New Roman" w:hAnsi="Times New Roman"/>
          <w:sz w:val="18"/>
        </w:rPr>
        <w:t>[13] S. Es, J. James, L. Espinosa-Anke, and S. Schockaert, "RAGAS: Automated Evaluation of Retrieval Augmented Generation," in Proc. 18th Conf. European Chapter of the ACL (EACL): System Demonstrations, Malta, Mar. 2024, pp. 150–158, doi: 10.18653/v1/2024.eacl-demo.16.</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