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728DC">
      <w:pPr>
        <w:rPr>
          <w:rFonts w:hint="eastAsia"/>
        </w:rPr>
      </w:pPr>
      <w:r>
        <w:rPr>
          <w:rFonts w:hint="eastAsia"/>
        </w:rPr>
        <w:t>在处理时间序列时，能够同时利用时域局部动态与频域全局结构，并且通过可学习的交叉注意力机制进行融合，而不是简单地将二者拼接或分别建模。</w:t>
      </w:r>
    </w:p>
    <w:p w14:paraId="285D2D41">
      <w:pPr>
        <w:rPr>
          <w:rFonts w:hint="eastAsia"/>
        </w:rPr>
      </w:pPr>
      <w:r>
        <w:rPr>
          <w:rFonts w:hint="eastAsia"/>
        </w:rPr>
        <w:t>Step 1：时域特征提取</w:t>
      </w:r>
    </w:p>
    <w:p w14:paraId="20C5A0E2">
      <w:pPr>
        <w:rPr>
          <w:rFonts w:hint="eastAsia"/>
          <w:lang w:val="en-US" w:eastAsia="zh-CN"/>
        </w:rPr>
      </w:pPr>
      <w:r>
        <w:rPr>
          <w:rFonts w:hint="eastAsia"/>
        </w:rPr>
        <w:t>输入序列</w:t>
      </w:r>
      <w:r>
        <w:rPr>
          <w:rFonts w:hint="eastAsia"/>
          <w:lang w:val="en-US" w:eastAsia="zh-CN"/>
        </w:rPr>
        <w:t>x经过 Transformer/LSTM/CNN → 得到时域隐表示Ht</w:t>
      </w:r>
    </w:p>
    <w:p w14:paraId="1CD94486">
      <w:pPr>
        <w:rPr>
          <w:rFonts w:hint="default"/>
          <w:lang w:val="en-US" w:eastAsia="zh-CN"/>
        </w:rPr>
      </w:pPr>
    </w:p>
    <w:p w14:paraId="3E75E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2：频域特征变换</w:t>
      </w:r>
    </w:p>
    <w:p w14:paraId="6F479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对序列做 DFT</w:t>
      </w:r>
    </w:p>
    <w:p w14:paraId="1A33B4C1">
      <w:r>
        <w:drawing>
          <wp:inline distT="0" distB="0" distL="114300" distR="114300">
            <wp:extent cx="2770505" cy="395605"/>
            <wp:effectExtent l="0" t="0" r="1079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B2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3：时-频域交叉注意力融合</w:t>
      </w:r>
    </w:p>
    <w:p w14:paraId="368ED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设计可插拔模块：</w:t>
      </w:r>
    </w:p>
    <w:p w14:paraId="146FA69A">
      <w:r>
        <w:drawing>
          <wp:inline distT="0" distB="0" distL="114300" distR="114300">
            <wp:extent cx="2800350" cy="64643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25F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4：融合输出</w:t>
      </w:r>
    </w:p>
    <w:p w14:paraId="0FAB6220">
      <w:bookmarkStart w:id="0" w:name="_GoBack"/>
      <w:r>
        <w:drawing>
          <wp:inline distT="0" distB="0" distL="114300" distR="114300">
            <wp:extent cx="4319270" cy="525780"/>
            <wp:effectExtent l="0" t="0" r="1143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1FDB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流程：</w:t>
      </w:r>
    </w:p>
    <w:p w14:paraId="3F324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原始序列 x</w:t>
      </w:r>
    </w:p>
    <w:p w14:paraId="38468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分成两支：时域特征 H_t  和 频域特征 H_f</w:t>
      </w:r>
    </w:p>
    <w:p w14:paraId="4EE14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时频交叉注意力融合   H_tf</w:t>
      </w:r>
    </w:p>
    <w:p w14:paraId="7751D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 后面接预测 / Diffusion 模型的残差块 / Transformer 层</w:t>
      </w:r>
      <w:r>
        <w:rPr>
          <w:rFonts w:hint="eastAsia"/>
          <w:lang w:val="en-US" w:eastAsia="zh-CN"/>
        </w:rPr>
        <w:br w:type="page"/>
      </w:r>
    </w:p>
    <w:p w14:paraId="014B3E9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86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2025-11-06T08:39:28Z</dcterms:created>
  <dc:creator>yu'xuan</dc:creator>
  <cp:lastModifiedBy>南湘日落*</cp:lastModifiedBy>
  <dcterms:modified xsi:type="dcterms:W3CDTF">2025-11-06T08:43:04Z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eyJoZGlkIjoiNGQzMDJmY2EwNmUxZDFlNmM3ZTc3MTFkYjA0YzhhM2IiLCJ1c2VySWQiOiI3NzU1MDU1NDUifQ==</vt:lpwstr>
  </property>
  <property fmtid="{D5CDD505-2E9C-101B-9397-08002B2CF9AE}" pid="4" name="ICV">
    <vt:lpwstr>A6E8AF4B3F5541FE8CB5959C97CDEF93_12</vt:lpwstr>
  </property>
</Properties>
</file>