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</w:tcPr>
          <w:p>
            <w:r>
              <w:t>姓名</w:t>
            </w:r>
          </w:p>
        </w:tc>
        <w:tc>
          <w:tcPr>
            <w:tcW w:type="dxa" w:w="2076"/>
          </w:tcPr>
          <w:p>
            <w:r>
              <w:t>许安</w:t>
            </w:r>
          </w:p>
        </w:tc>
        <w:tc>
          <w:tcPr>
            <w:tcW w:type="dxa" w:w="2076"/>
          </w:tcPr>
          <w:p>
            <w:r>
              <w:t>病案号</w:t>
            </w:r>
          </w:p>
        </w:tc>
        <w:tc>
          <w:tcPr>
            <w:tcW w:type="dxa" w:w="2076"/>
          </w:tcPr>
          <w:p>
            <w:r>
              <w:t>L-5000</w:t>
            </w:r>
          </w:p>
        </w:tc>
      </w:tr>
      <w:tr>
        <w:tc>
          <w:tcPr>
            <w:tcW w:type="dxa" w:w="2076"/>
          </w:tcPr>
          <w:p>
            <w:r>
              <w:t>性别</w:t>
            </w:r>
          </w:p>
        </w:tc>
        <w:tc>
          <w:tcPr>
            <w:tcW w:type="dxa" w:w="2076"/>
          </w:tcPr>
          <w:p>
            <w:r>
              <w:t>男</w:t>
            </w:r>
          </w:p>
        </w:tc>
        <w:tc>
          <w:tcPr>
            <w:tcW w:type="dxa" w:w="2076"/>
          </w:tcPr>
          <w:p>
            <w:r>
              <w:t>年龄</w:t>
            </w:r>
          </w:p>
        </w:tc>
        <w:tc>
          <w:tcPr>
            <w:tcW w:type="dxa" w:w="2076"/>
          </w:tcPr>
          <w:p>
            <w:r>
              <w:t>55岁</w:t>
            </w:r>
          </w:p>
        </w:tc>
      </w:tr>
      <w:tr>
        <w:tc>
          <w:tcPr>
            <w:tcW w:type="dxa" w:w="2076"/>
          </w:tcPr>
          <w:p>
            <w:r>
              <w:t>职业</w:t>
            </w:r>
          </w:p>
        </w:tc>
        <w:tc>
          <w:tcPr>
            <w:tcW w:type="dxa" w:w="2076"/>
          </w:tcPr>
          <w:p>
            <w:r>
              <w:t>会计</w:t>
            </w:r>
          </w:p>
        </w:tc>
        <w:tc>
          <w:tcPr>
            <w:tcW w:type="dxa" w:w="2076"/>
          </w:tcPr>
          <w:p>
            <w:r>
              <w:t>入院时间</w:t>
            </w:r>
          </w:p>
        </w:tc>
        <w:tc>
          <w:tcPr>
            <w:tcW w:type="dxa" w:w="2076"/>
          </w:tcPr>
          <w:p>
            <w:r>
              <w:t>2026-09-09</w:t>
            </w:r>
          </w:p>
        </w:tc>
      </w:tr>
    </w:tbl>
    <w:p>
      <w:r>
        <w:t>主诉：腹痛三天，伴恶心一天。</w:t>
      </w:r>
    </w:p>
    <w:p>
      <w:r>
        <w:t>现病史：患者神清，精神尚可，舌淡红、苔薄白，脉弦。治疗以疏肝理气、健脾和胃为法，随诊观察病情变化。患者神清，精神尚可，舌淡红、苔薄白，脉弦。治疗以疏肝理气、健脾和胃为法，随诊观察病情变化。患者神清，精神尚可，舌淡红、苔薄白，脉弦。治疗以疏肝理气、健脾和胃为法，随诊观察病情变化。患者神清，精神尚可，舌淡红、苔薄白，脉弦。治疗以疏肝理气、健脾和胃为法，随诊观察病情变化。患者神清，精神尚可，舌淡红、苔薄白，脉弦。治疗以疏肝理气、健脾和胃为法，随诊观察病情变化。患者神清，精神尚可，舌淡红、苔薄白，脉弦。治疗以疏肝理气、健脾和胃为法，随诊观察病情变化。患者神清，精神尚可，舌淡红、苔薄白，脉弦。治疗以疏肝理气、健脾和胃为法，随诊观察病情变化。患者神清，精神尚可，舌淡红、苔薄白，脉弦。治疗以疏肝理气、健脾和胃为法，随诊观察病情变化。患者神清，精神尚可，舌淡红、苔薄白，脉弦。治疗以疏肝理气、健脾和胃为法，随诊观察病情变化。患者神清，精神尚可，舌淡红、苔薄白，脉弦。治疗以疏肝理气、健脾和胃为法，随诊观察病情变化。患者神清，精神尚可，舌淡红、苔薄白，脉弦。治疗以疏肝理气、健脾和胃为法，随诊观察病情变化。患者神清，精神尚可，舌淡红、苔薄白，脉弦。治疗以疏肝理气、健脾和胃为法，随诊观察病情变化。患者神清，精神尚可，舌淡红、苔薄白，脉弦。治疗以疏肝理气、健脾和胃为法，随诊观察病情变化。患者神清，精神尚可，舌淡红、苔薄白，脉弦。治疗以疏肝理气、健脾和胃为法，随诊观察病情变化。患者神清，精神尚可，舌淡红、苔薄白，脉弦。治疗以疏肝理气、健脾和胃为法，随诊观察病情变化。患者神清，精神尚可，舌淡红、苔薄白，脉弦。治疗以疏肝理气、健脾和胃为法，随诊观察病情变化。患者神清，精神尚可，舌淡红、苔薄白，脉弦。治疗以疏肝理气、健脾和胃为法，随诊观察病情变化。患者神清，精神尚可，舌淡红、苔薄白，脉弦。治疗以疏肝理气、健脾和胃为法，随诊观察病情变化。患者神清，精神尚可，舌淡红、苔薄白，脉弦。治疗以疏肝理气、健脾和胃为法，随诊观察病情变化。患者神清，精神尚可，舌淡红、苔薄白，脉弦。治疗以疏肝理气、健脾和胃为法，随诊观察病情变化。患者神清，精神尚可，舌淡红、苔薄白，脉弦。治疗以疏肝理气、健脾和胃为法，随诊观察病情变化。患者神清，精神尚可，舌淡红、苔薄白，脉弦。治疗以疏肝理气、健脾和胃为法，随诊观察病情变化。患者神清，精神尚可，舌淡红、苔薄白，脉弦。治疗以疏肝理气、健脾和胃为法，随诊观察病情变化。患者神清，精神尚可，舌淡红、苔薄白，脉弦。治疗以疏肝理气、健脾和胃为法，随诊观察病情变化。患者神清，精神尚可，舌淡红、苔薄白，脉弦。治疗以疏肝理气、健脾和胃为法，随诊观察病情变化。患者神清，精神尚可，舌淡红、苔薄白，脉弦。治疗以疏肝理气、健脾和胃为法，随诊观察病情变化。患者神清，精神尚可，舌淡红、苔薄白，脉弦。治疗以疏肝理气、健脾和胃为法，随诊观察病情变化。患者神清，精神尚可，舌淡红、苔薄白，脉弦。治疗以疏肝理气、健脾和胃为法，随诊观察病情变化。患者神清，精神尚可，舌淡红、苔薄白，脉弦。治疗以疏肝理气、健脾和胃为法，随诊观察病情变化。患者神清，精神尚可，舌淡红、苔薄白，脉弦。治疗以疏肝理气、健脾和胃为法，随诊观察病情变化。患者神清，精神尚可，舌淡红、苔薄白，脉弦。治疗以疏肝理气、健脾和胃为法，随诊观察病情变化。患者神清，精神尚可，舌淡红、苔薄白，脉弦。治疗以疏肝理气、健脾和胃为法，随诊观察病情变化。患者神清，精神尚可，舌淡红、苔薄白，脉弦。治疗以疏肝理气、健脾和胃为法，随诊观察病情变化。患者神清，精神尚可，舌淡红、苔薄白，脉弦。治疗以疏肝理气、健脾和胃为法，随诊观察病情变化。患者神清，精神尚可，舌淡红、苔薄白，脉弦。治疗以疏肝理气、健脾和胃为法，随诊观察病情变化。患者神清，精神尚可，舌淡红、苔薄白，脉弦。治疗以疏肝理气、健脾和胃为法，随诊观察病情变化。患者神清，精神尚可，舌淡红、苔薄白，脉弦。治疗以疏肝理气、健脾和胃为法，随诊观察病情变化。患者神清，精神尚可，舌淡红、苔薄白，脉弦。治疗以疏肝理气、健脾和胃为法，随诊观察病情变化。患者神清，精神尚可，舌淡红、苔薄白，脉弦。治疗以疏肝理气、健脾和胃为法，随诊观察病情变化。患者神清，精神尚可，舌淡红、苔薄白，脉弦。治疗以疏肝理气、健脾和胃为法，随诊观察病情变化。患者神清，精神尚可，舌淡红、苔薄白，脉弦。治疗以疏肝理气、健脾和胃为法，随诊观察病情变化。患者神清，精神尚可，舌淡红、苔薄白，脉弦。治疗以疏肝理气、健脾和胃为法，随诊观察病情变化。患者神清，精神尚可，舌淡红、苔薄白，脉弦。治疗以疏肝理气、健脾和胃为法，随诊观察病情变化。患者神清，精神尚可，舌淡红、苔薄白，脉弦。治疗以疏肝理气、健脾和胃为法，随诊观察病情变化。患者神清，精神尚可，舌淡红、苔薄白，脉弦。治疗以疏肝理气、健脾和胃为法，随诊观察病情变化。患者神清，精神尚可，舌淡红、苔薄白，脉弦。治疗以疏肝理气、健脾和胃为法，随诊观察病情变化。患者神清，精神尚可，舌淡红、苔薄白，脉弦。治疗以疏肝理气、健脾和胃为法，随诊观察病情变化。患者神清，精神尚可，舌淡红、苔薄白，脉弦。治疗以疏肝理气、健脾和胃为法，随诊观察病情变化。患者神清，精神尚可，舌淡红、苔薄白，脉弦。治疗以疏肝理气、健脾和胃为法，随诊观察病情变化。患者神清，精神尚可，舌淡红、苔薄白，脉弦。治疗以疏肝理气、健脾和胃为法，随诊观察病情变化。患者神清，精神尚可，舌淡红、苔薄白，脉弦。治疗以疏肝理气、健脾和胃为法，随诊观察病情变化。患者神清，精神尚可，舌淡红、苔薄白，脉弦。治疗以疏肝理气、健脾和胃为法，随诊观察病情变化。患者神清，精神尚可，舌淡红、苔薄白，脉弦。治疗以疏肝理气、健脾和胃为法，随诊观察病情变化。患者神清，精神尚可，舌淡红、苔薄白，脉弦。治疗以疏肝理气、健脾和胃为法，随诊观察病情变化。患者神清，精神尚可，舌淡红、苔薄白，脉弦。治疗以疏肝理气、健脾和胃为法，随诊观察病情变化。患者神清，精神尚可，舌淡红、苔薄白，脉弦。治疗以疏肝理气、健脾和胃为法，随诊观察病情变化。患者神清，精神尚可，舌淡红、苔薄白，脉弦。治疗以疏肝理气、健脾和胃为法，随诊观察病情变化。患者神清，精神尚可，舌淡红、苔薄白，脉弦。治疗以疏肝理气、健脾和胃为法，随诊观察病情变化。患者神清，精神尚可，舌淡红、苔薄白，脉弦。治疗以疏肝理气、健脾和胃为法，随诊观察病情变化。患者神清，精神尚可，舌淡红、苔薄白，脉弦。治疗以疏肝理气、健脾和胃为法，随诊观察病情变化。患者神清，精神尚可，舌淡红、苔薄白，脉弦。治疗以疏肝理气、健脾和胃为法，随诊观察病情变化。患者神清，精神尚可，舌淡红、苔薄白，脉弦。治疗以疏肝理气、健脾和胃为法，随诊观察病情变化。患者神清，精神尚可，舌淡红、苔薄白，脉弦。治疗以疏肝理气、健脾和胃为法，随诊观察病情变化。患者神清，精神尚可，舌淡红、苔薄白，脉弦。治疗以疏肝理气、健脾和胃为法，随诊观察病情变化。患者神清，精神尚可，舌淡红、苔薄白，脉弦。治疗以疏肝理气、健脾和胃为法，随诊观察病情变化。患者神清，精神尚可，舌淡红、苔薄白，脉弦。治疗以疏肝理气、健脾和胃为法，随诊观察病情变化。患者神清，精神尚可，舌淡红、苔薄白，脉弦。治疗以疏肝理气、健</w:t>
      </w:r>
    </w:p>
    <w:p>
      <w:r>
        <w:t>既往史：既往体健，否认药物过敏史。</w:t>
      </w:r>
    </w:p>
    <w:p>
      <w:r>
        <w:t>体格检查：神清，腹软，中上腹轻压痛，无反跳痛。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