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등장하는 이론가와 예술가들이 상대의 견해나 작품을 평가할 수 있는 말로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모방론자가 뒤샹에게 </w:t>
      </w:r>
      <w:r>
        <w:rPr/>
        <w:t xml:space="preserve">: </w:t>
      </w:r>
      <w:r>
        <w:rPr/>
        <w:t xml:space="preserve">당신의 작품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「</w:t>
      </w:r>
      <w:r>
        <w:rPr/>
        <w:t xml:space="preserve">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」</w:t>
      </w:r>
      <w:r>
        <w:rPr/>
        <w:t xml:space="preserve">은 변기를 닮은 것이 아니라 변기 그 자체라는 점에서 예술 작품이 되기 위한 필요 충분조건을 갖추고 있습니다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낭만주의 예술가가 모방론자에게 </w:t>
      </w:r>
      <w:r>
        <w:rPr/>
        <w:t xml:space="preserve">: </w:t>
      </w:r>
      <w:r>
        <w:rPr/>
        <w:t xml:space="preserve">대상을 재현하기만 하면 예술가의 감정을 표현하지 않은 작품도 예술 작품으로 인정하는 당신의 견해는 받아들일 수 없습니다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표현론자가 낭만주의 예술가에게 </w:t>
      </w:r>
      <w:r>
        <w:rPr/>
        <w:t xml:space="preserve">: </w:t>
      </w:r>
      <w:r>
        <w:rPr/>
        <w:t xml:space="preserve">당신의 작품은 예술가의 마음을 표현했으니 대상을 있는 그대로 표현하지 않았더라도 예술 작품입니다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뒤샹이 제도론자에게 </w:t>
      </w:r>
      <w:r>
        <w:rPr/>
        <w:t xml:space="preserve">: </w:t>
      </w:r>
      <w:r>
        <w:rPr/>
        <w:t xml:space="preserve">예술계에서 일정한 절차와 관례를 거치면 예술 작품이라는 당신의 주장은 저의 작품 샘 외에 다른 변기들도 예술 작품이 될 수 있음을 인정하는 것입니다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예술 정의 불가론자가 표현론자에게 </w:t>
      </w:r>
      <w:r>
        <w:rPr/>
        <w:t xml:space="preserve">: </w:t>
      </w:r>
      <w:r>
        <w:rPr/>
        <w:t xml:space="preserve">당신이 예술가의 관념을 예술 작품의 조건으로 규정할 때 사용하는 명제는 참과 거짓을 판단할 수 없기 때문에 받아들일 수 없습니다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