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바탕으로 추론한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닉슨 쇼크가 단행된 이후 달러화의 고평가 문제를 해결할 수 있는 달러화의 평가 절하가 가능해졌다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브레턴우즈 체제에서 마르크화와 엔화의 투기적 수요가 증가한 것은 이들 통화의 평가 절상을 예상했기 때문이다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금의 생산량 증가를 통한 국제 유동성 공급량의 증가는 트리핀 딜레마 상황을 완화하는 한 가지 방법이 될 수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트리핀 딜레마는 달러화를 통한 국제 유동성 공급을 중단할 수도 없고 공급량을 무한정 늘릴 수도 없는 상황을 말한다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브레턴우즈 체제에서 마르크화가 달러화에 대해 평가 절상되면</w:t>
      </w:r>
      <w:r>
        <w:rPr/>
        <w:t xml:space="preserve">, </w:t>
      </w:r>
      <w:r>
        <w:rPr/>
        <w:t xml:space="preserve">같은 금액의 마르크화로 구입 가능한 금의 양은 감소한다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