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법령의 요건과 효과에는 모두 불확정 개념이 사용될 수 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법원은 불확정 개념이 사용된 법령을 적용할 때 재량을 행사할 수 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불확정 개념이 사용된 법령의 진정한 의미를 이해하려면 구체적 상황을 고려해야 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불확정 개념이 사용된 행정 법령에 근거한 행정 작용은 재량 행위인 경우보다 기속 행위인 경우가 많다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불확정 개념은 행정청이 행하는 법 집행 작용을 규율하는 법령과 개인 간의 계약 관계를 규율하는 법률에 모두 사용된다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