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에 대한 이해로 가장 적절한 것은</w:t>
      </w:r>
      <w:r>
        <w:rPr/>
        <w:t xml:space="preserve">?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 </w:t>
      </w:r>
      <w:r>
        <w:rPr/>
        <w:t xml:space="preserve">재량 준칙은 법령이 아니기 때문에 일의적이지 않은 개념으로 규정된다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재량 준칙으로 정해진 내용대로 재량을 행사하는 행정 작용은 기속 행위이다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재량 준칙으로 규정된 재량 행사 기준은 반복되어 온 적법한 행정 작용의 내용대로 정해져야 한다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재량 준칙이 정해져야 행정청은 특정 요건하에 행정 작용의 구체적 내용을 선택할 수 있는 재량을 행사할 수 있다</w:t>
      </w:r>
      <w:r>
        <w:rPr/>
        <w:t xml:space="preserve">.</w:t>
      </w:r>
    </w:p>
    <w:p>
      <w:pPr>
        <w:pStyle w:val="custom40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재량 준칙이 특정 요건에서 적용된 선례가 없으면 행정청은 동일한 요건이 충족되어도 행정 작용을 할 때 재량 준칙을 따르지 않을 수 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