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bdr w:val="single" w:color="000000" w:sz="2" w:space="0"/>
          <w:shd w:val="clear" w:color="auto" w:fill="auto"/>
        </w:rPr>
        <w:t xml:space="preserve">개화</w:t>
      </w:r>
      <w:r>
        <w:rPr/>
        <w:t xml:space="preserve">에 대한 이해로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개항 이전의 개화 개념은 백성을 다스리는 통치자로서의 역할과 관련 있었다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『</w:t>
      </w:r>
      <w:r>
        <w:rPr/>
        <w:t xml:space="preserve">한성순보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』</w:t>
      </w:r>
      <w:r>
        <w:rPr/>
        <w:t xml:space="preserve">의 개화 개념은 서양 기술과 제도의 선별적 수용을 통한 국가 진보의 의미를 포함하였다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『</w:t>
      </w:r>
      <w:r>
        <w:rPr/>
        <w:t xml:space="preserve">한성순보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』</w:t>
      </w:r>
      <w:r>
        <w:rPr/>
        <w:t xml:space="preserve">와 개화당의 한 인사의 개화 개념은 통치권자인 왕을 개화의 실행 주체로 상정하였다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개화의 실행 주체로 왕에게 역할을 부여하지 않은 갑신정변의 개화 개념은 통치권에 대한 도전으로 이해되었다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『</w:t>
      </w:r>
      <w:r>
        <w:rPr/>
        <w:t xml:space="preserve">대한매일신보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』</w:t>
      </w:r>
      <w:r>
        <w:rPr/>
        <w:t xml:space="preserve">의 발간에 이르러서야 국가의 주권과 결부한 개화 개념이 제기되었다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