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bdr w:val="single" w:color="000000" w:sz="2" w:space="0"/>
          <w:shd w:val="clear" w:color="auto" w:fill="auto"/>
        </w:rPr>
        <w:t xml:space="preserve">잠재 표현</w:t>
      </w:r>
      <w:r>
        <w:rPr/>
        <w:t xml:space="preserve">에 대한 설명으로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잠재 표현의 수치들을 조정하면 여러 이미지를 혼합할 수 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역확산 과정에서 잠재 표현이 다르면 예측되는 노이즈가 다르다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확산 모델의 학습에는 잠재 표현을 구하는 방식이 포함되어 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잠재 표현은 이미지에 더해진 노이즈의 크기나 분포 양상에 따라 다른 값들이 얻어진다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잠재 표현은 노이즈 예측기가 원본 이미지를 입력받아 노이즈의 특성을 추출한 결과이다</w:t>
      </w:r>
      <w:r>
        <w:rPr/>
        <w:t xml:space="preserve">.</w:t>
      </w:r>
    </w:p>
    <w:p>
      <w:pPr>
        <w:pStyle w:val="custom32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