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과두제적 경영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소수의 경영진이 내린 의사 결정이 수직적으로 집행되는 효율성을 추구한다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강한 결속력을 가진 소수의 경영자로 경영진을 이루어 경영권 유지에 강점이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경영권이 안정되어 중요 기술 개발에 적극적인 투자를 계속하는 데에 유리하다는 장점이 있다</w:t>
      </w:r>
      <w:r>
        <w:rPr/>
        <w:t xml:space="preserve">.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경영진이 투자자의 유입을 유도하기 위하여 경영 성과를 부풀릴 위험성이 있어 이에 대비할 필요가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경영진과 다수 주주 사이의 이해가 일치하는 경우에는 그렇지 않은 경우보다 기업 가치가 훼손될 위험성이 높아진다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