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18388" w14:textId="77777777" w:rsidR="000279EA" w:rsidRPr="000279EA" w:rsidRDefault="000279EA" w:rsidP="000279EA">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0279EA">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0279EA">
        <w:rPr>
          <w:rFonts w:ascii="학교안심 바른바탕 R" w:eastAsia="학교안심 바른바탕 R" w:hAnsi="Arial Unicode MS" w:cs="학교안심 바른바탕 R"/>
          <w:b/>
          <w:bCs/>
          <w:color w:val="000000"/>
          <w:w w:val="90"/>
          <w:sz w:val="19"/>
          <w:szCs w:val="19"/>
        </w:rPr>
        <w:t>답하시오</w:t>
      </w:r>
      <w:proofErr w:type="spellEnd"/>
      <w:r w:rsidRPr="000279EA">
        <w:rPr>
          <w:rFonts w:ascii="학교안심 바른바탕 R" w:eastAsia="학교안심 바른바탕 R" w:hAnsi="Arial Unicode MS" w:cs="학교안심 바른바탕 R"/>
          <w:b/>
          <w:bCs/>
          <w:color w:val="000000"/>
          <w:w w:val="90"/>
          <w:sz w:val="19"/>
          <w:szCs w:val="19"/>
        </w:rPr>
        <w:t>.</w:t>
      </w:r>
    </w:p>
    <w:bookmarkEnd w:id="0"/>
    <w:tbl>
      <w:tblPr>
        <w:tblStyle w:val="afe"/>
        <w:tblW w:w="0" w:type="auto"/>
        <w:tblInd w:w="9" w:type="dxa"/>
        <w:tblLook w:val="04A0" w:firstRow="1" w:lastRow="0" w:firstColumn="1" w:lastColumn="0" w:noHBand="0" w:noVBand="1"/>
      </w:tblPr>
      <w:tblGrid>
        <w:gridCol w:w="4797"/>
      </w:tblGrid>
      <w:tr w:rsidR="000279EA" w:rsidRPr="000279EA" w14:paraId="2B6AD029" w14:textId="77777777" w:rsidTr="000279EA">
        <w:trPr>
          <w:trHeight w:val="5377"/>
        </w:trPr>
        <w:tc>
          <w:tcPr>
            <w:tcW w:w="4797" w:type="dxa"/>
          </w:tcPr>
          <w:p w14:paraId="4C2FE042" w14:textId="77777777" w:rsidR="000279EA" w:rsidRPr="000279EA" w:rsidRDefault="000279EA" w:rsidP="000279EA">
            <w:pPr>
              <w:spacing w:line="249" w:lineRule="auto"/>
              <w:jc w:val="both"/>
              <w:rPr>
                <w:rFonts w:ascii="조선굵은명조" w:eastAsia="조선굵은명조" w:hAnsi="Arial Unicode MS" w:cs="조선굵은명조"/>
                <w:color w:val="000000"/>
                <w:sz w:val="20"/>
                <w:szCs w:val="20"/>
              </w:rPr>
            </w:pPr>
          </w:p>
          <w:p w14:paraId="25B443E1" w14:textId="77777777" w:rsidR="000279EA" w:rsidRDefault="000279EA" w:rsidP="000279EA">
            <w:pPr>
              <w:pStyle w:val="ab"/>
              <w:pBdr>
                <w:top w:val="none" w:sz="0" w:space="0" w:color="auto"/>
                <w:left w:val="none" w:sz="0" w:space="0" w:color="auto"/>
                <w:bottom w:val="none" w:sz="0" w:space="0" w:color="auto"/>
                <w:right w:val="none" w:sz="0" w:space="0" w:color="auto"/>
              </w:pBdr>
            </w:pPr>
            <w:r>
              <w:t>특허권은 발명에 대한 정보의 소유자가 특허 출원 및 담당 관청의 심사를 통하여 획득한 특허를 일정 기간 독점적으로 사용할 수 있는 법률상 권리를 말한다. 한편 영업 비밀은 생산 방법, 판매 방법, 그 밖에 영업 활동에 유용한 기술상 또는 경영상의 정보 등으로, 일정 조건을 갖추면 법으로 보호받을 수 있다. 법으로 보호되는 특허권과 영업 비밀은 모두 지식 재산인데, 정보 통신 기술(ICT) 산업은 이 같은 지식 재산을 기반으로 창출된다. 지식 재산 보호 문제와 더불어 최근에는 ICT 다국적 기업이 지식 재산으로 거두는 수입에 대한 과세 문제가 불거지고 있다.</w:t>
            </w:r>
          </w:p>
          <w:p w14:paraId="0F9CC357" w14:textId="77777777" w:rsidR="000279EA" w:rsidRDefault="000279EA" w:rsidP="000279EA">
            <w:pPr>
              <w:pStyle w:val="ab"/>
              <w:pBdr>
                <w:top w:val="none" w:sz="0" w:space="0" w:color="auto"/>
                <w:left w:val="none" w:sz="0" w:space="0" w:color="auto"/>
                <w:bottom w:val="none" w:sz="0" w:space="0" w:color="auto"/>
                <w:right w:val="none" w:sz="0" w:space="0" w:color="auto"/>
              </w:pBdr>
            </w:pPr>
            <w:r>
              <w:t xml:space="preserve">일부 국가에서는 ICT 다국적 기업에 대해 </w:t>
            </w:r>
            <w:r>
              <w:rPr>
                <w:bdr w:val="single" w:sz="2" w:space="0" w:color="000000"/>
              </w:rPr>
              <w:t>디지털세</w:t>
            </w:r>
            <w:r>
              <w:t xml:space="preserve"> 도입을 진행 중이다. 디지털세는 이를 도입한 국가에서 ICT 다국적 기업이 거둔 수입에 대해 부과되는 세금이다. 디지털세의 배경에는 법인세 감소에 대한 각국의 우려가 있다. 법인세는 국가가 기업으로부터 걷는 세금 중 가장 중요한 것으로, 재화나 서비스의 판매 등을 통해 거둔 수입에서 제반 비용을 제외하고 남은 이윤에 대해 부과하는 세금이라 할 수 있다.</w:t>
            </w:r>
          </w:p>
          <w:p w14:paraId="0BFEA7B7" w14:textId="77777777" w:rsidR="000279EA" w:rsidRDefault="000279EA" w:rsidP="000279EA">
            <w:pPr>
              <w:pStyle w:val="ab"/>
              <w:pBdr>
                <w:top w:val="none" w:sz="0" w:space="0" w:color="auto"/>
                <w:left w:val="none" w:sz="0" w:space="0" w:color="auto"/>
                <w:bottom w:val="none" w:sz="0" w:space="0" w:color="auto"/>
                <w:right w:val="none" w:sz="0" w:space="0" w:color="auto"/>
              </w:pBdr>
            </w:pPr>
            <w:r>
              <w:t>㉠</w:t>
            </w:r>
            <w:r>
              <w:t> </w:t>
            </w:r>
            <w:r>
              <w:rPr>
                <w:u w:val="single" w:color="000000"/>
              </w:rPr>
              <w:t>많은 ICT 다국적 기업이 법인세율이 현저하게 낮은 국가에 자회사를 설립하고 그 자회사에 이윤을 몰아주는 방식으로 법인세를 회피한다</w:t>
            </w:r>
            <w:r>
              <w:t xml:space="preserve">는 비판이 있어 왔다. 예를 들면 ICT 다국적 기업 Z사는 법인세율이 매우 낮은 A국에 자회사를 세워 특허의 사용 권한을 부여한다. 그리고 법인세율이 A국보다 높은 B국에 설립된 Z사의 자회사에서 특허 사용으로 수입이 발생하면 Z사는 B국의 자회사로 하여금 A국의 자회사에 특허 사용에 대한 수수료인 로열티를 지출하도록 한다. 그 결과 Z사는 </w:t>
            </w:r>
            <w:r>
              <w:t>ⓐ </w:t>
            </w:r>
            <w:r>
              <w:rPr>
                <w:u w:val="single" w:color="000000"/>
              </w:rPr>
              <w:t>B국의 자회사에 법인세가 부과될 이윤을 최소화한다</w:t>
            </w:r>
            <w:r>
              <w:t xml:space="preserve">. ICT 다국적 기업의 본사를 많이 보유한 국가에서도 해당 기업에 대한 법인세 징수는 문제가 된다. 그러나 그중 어떤 국가들은 ICT 다국적 기업의 활동이 해당 산업에서 자국이 주도권을 유지하는 데 중요하기 </w:t>
            </w:r>
            <w:proofErr w:type="spellStart"/>
            <w:r>
              <w:t>때문에라도</w:t>
            </w:r>
            <w:proofErr w:type="spellEnd"/>
            <w:r>
              <w:t xml:space="preserve"> 디지털세 도입에는 방어적이다.</w:t>
            </w:r>
          </w:p>
          <w:p w14:paraId="560924BF" w14:textId="77777777" w:rsidR="000279EA" w:rsidRPr="000279EA" w:rsidRDefault="000279EA" w:rsidP="000279EA">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3"/>
              <w:tblW w:w="0" w:type="auto"/>
              <w:tblLook w:val="04A0" w:firstRow="1" w:lastRow="0" w:firstColumn="1" w:lastColumn="0" w:noHBand="0" w:noVBand="1"/>
            </w:tblPr>
            <w:tblGrid>
              <w:gridCol w:w="229"/>
              <w:gridCol w:w="229"/>
              <w:gridCol w:w="4117"/>
            </w:tblGrid>
            <w:tr w:rsidR="000279EA" w:rsidRPr="000279EA" w14:paraId="66B12E31" w14:textId="77777777" w:rsidTr="000279EA">
              <w:trPr>
                <w:trHeight w:val="1020"/>
              </w:trPr>
              <w:tc>
                <w:tcPr>
                  <w:tcW w:w="222" w:type="dxa"/>
                  <w:tcBorders>
                    <w:top w:val="nil"/>
                    <w:left w:val="nil"/>
                    <w:bottom w:val="nil"/>
                    <w:right w:val="single" w:sz="4" w:space="0" w:color="auto"/>
                  </w:tcBorders>
                </w:tcPr>
                <w:p w14:paraId="37D39F22"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4C8CBCD5"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4E351D48" w14:textId="5EAA160F" w:rsidR="000279EA" w:rsidRPr="000279EA" w:rsidRDefault="000279EA" w:rsidP="000279EA">
                  <w:pPr>
                    <w:pStyle w:val="ab"/>
                    <w:pBdr>
                      <w:top w:val="none" w:sz="0" w:space="0" w:color="auto"/>
                      <w:left w:val="none" w:sz="0" w:space="0" w:color="auto"/>
                      <w:bottom w:val="none" w:sz="0" w:space="0" w:color="auto"/>
                      <w:right w:val="none" w:sz="0" w:space="0" w:color="auto"/>
                    </w:pBdr>
                    <w:ind w:firstLine="0"/>
                  </w:pPr>
                  <w:r>
                    <w:t xml:space="preserve">ICT 산업을 주도하는 국가에서 더 중요한 문제는 ICT 지식 재산 보호의 국제적 강화일 수 있다. 이론적으로 봤을 때 지식 재산의 보호가 약할수록 유용한 지식 창출의 유인이 저해되어 지식의 진보가 정체되고, 지식 재산의 보호가 강할수록 해당 지식에 대한 접근을 막아 소수의 사람만이 혜택을 보게 된다. 전자로 발생한 손해를 유인 비용, 후자로 발생한 손해를 접근 비용이라고 한다면, 지식 재산 보호의 최적 수준은 두 비용의 합이 최소가 될 때일 것이다. 각국은 그 수준에서 자국의 지식 재산 보호 수준을 설정한다. 특허 보호 정도와 국민 소득의 관계를 보여 주는 한 연구에서는 국민 소득이 일정 수준 이상인 상태에서는 국민 소득이 증가할수록 특허 보호 정도가 강해지는 경향이 있지만, 가장 낮은 소득 </w:t>
                  </w:r>
                  <w:r>
                    <w:t>수준을 벗어난 국가들은 그들보다 소득 수준이 낮은 국가들보다 오히려 특허 보호가 약한 것으로 나타났다. 이는 지식 재산 보호의 최적 수준에 대해서도 국가별 입장이 다름을 시사한다.</w:t>
                  </w:r>
                </w:p>
              </w:tc>
            </w:tr>
            <w:tr w:rsidR="000279EA" w:rsidRPr="000279EA" w14:paraId="318219C9" w14:textId="77777777" w:rsidTr="000279EA">
              <w:trPr>
                <w:trHeight w:val="1020"/>
              </w:trPr>
              <w:tc>
                <w:tcPr>
                  <w:tcW w:w="222" w:type="dxa"/>
                  <w:tcBorders>
                    <w:top w:val="nil"/>
                    <w:left w:val="nil"/>
                    <w:bottom w:val="nil"/>
                    <w:right w:val="single" w:sz="4" w:space="0" w:color="auto"/>
                  </w:tcBorders>
                </w:tcPr>
                <w:p w14:paraId="3646023E"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36D0C257"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01BC57D4"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0279EA" w:rsidRPr="000279EA" w14:paraId="7E48D663" w14:textId="77777777" w:rsidTr="006155EE">
              <w:trPr>
                <w:trHeight w:val="510"/>
              </w:trPr>
              <w:tc>
                <w:tcPr>
                  <w:tcW w:w="444" w:type="dxa"/>
                  <w:gridSpan w:val="2"/>
                  <w:tcBorders>
                    <w:top w:val="nil"/>
                    <w:left w:val="nil"/>
                    <w:bottom w:val="nil"/>
                    <w:right w:val="nil"/>
                  </w:tcBorders>
                  <w:vAlign w:val="center"/>
                </w:tcPr>
                <w:p w14:paraId="67240F95" w14:textId="77777777" w:rsidR="000279EA" w:rsidRPr="000279EA" w:rsidRDefault="000279EA" w:rsidP="000279EA">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0279EA">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6D76B69F"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0279EA" w:rsidRPr="000279EA" w14:paraId="5FF95CA7" w14:textId="77777777" w:rsidTr="006155EE">
              <w:trPr>
                <w:trHeight w:val="755"/>
              </w:trPr>
              <w:tc>
                <w:tcPr>
                  <w:tcW w:w="222" w:type="dxa"/>
                  <w:tcBorders>
                    <w:top w:val="nil"/>
                    <w:left w:val="nil"/>
                    <w:bottom w:val="nil"/>
                    <w:right w:val="single" w:sz="4" w:space="0" w:color="auto"/>
                  </w:tcBorders>
                </w:tcPr>
                <w:p w14:paraId="4B559212"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2CD18AFE"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7DCDEC90"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0279EA" w:rsidRPr="000279EA" w14:paraId="31D8C072" w14:textId="77777777" w:rsidTr="006155EE">
              <w:trPr>
                <w:trHeight w:val="756"/>
              </w:trPr>
              <w:tc>
                <w:tcPr>
                  <w:tcW w:w="222" w:type="dxa"/>
                  <w:tcBorders>
                    <w:top w:val="nil"/>
                    <w:left w:val="nil"/>
                    <w:bottom w:val="nil"/>
                    <w:right w:val="single" w:sz="4" w:space="0" w:color="auto"/>
                  </w:tcBorders>
                </w:tcPr>
                <w:p w14:paraId="7C6454BF"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30141AAD"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0E5018EC" w14:textId="77777777" w:rsidR="000279EA" w:rsidRPr="000279EA" w:rsidRDefault="000279EA" w:rsidP="000279EA">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635B9D6B" w14:textId="77777777" w:rsidR="000279EA" w:rsidRPr="000279EA" w:rsidRDefault="000279EA" w:rsidP="000279EA">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4CB30110" w14:textId="77777777" w:rsidR="000279EA" w:rsidRPr="000279EA" w:rsidRDefault="000279EA" w:rsidP="000279EA">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279EA">
              <w:rPr>
                <w:rFonts w:ascii="학교안심 바른바탕 R" w:eastAsia="학교안심 바른바탕 R" w:hAnsi="학교안심 바른바탕 R" w:cs="학교안심 바른바탕 R"/>
                <w:color w:val="000000"/>
                <w:w w:val="90"/>
                <w:sz w:val="18"/>
                <w:szCs w:val="18"/>
              </w:rPr>
              <w:t>절차주의적 법 모델에 따르면, 법은 분쟁에 직접 개입해 해결책을 ⓔ</w:t>
            </w:r>
            <w:r w:rsidRPr="000279EA">
              <w:rPr>
                <w:rFonts w:ascii="학교안심 바른바탕 R" w:eastAsia="학교안심 바른바탕 R" w:hAnsi="학교안심 바른바탕 R" w:cs="학교안심 바른바탕 R"/>
                <w:color w:val="000000"/>
                <w:w w:val="90"/>
                <w:sz w:val="18"/>
                <w:szCs w:val="18"/>
                <w:u w:val="single"/>
              </w:rPr>
              <w:t>내놓는</w:t>
            </w:r>
            <w:r w:rsidRPr="000279EA">
              <w:rPr>
                <w:rFonts w:ascii="학교안심 바른바탕 R" w:eastAsia="학교안심 바른바탕 R" w:hAnsi="학교안심 바른바탕 R" w:cs="학교안심 바른바탕 R"/>
                <w:color w:val="000000"/>
                <w:w w:val="90"/>
                <w:sz w:val="18"/>
                <w:szCs w:val="18"/>
              </w:rPr>
              <w:t xml:space="preserve"> 대신 분쟁 당사자들의 논의와 협상을 위한 절차나 권한 분배 등 분쟁 해결 방식에만 관여한다. 이로써 사회의 자율적 조절 기능을 보존하고 확대하고자 한다. 또한 권력과 자본이 논의의 장에 개입해 일부가 발언권을 독점하거나 부당한 영향력을</w:t>
            </w:r>
            <w:r w:rsidRPr="000279EA">
              <w:rPr>
                <w:rFonts w:ascii="학교안심 바른바탕 R" w:eastAsia="학교안심 바른바탕 R" w:hAnsi="학교안심 바른바탕 R" w:cs="학교안심 바른바탕 R" w:hint="eastAsia"/>
                <w:color w:val="000000"/>
                <w:w w:val="90"/>
                <w:sz w:val="18"/>
                <w:szCs w:val="18"/>
              </w:rPr>
              <w:t xml:space="preserve"> </w:t>
            </w:r>
            <w:r w:rsidRPr="000279EA">
              <w:rPr>
                <w:rFonts w:ascii="학교안심 바른바탕 R" w:eastAsia="학교안심 바른바탕 R" w:hAnsi="학교안심 바른바탕 R" w:cs="학교안심 바른바탕 R"/>
                <w:color w:val="000000"/>
                <w:w w:val="90"/>
                <w:sz w:val="18"/>
                <w:szCs w:val="18"/>
              </w:rPr>
              <w:t>행사할 수 있으므로 이에 대한 점검 과정을 절차 안에 두도록 의무화한다. 당사자 간의 자유롭고 균등한 의견 개진 가능성을 최대한 보장하는 것이 절차주의적 법 모델의 목적이다.</w:t>
            </w:r>
          </w:p>
          <w:p w14:paraId="6CD1104A" w14:textId="23B4B0BA" w:rsidR="000279EA" w:rsidRPr="000279EA" w:rsidRDefault="000279EA" w:rsidP="000279EA">
            <w:pPr>
              <w:snapToGrid w:val="0"/>
              <w:spacing w:line="280" w:lineRule="auto"/>
              <w:ind w:left="100" w:right="100" w:firstLine="200"/>
              <w:jc w:val="both"/>
              <w:rPr>
                <w:rFonts w:ascii="학교안심 바른바탕 R" w:eastAsia="학교안심 바른바탕 R" w:hAnsi="학교안심 바른바탕 R" w:cs="학교안심 바른바탕 R" w:hint="eastAsia"/>
                <w:color w:val="000000"/>
                <w:w w:val="90"/>
                <w:sz w:val="18"/>
                <w:szCs w:val="18"/>
              </w:rPr>
            </w:pPr>
            <w:r w:rsidRPr="000279EA">
              <w:rPr>
                <w:rFonts w:ascii="학교안심 바른바탕 R" w:eastAsia="학교안심 바른바탕 R" w:hAnsi="학교안심 바른바탕 R" w:cs="학교안심 바른바탕 R"/>
                <w:color w:val="000000"/>
                <w:w w:val="90"/>
                <w:sz w:val="18"/>
                <w:szCs w:val="18"/>
              </w:rPr>
              <w:t>위의 세 가지 법 모델은 시대의 요구에 따라 등장했으나 앞선 모델을 다음 모델이 대체하며 법체계를 지배해 온 것은 아니다. 각각의 법 모델이 고유한 타당성과 필요성을 가진 채 현재의</w:t>
            </w:r>
            <w:r w:rsidRPr="000279EA">
              <w:rPr>
                <w:rFonts w:ascii="학교안심 바른바탕 R" w:eastAsia="학교안심 바른바탕 R" w:hAnsi="학교안심 바른바탕 R" w:cs="학교안심 바른바탕 R" w:hint="eastAsia"/>
                <w:color w:val="000000"/>
                <w:w w:val="90"/>
                <w:sz w:val="18"/>
                <w:szCs w:val="18"/>
              </w:rPr>
              <w:t xml:space="preserve"> </w:t>
            </w:r>
            <w:r w:rsidRPr="000279EA">
              <w:rPr>
                <w:rFonts w:ascii="학교안심 바른바탕 R" w:eastAsia="학교안심 바른바탕 R" w:hAnsi="학교안심 바른바탕 R" w:cs="학교안심 바른바탕 R"/>
                <w:color w:val="000000"/>
                <w:w w:val="90"/>
                <w:sz w:val="18"/>
                <w:szCs w:val="18"/>
              </w:rPr>
              <w:t>법체계 안에 공존하고 있다</w:t>
            </w:r>
            <w:r w:rsidRPr="000279EA">
              <w:rPr>
                <w:rFonts w:ascii="학교안심 바른바탕 R" w:eastAsia="학교안심 바른바탕 R" w:hAnsi="학교안심 바른바탕 R" w:cs="학교안심 바른바탕 R" w:hint="eastAsia"/>
                <w:color w:val="000000"/>
                <w:w w:val="90"/>
                <w:sz w:val="18"/>
                <w:szCs w:val="18"/>
              </w:rPr>
              <w:t>.</w:t>
            </w:r>
          </w:p>
        </w:tc>
      </w:tr>
    </w:tbl>
    <w:p w14:paraId="1F0BA20E" w14:textId="77777777" w:rsidR="00AF4A64" w:rsidRDefault="00AF4A64">
      <w:pPr>
        <w:rPr>
          <w:sz w:val="2"/>
        </w:rPr>
      </w:pPr>
    </w:p>
    <w:sectPr w:rsidR="00AF4A64">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CF054" w14:textId="77777777" w:rsidR="00AB202F" w:rsidRDefault="00AB202F" w:rsidP="00E92133">
      <w:r>
        <w:separator/>
      </w:r>
    </w:p>
  </w:endnote>
  <w:endnote w:type="continuationSeparator" w:id="0">
    <w:p w14:paraId="2BF70CEA" w14:textId="77777777" w:rsidR="00AB202F" w:rsidRDefault="00AB202F" w:rsidP="00E9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8FBA1" w14:textId="77777777" w:rsidR="00AB202F" w:rsidRDefault="00AB202F" w:rsidP="00E92133">
      <w:r>
        <w:separator/>
      </w:r>
    </w:p>
  </w:footnote>
  <w:footnote w:type="continuationSeparator" w:id="0">
    <w:p w14:paraId="1A6C430D" w14:textId="77777777" w:rsidR="00AB202F" w:rsidRDefault="00AB202F" w:rsidP="00E9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EA523B"/>
    <w:multiLevelType w:val="multilevel"/>
    <w:tmpl w:val="BEBA9C1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5955762"/>
    <w:multiLevelType w:val="multilevel"/>
    <w:tmpl w:val="1AFECFB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892724A"/>
    <w:multiLevelType w:val="multilevel"/>
    <w:tmpl w:val="B5225F1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70AA6F18"/>
    <w:multiLevelType w:val="multilevel"/>
    <w:tmpl w:val="8F764E3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186477775">
    <w:abstractNumId w:val="3"/>
  </w:num>
  <w:num w:numId="2" w16cid:durableId="1738355019">
    <w:abstractNumId w:val="1"/>
  </w:num>
  <w:num w:numId="3" w16cid:durableId="1178157335">
    <w:abstractNumId w:val="2"/>
  </w:num>
  <w:num w:numId="4" w16cid:durableId="69396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F4A64"/>
    <w:rsid w:val="000279EA"/>
    <w:rsid w:val="00AB202F"/>
    <w:rsid w:val="00AF4A64"/>
    <w:rsid w:val="00E92133"/>
    <w:rsid w:val="00FC2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5E449"/>
  <w15:docId w15:val="{366E586B-4063-4656-8DA7-C443BE0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e"/>
    <w:uiPriority w:val="39"/>
    <w:rsid w:val="0002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Table Grid"/>
    <w:basedOn w:val="a2"/>
    <w:uiPriority w:val="20"/>
    <w:qFormat/>
    <w:locked/>
    <w:rsid w:val="0002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2025-10-11T00:52:00Z</dcterms:created>
  <dcterms:modified xsi:type="dcterms:W3CDTF">2025-10-11T01:26:00Z</dcterms:modified>
</cp:coreProperties>
</file>