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글들을 읽고 적절한 물음에 답하시오</w:t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34"/>
        <w:tabs/>
        <w:rPr/>
      </w:pPr>
      <w:r>
        <w:rPr/>
      </w:r>
    </w:p>
    <w:p>
      <w:pPr>
        <w:pStyle w:val="custom34"/>
        <w:tabs/>
        <w:rPr/>
      </w:pPr>
      <w:r>
        <w:rPr/>
        <w:t xml:space="preserve">사람들이 지속적으로 책을 읽는 이유 중 하나는 즐거움이다</w:t>
      </w:r>
      <w:r>
        <w:rPr/>
        <w:t xml:space="preserve">. </w:t>
      </w:r>
      <w:r>
        <w:rPr/>
        <w:t xml:space="preserve">독서의 즐거움에는 여러 가지가 있겠지만 그 중심에는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소통의 즐거움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이 있다</w:t>
      </w:r>
      <w:r>
        <w:rPr/>
        <w:t xml:space="preserve">.</w:t>
      </w:r>
    </w:p>
    <w:p>
      <w:pPr>
        <w:pStyle w:val="custom34"/>
        <w:tabs/>
        <w:rPr/>
      </w:pPr>
      <w:r>
        <w:rPr/>
        <w:t xml:space="preserve">독자는 독서를 통해 책과 소통하는 즐거움을 경험한다</w:t>
      </w:r>
      <w:r>
        <w:rPr/>
        <w:t xml:space="preserve">. </w:t>
      </w:r>
      <w:r>
        <w:rPr/>
        <w:t xml:space="preserve">독서는 필자와 간접적으로 대화하는 소통 행위이다</w:t>
      </w:r>
      <w:r>
        <w:rPr/>
        <w:t xml:space="preserve">. </w:t>
      </w:r>
      <w:r>
        <w:rPr/>
        <w:t xml:space="preserve">독자는 자신이 속한 사회나 시대의 영향 아래 필자가 속해 있거나 드러내고자 하는 사회나 시대를 경험한다</w:t>
      </w:r>
      <w:r>
        <w:rPr/>
        <w:t xml:space="preserve">. </w:t>
      </w:r>
      <w:r>
        <w:rPr/>
        <w:t xml:space="preserve">직접 경험하지 못했던 다양한 삶을 필자를 매개로 만나고 이해하면서 독자는 더 넓은 시야로 세계를 바라볼 수 있다</w:t>
      </w:r>
      <w:r>
        <w:rPr/>
        <w:t xml:space="preserve">. </w:t>
      </w:r>
      <w:r>
        <w:rPr/>
        <w:t xml:space="preserve">이때 같은 책을 읽은 독자라도 독자의 배경 지식이나 관점 등의 독자 요인</w:t>
      </w:r>
      <w:r>
        <w:rPr/>
        <w:t xml:space="preserve">, </w:t>
      </w:r>
      <w:r>
        <w:rPr/>
        <w:t xml:space="preserve">읽기 환경이나 과제 등의 상황 요인이 다르므로</w:t>
      </w:r>
      <w:r>
        <w:rPr/>
        <w:t xml:space="preserve">, </w:t>
      </w:r>
      <w:r>
        <w:rPr/>
        <w:t xml:space="preserve">필자가 보여 주는 세계를 그대로 수용하지 않고 저마다 소통 과정에서 다른 의미를 구성할 수 있다</w:t>
      </w:r>
      <w:r>
        <w:rPr/>
        <w:t xml:space="preserve">.</w:t>
      </w:r>
    </w:p>
    <w:p>
      <w:pPr>
        <w:pStyle w:val="custom1"/>
        <w:tabs/>
        <w:rPr/>
      </w:pPr>
      <w:r>
        <w:rPr/>
        <w:t xml:space="preserve">이러한 소통은 독자가 책의 내용에 대해 질문하고 답을 찾아내는 과정에서 가능해진다</w:t>
      </w:r>
      <w:r>
        <w:rPr/>
        <w:t xml:space="preserve">. </w:t>
      </w:r>
      <w:r>
        <w:rPr/>
        <w:t xml:space="preserve">독자는 책에서 답을 찾는 질문</w:t>
      </w:r>
      <w:r>
        <w:rPr/>
        <w:t xml:space="preserve">, </w:t>
      </w:r>
      <w:r>
        <w:rPr/>
        <w:t xml:space="preserve">독자 자신에게서 답을 찾는 질문 등을 제기할 수 있다</w:t>
      </w:r>
      <w:r>
        <w:rPr/>
        <w:t xml:space="preserve">. </w:t>
      </w:r>
      <w:r>
        <w:rPr/>
        <w:t xml:space="preserve">전자의 경우 책에 명시된 내용에서 답을 발견할 수 있고</w:t>
      </w:r>
      <w:r>
        <w:rPr/>
        <w:t xml:space="preserve">, </w:t>
      </w:r>
      <w:r>
        <w:rPr/>
        <w:t xml:space="preserve">책의 내용들을 관계 지으며 답에 해당하는 내용을 스스로 구성할 수도 있다</w:t>
      </w:r>
      <w:r>
        <w:rPr/>
        <w:t xml:space="preserve">. </w:t>
      </w:r>
      <w:r>
        <w:rPr/>
        <w:t xml:space="preserve">또한 후자의 경우 책에는 없는 독자의 경험에서 답을 찾을 수 있다</w:t>
      </w:r>
      <w:r>
        <w:rPr/>
        <w:t xml:space="preserve">. </w:t>
      </w:r>
      <w:r>
        <w:rPr/>
        <w:t xml:space="preserve">이런 질문들을 풍부히 생성하고 주체적으로 답을 찾을 때 소통의 즐거움은 더 커진다</w:t>
      </w:r>
      <w:r>
        <w:rPr/>
        <w:t xml:space="preserve">.</w:t>
      </w:r>
    </w:p>
    <w:tbl>
      <w:tblPr>
        <w:tblpPr w:leftFromText="56" w:rightFromText="85" w:vertAnchor="text" w:horzAnchor="text" w:tblpX="1" w:tblpY="83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"/>
        <w:gridCol w:w="233"/>
      </w:tblGrid>
      <w:tr>
        <w:trPr>
          <w:trHeight w:val="1139" w:hRule="atLeast"/>
          <w:cantSplit w:val="0"/>
        </w:trPr>
        <w:tc>
          <w:tcPr>
            <w:tcW w:w="233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33" w:type="dxa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342" w:hRule="atLeast"/>
          <w:cantSplit w:val="0"/>
        </w:trPr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>
            <w:pPr>
              <w:pStyle w:val="custom33"/>
              <w:tabs/>
              <w:rPr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95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95"/>
                <w:position w:val="0"/>
                <w:sz w:val="22"/>
                <w:szCs w:val="22"/>
                <w:shd w:val="clear" w:color="auto" w:fill="auto"/>
              </w:rPr>
              <w:t xml:space="preserve">[A]</w:t>
            </w:r>
          </w:p>
        </w:tc>
      </w:tr>
      <w:tr>
        <w:trPr>
          <w:trHeight w:val="1134" w:hRule="atLeast"/>
          <w:cantSplit w:val="0"/>
        </w:trPr>
        <w:tc>
          <w:tcPr>
            <w:tcW w:w="233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3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34"/>
        <w:tabs/>
        <w:rPr/>
      </w:pPr>
      <w:r>
        <w:rPr/>
        <w:t xml:space="preserve">한편 독자는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㉠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다른 독자와 소통하는 즐거움</w:t>
      </w:r>
      <w:r>
        <w:rPr/>
        <w:t xml:space="preserve">을 경험할 수도 있다</w:t>
      </w:r>
      <w:r>
        <w:rPr/>
        <w:t xml:space="preserve">. </w:t>
      </w:r>
      <w:r>
        <w:rPr/>
        <w:t xml:space="preserve">책과의 소통을 통해 개인적으로 형성한 의미를 독서 모임이나 독서 동아리 등에서 다른 독자들과 나누는 일이 이에 해당한다</w:t>
      </w:r>
      <w:r>
        <w:rPr/>
        <w:t xml:space="preserve">. </w:t>
      </w:r>
      <w:r>
        <w:rPr/>
        <w:t xml:space="preserve">비슷한 해석에 서로 공감하며 기존 인식을 강화하거나 관점의 차이를 확인하고 기존 인식을 조정하는 과정에서</w:t>
      </w:r>
      <w:r>
        <w:rPr/>
        <w:t xml:space="preserve">, </w:t>
      </w:r>
      <w:r>
        <w:rPr/>
        <w:t xml:space="preserve">독자는 자신의 인식을 심화 확장할 수 있다</w:t>
      </w:r>
      <w:r>
        <w:rPr/>
        <w:t xml:space="preserve">. </w:t>
      </w:r>
      <w:r>
        <w:rPr/>
        <w:t xml:space="preserve">최근 소통 공간이 온라인으로 확대되면서 독서를 통해 다른 독자들과 소통하며 즐거움을 누리는 양상이 더 다양해지고 있다</w:t>
      </w:r>
      <w:r>
        <w:rPr/>
        <w:t xml:space="preserve">. </w:t>
      </w:r>
      <w:r>
        <w:rPr/>
        <w:t xml:space="preserve">자신의 독서 경험을 담은 글이나 동영상을 생산 공유함으로써</w:t>
      </w:r>
      <w:r>
        <w:rPr/>
        <w:t xml:space="preserve">, </w:t>
      </w:r>
      <w:r>
        <w:rPr/>
        <w:t xml:space="preserve">책을 읽지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않은</w:t>
      </w:r>
      <w:r>
        <w:rPr/>
        <w:t xml:space="preserve"> 타인이 책과 소통하도록 돕는 것도 책을 통한 소통의 즐거움을 나누는 일이다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