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34"/>
        <w:tabs/>
        <w:rPr/>
      </w:pPr>
      <w:r>
        <w:rPr/>
      </w:r>
    </w:p>
    <w:p>
      <w:pPr>
        <w:pStyle w:val="custom34"/>
        <w:tabs/>
        <w:rPr/>
      </w:pPr>
      <w:r>
        <w:rPr/>
        <w:t xml:space="preserve">법령의 조문은 대개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A</w:t>
      </w:r>
      <w:r>
        <w:rPr/>
        <w:t xml:space="preserve">에 해당하면 </w:t>
      </w:r>
      <w:r>
        <w:rPr/>
        <w:t xml:space="preserve">B</w:t>
      </w:r>
      <w:r>
        <w:rPr/>
        <w:t xml:space="preserve">를 해야 한다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처럼 요건과 효과로 구성된 조건문으로 규정된다</w:t>
      </w:r>
      <w:r>
        <w:rPr/>
        <w:t xml:space="preserve">. </w:t>
      </w:r>
      <w:r>
        <w:rPr/>
        <w:t xml:space="preserve">하지만 그 요건이나 효과가 항상 일의적인 것은 아니다</w:t>
      </w:r>
      <w:r>
        <w:rPr/>
        <w:t xml:space="preserve">. </w:t>
      </w:r>
      <w:r>
        <w:rPr/>
        <w:t xml:space="preserve">법조문에는 구체적 상황을 고려해야 그 상황에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맞는</w:t>
      </w:r>
      <w:r>
        <w:rPr/>
        <w:t xml:space="preserve"> 진정한 의미가 파악되는 불확정 개념이 사용될 수 있기 때문이다</w:t>
      </w:r>
      <w:r>
        <w:rPr/>
        <w:t xml:space="preserve">. </w:t>
      </w:r>
      <w:r>
        <w:rPr/>
        <w:t xml:space="preserve">개인 간 법률관계를 규율하는 민법에서 불확정 개념이 사용된 예로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손해 배상 예정액이 부당히 과다한 경우에는 법원은 적당히 감액할 수 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라는 조문을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ⓑ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들</w:t>
      </w:r>
      <w:r>
        <w:rPr/>
        <w:t xml:space="preserve"> 수 있다</w:t>
      </w:r>
      <w:r>
        <w:rPr/>
        <w:t xml:space="preserve">. </w:t>
      </w:r>
      <w:r>
        <w:rPr/>
        <w:t xml:space="preserve">이때 법원은 요건과 효과를 재량으로 판단할 수 있다</w:t>
      </w:r>
      <w:r>
        <w:rPr/>
        <w:t xml:space="preserve">. </w:t>
      </w:r>
      <w:r>
        <w:rPr/>
        <w:t xml:space="preserve">손해 배상 예정액은 위약금의 일종이며</w:t>
      </w:r>
      <w:r>
        <w:rPr/>
        <w:t xml:space="preserve">, </w:t>
      </w:r>
      <w:r>
        <w:rPr/>
        <w:t xml:space="preserve">계약 위반에 대한 제재인 위약벌도 위약금에 속한다</w:t>
      </w:r>
      <w:r>
        <w:rPr/>
        <w:t xml:space="preserve">. </w:t>
      </w:r>
      <w:r>
        <w:rPr/>
        <w:t xml:space="preserve">위약금의 성격이 둘 중 무엇인지 증명되지 못하면 손해 배상 예정액으로 다루어진다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채무자의 잘못으로 계약 내용이 실현되지 못하여 계약 위반이 발생하면</w:t>
      </w:r>
      <w:r>
        <w:rPr/>
        <w:t xml:space="preserve">, </w:t>
      </w:r>
      <w:r>
        <w:rPr/>
        <w:t xml:space="preserve">이로 인해 손해를 입은 채권자가 손해 액수를 증명해야 그 액수만큼 손해 배상금을 받을 수 있다</w:t>
      </w:r>
      <w:r>
        <w:rPr/>
        <w:t xml:space="preserve">. </w:t>
      </w:r>
      <w:r>
        <w:rPr/>
        <w:t xml:space="preserve">그러나 손해 배상 예정액이 정해져 있었다면 채권자는 손해 액수를 증명하지 않아도 손해 배상 예정액만큼 손해 배상금을 받을 수 있다</w:t>
      </w:r>
      <w:r>
        <w:rPr/>
        <w:t xml:space="preserve">. </w:t>
      </w:r>
      <w:r>
        <w:rPr/>
        <w:t xml:space="preserve">이때 손해 액수가 얼마로 증명되든 손해 배상 예정액보다 더 받을 수는 없다</w:t>
      </w:r>
      <w:r>
        <w:rPr/>
        <w:t xml:space="preserve">. </w:t>
      </w:r>
      <w:r>
        <w:rPr/>
        <w:t xml:space="preserve">한편 위약금이 위약벌임이 증명되면 채권자는 위약벌에 해당하는 위약금을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ⓒ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받을</w:t>
      </w:r>
      <w:r>
        <w:rPr/>
        <w:t xml:space="preserve"> 수 있고</w:t>
      </w:r>
      <w:r>
        <w:rPr/>
        <w:t xml:space="preserve">, </w:t>
      </w:r>
      <w:r>
        <w:rPr/>
        <w:t xml:space="preserve">손해 배상 예정액과는 달리 법원이 감액할 수 없다</w:t>
      </w:r>
      <w:r>
        <w:rPr/>
        <w:t xml:space="preserve">. </w:t>
      </w:r>
      <w:r>
        <w:rPr/>
        <w:t xml:space="preserve">이때 채권자가 손해 액수를 증명하면 손해 배상금도 받을 수 있다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불확정 개념은 행정 법령에도 사용된다</w:t>
      </w:r>
      <w:r>
        <w:rPr/>
        <w:t xml:space="preserve">. </w:t>
      </w:r>
      <w:r>
        <w:rPr/>
        <w:t xml:space="preserve">행정 법령은 행정청이 구체적 사실에 대해 행하는 법 집행인 행정 작용을 규율한다</w:t>
      </w:r>
      <w:r>
        <w:rPr/>
        <w:t xml:space="preserve">. </w:t>
      </w:r>
      <w:r>
        <w:rPr/>
        <w:t xml:space="preserve">법령상 요건이 충족되면 그 효과로서 행정청이 반드시 해야 하는 특정 내용의 행정 작용은 기속 행위이다</w:t>
      </w:r>
      <w:r>
        <w:rPr/>
        <w:t xml:space="preserve">. </w:t>
      </w:r>
      <w:r>
        <w:rPr/>
        <w:t xml:space="preserve">반면 법령상 요건이 충족되더라도 그 효과인 행정 작용의 구체적 내용을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ⓓ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고를</w:t>
      </w:r>
      <w:r>
        <w:rPr/>
        <w:t xml:space="preserve"> 수 있는 재량이 행정청에 주어져 있을 때</w:t>
      </w:r>
      <w:r>
        <w:rPr/>
        <w:t xml:space="preserve">, </w:t>
      </w:r>
      <w:r>
        <w:rPr/>
        <w:t xml:space="preserve">이러한 재량을 행사하는 행정 작용은 재량 행위이다</w:t>
      </w:r>
      <w:r>
        <w:rPr/>
        <w:t xml:space="preserve">. </w:t>
      </w:r>
      <w:r>
        <w:rPr/>
        <w:t xml:space="preserve">법령에서 불확정 개념이 사용되면 이에 근거한 행정 작용은 대개 재량 행위이다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행정청은 재량으로 재량 행사의 기준을 명확히 정할 수 있는데 이 기준을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재량 준칙</w:t>
      </w:r>
      <w:r>
        <w:rPr/>
        <w:t xml:space="preserve">이라 한다</w:t>
      </w:r>
      <w:r>
        <w:rPr/>
        <w:t xml:space="preserve">. </w:t>
      </w:r>
      <w:r>
        <w:rPr/>
        <w:t xml:space="preserve">재량 준칙은 법령이 아니므로 재량 준칙대로 재량을 행사하지 않아도 근거 법령 위반은 아니다</w:t>
      </w:r>
      <w:r>
        <w:rPr/>
        <w:t xml:space="preserve">. </w:t>
      </w:r>
      <w:r>
        <w:rPr/>
        <w:t xml:space="preserve">다만 특정 요건하에 재량 준칙대로 특정한 내용의 적법한 행정 작용이 반복되어 행정 관행이 생긴 후에는</w:t>
      </w:r>
      <w:r>
        <w:rPr/>
        <w:t xml:space="preserve">, </w:t>
      </w:r>
      <w:r>
        <w:rPr/>
        <w:t xml:space="preserve">같은 요건이 충족되면 행정청은 동일한 내용의 행정 작용을 해야 한다</w:t>
      </w:r>
      <w:r>
        <w:rPr/>
        <w:t xml:space="preserve">. </w:t>
      </w:r>
      <w:r>
        <w:rPr/>
        <w:t xml:space="preserve">행정청은 평등 원칙을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지켜야</w:t>
      </w:r>
      <w:r>
        <w:rPr/>
        <w:t xml:space="preserve"> 하기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