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C9F8" w14:textId="3B7BE15D" w:rsidR="005E133E" w:rsidRPr="0090470E" w:rsidRDefault="00567BB5" w:rsidP="0090470E">
      <w:pPr>
        <w:pStyle w:val="a"/>
        <w:numPr>
          <w:ilvl w:val="0"/>
          <w:numId w:val="0"/>
        </w:numPr>
      </w:pPr>
      <w:bookmarkStart w:id="0" w:name="_Hlk209670525"/>
      <w:r w:rsidRPr="00567BB5">
        <w:t xml:space="preserve">다음 글을 읽고 물음에 </w:t>
      </w:r>
      <w:proofErr w:type="spellStart"/>
      <w:r w:rsidRPr="00567BB5">
        <w:t>답하시오</w:t>
      </w:r>
      <w:proofErr w:type="spellEnd"/>
      <w:r w:rsidRPr="00567BB5">
        <w:t>.</w:t>
      </w:r>
    </w:p>
    <w:bookmarkEnd w:id="0"/>
    <w:tbl>
      <w:tblPr>
        <w:tblStyle w:val="afc"/>
        <w:tblW w:w="0" w:type="auto"/>
        <w:tblInd w:w="9" w:type="dxa"/>
        <w:tblLook w:val="04A0" w:firstRow="1" w:lastRow="0" w:firstColumn="1" w:lastColumn="0" w:noHBand="0" w:noVBand="1"/>
      </w:tblPr>
      <w:tblGrid>
        <w:gridCol w:w="4797"/>
      </w:tblGrid>
      <w:tr w:rsidR="005E133E" w14:paraId="5F6A9710" w14:textId="77777777" w:rsidTr="00721145">
        <w:trPr>
          <w:trHeight w:val="416"/>
        </w:trPr>
        <w:tc>
          <w:tcPr>
            <w:tcW w:w="4797" w:type="dxa"/>
          </w:tcPr>
          <w:p w14:paraId="50298D47" w14:textId="720F82C5" w:rsidR="006F0117" w:rsidRPr="006F0117" w:rsidRDefault="006F0117" w:rsidP="008F2A2B">
            <w:pPr>
              <w:pStyle w:val="a9"/>
              <w:rPr>
                <w:rFonts w:ascii="학교안심 바른바탕 R" w:eastAsia="학교안심 바른바탕 R" w:hAnsi="학교안심 바른바탕 R" w:cs="조선굵은명조" w:hint="eastAsia"/>
                <w:b/>
                <w:bCs/>
              </w:rPr>
            </w:pPr>
          </w:p>
          <w:p w14:paraId="5F1775F0" w14:textId="0CAAEFEE" w:rsidR="005E133E" w:rsidRDefault="00721145" w:rsidP="008F2A2B">
            <w:pPr>
              <w:pStyle w:val="aa"/>
              <w:pBdr>
                <w:top w:val="none" w:sz="0" w:space="0" w:color="auto"/>
                <w:left w:val="none" w:sz="0" w:space="0" w:color="auto"/>
                <w:bottom w:val="none" w:sz="0" w:space="0" w:color="auto"/>
                <w:right w:val="none" w:sz="0" w:space="0" w:color="auto"/>
              </w:pBdr>
              <w:rPr>
                <w:rFonts w:hAnsi="학교안심 바른바탕 R"/>
              </w:rPr>
            </w:pPr>
            <w:r w:rsidRPr="00721145">
              <w:rPr>
                <w:rFonts w:hAnsi="학교안심 바른바탕 R"/>
              </w:rPr>
              <w:t xml:space="preserve">청정 에너지원 중 하나인 수소는 생산, 저장, 운송, 추출, 활용 등 전체 과정에서의 친환경성과 관련하여 높은 관심을 받고 있다. 재생 에너지를 통해 생산된 전기로 물을 </w:t>
            </w:r>
            <w:proofErr w:type="spellStart"/>
            <w:r w:rsidRPr="00721145">
              <w:rPr>
                <w:rFonts w:hAnsi="학교안심 바른바탕 R"/>
              </w:rPr>
              <w:t>전기분해하면</w:t>
            </w:r>
            <w:proofErr w:type="spellEnd"/>
            <w:r w:rsidRPr="00721145">
              <w:rPr>
                <w:rFonts w:hAnsi="학교안심 바른바탕 R"/>
              </w:rPr>
              <w:t xml:space="preserve"> 탄소 배출 없이 수소 생산이 가능하다. 생산된 수소 기체는 부피가 크고 폭발 위험성이 있어 저장 및 운송이 어렵다. 부피를 크게 ⓐ </w:t>
            </w:r>
            <w:r w:rsidRPr="00721145">
              <w:rPr>
                <w:rFonts w:hAnsi="학교안심 바른바탕 R"/>
                <w:u w:val="single"/>
              </w:rPr>
              <w:t>줄일</w:t>
            </w:r>
            <w:r w:rsidRPr="00721145">
              <w:rPr>
                <w:rFonts w:hAnsi="학교안심 바른바탕 R"/>
              </w:rPr>
              <w:t xml:space="preserve"> 수 있는 액화 수소 방식이 제안되었지만, 저장 및 운송 시 액화된 상태를 유지하려면 극저온의 조건이 필요하다는 문제가 있다. 이 때문에 액상 유기 화합물 또는 액화 암모니아와 같은 수소 운반체를 활용하는 방식이 제안되었다.</w:t>
            </w:r>
          </w:p>
          <w:p w14:paraId="0663FDB3" w14:textId="77777777" w:rsidR="00721145" w:rsidRDefault="00721145" w:rsidP="008F2A2B">
            <w:pPr>
              <w:pStyle w:val="aa"/>
              <w:pBdr>
                <w:top w:val="none" w:sz="0" w:space="0" w:color="auto"/>
                <w:left w:val="none" w:sz="0" w:space="0" w:color="auto"/>
                <w:bottom w:val="none" w:sz="0" w:space="0" w:color="auto"/>
                <w:right w:val="none" w:sz="0" w:space="0" w:color="auto"/>
              </w:pBdr>
            </w:pPr>
            <w:r>
              <w:t xml:space="preserve">액상 유기 화합물을 이용한 수소의 저장 및 추출에는 </w:t>
            </w:r>
            <w:proofErr w:type="spellStart"/>
            <w:r>
              <w:t>톨루엔과</w:t>
            </w:r>
            <w:proofErr w:type="spellEnd"/>
            <w:r>
              <w:t xml:space="preserve"> ㉠</w:t>
            </w:r>
            <w:proofErr w:type="spellStart"/>
            <w:r w:rsidRPr="00721145">
              <w:rPr>
                <w:u w:val="single"/>
              </w:rPr>
              <w:t>메틸사이클로헥세인</w:t>
            </w:r>
            <w:proofErr w:type="spellEnd"/>
            <w:r w:rsidRPr="00721145">
              <w:rPr>
                <w:u w:val="single"/>
              </w:rPr>
              <w:t>(MCH)</w:t>
            </w:r>
            <w:r>
              <w:t xml:space="preserve">이라는 두 화합물 간의 상호 전환 반응이 주로 사용된다. 이는 </w:t>
            </w:r>
            <w:proofErr w:type="spellStart"/>
            <w:r>
              <w:t>톨루엔에</w:t>
            </w:r>
            <w:proofErr w:type="spellEnd"/>
            <w:r>
              <w:t xml:space="preserve"> 수소가 결합해 MCH가 되고 역으로 MCH가 </w:t>
            </w:r>
            <w:proofErr w:type="spellStart"/>
            <w:r>
              <w:t>톨루엔과</w:t>
            </w:r>
            <w:proofErr w:type="spellEnd"/>
            <w:r>
              <w:t xml:space="preserve"> 수소로 변환되는 원리를 </w:t>
            </w:r>
            <w:r>
              <w:rPr>
                <w:rFonts w:hint="eastAsia"/>
              </w:rPr>
              <w:t>활용</w:t>
            </w:r>
            <w:r>
              <w:t>하는</w:t>
            </w:r>
            <w:r>
              <w:t xml:space="preserve"> 것이다. </w:t>
            </w:r>
            <w:proofErr w:type="spellStart"/>
            <w:r>
              <w:t>톨루엔</w:t>
            </w:r>
            <w:proofErr w:type="spellEnd"/>
            <w:r>
              <w:t xml:space="preserve"> 분자 하나에 세 개의 수소 분자가 결합할 때 각각의 수소 분자가 탄소와 수소 원자 간의 결합을 두 개씩 </w:t>
            </w:r>
            <w:r>
              <w:rPr>
                <w:rFonts w:ascii="MS Gothic" w:eastAsia="MS Gothic" w:hAnsi="MS Gothic" w:cs="MS Gothic" w:hint="eastAsia"/>
              </w:rPr>
              <w:t>ⓑ</w:t>
            </w:r>
            <w:r w:rsidRPr="00721145">
              <w:rPr>
                <w:u w:val="single"/>
              </w:rPr>
              <w:t>만들며</w:t>
            </w:r>
            <w:r>
              <w:t xml:space="preserve"> MCH 분자 하나가 생성된다. MCH는 취급 안전성 및 독성이 휘발유와 유사하므로 석유의 저장과 운송을 위한 기존 인프라를 이용할 수 있다. 또한 MCH가 액체이므로 증발 기체 발생으로 인한 누출 위험이 거의 없다. 하지만 </w:t>
            </w:r>
            <w:proofErr w:type="spellStart"/>
            <w:r>
              <w:t>톨루엔과</w:t>
            </w:r>
            <w:proofErr w:type="spellEnd"/>
            <w:r>
              <w:t xml:space="preserve"> MCH의 상호 전환을 통한 수소의 저장 및 추출이 반복되면서 화합물이 불안정해지는 문제가 있다. </w:t>
            </w:r>
          </w:p>
          <w:p w14:paraId="0247CB2C" w14:textId="77777777" w:rsidR="00721145" w:rsidRDefault="00721145" w:rsidP="008F2A2B">
            <w:pPr>
              <w:pStyle w:val="aa"/>
              <w:pBdr>
                <w:top w:val="none" w:sz="0" w:space="0" w:color="auto"/>
                <w:left w:val="none" w:sz="0" w:space="0" w:color="auto"/>
                <w:bottom w:val="none" w:sz="0" w:space="0" w:color="auto"/>
                <w:right w:val="none" w:sz="0" w:space="0" w:color="auto"/>
              </w:pBdr>
            </w:pPr>
            <w:r>
              <w:t>㉡</w:t>
            </w:r>
            <w:r w:rsidRPr="00721145">
              <w:rPr>
                <w:rFonts w:hint="eastAsia"/>
                <w:u w:val="single"/>
              </w:rPr>
              <w:t>암모니아</w:t>
            </w:r>
            <w:r>
              <w:t>는</w:t>
            </w:r>
            <w:r>
              <w:t xml:space="preserve"> 질소 원자와 수소 원자로 이루어진 화합물로서, 분자당 세 개의 수소 원자를 포함하고 있어 물보다 분자당 저장된 수소가 많다. 암모니아는 기존 비료 산업에서 사용하는 합성법으로 생산할 수 있고, 대규모의 투자 없이 기존 인프라를 이용하여 저장 및 운송할 수 있다. 하지만 높은 독성으로 인한 위험성은 해결해야 할 과제이다. 암모니아에서의 수소 추출 방식으로는 전기분해, 광분해, 그리고 가장 많이 </w:t>
            </w:r>
            <w:r>
              <w:rPr>
                <w:rFonts w:ascii="MS Gothic" w:eastAsia="MS Gothic" w:hAnsi="MS Gothic" w:cs="MS Gothic" w:hint="eastAsia"/>
              </w:rPr>
              <w:t>ⓒ</w:t>
            </w:r>
            <w:r w:rsidRPr="00721145">
              <w:rPr>
                <w:u w:val="single"/>
              </w:rPr>
              <w:t>쓰이는</w:t>
            </w:r>
            <w:r>
              <w:t xml:space="preserve"> 열분해가 있다. 각 방식에서는 암모니아 분해 반응이 일어나는데, 암모니아 분해 반응이란 암모니아가 분해되어 질소 기체와 수소 기체를 생성하는 반응이다. 이때 반응한 암모니아, 질소 기체, 수소 기체의 몰* 수의 비는 2:1:3이다. </w:t>
            </w:r>
            <w:r>
              <w:rPr>
                <w:rFonts w:ascii="Segoe UI Symbol" w:hAnsi="Segoe UI Symbol" w:cs="Segoe UI Symbol"/>
              </w:rPr>
              <w:t>Ⓐ</w:t>
            </w:r>
            <w:r w:rsidRPr="00721145">
              <w:rPr>
                <w:u w:val="single"/>
              </w:rPr>
              <w:t>열분해 방식</w:t>
            </w:r>
            <w:r>
              <w:t xml:space="preserve">을 통해 서는 0.9 이상의 전환율이 </w:t>
            </w:r>
            <w:r>
              <w:rPr>
                <w:rFonts w:ascii="MS Gothic" w:eastAsia="MS Gothic" w:hAnsi="MS Gothic" w:cs="MS Gothic" w:hint="eastAsia"/>
              </w:rPr>
              <w:t>ⓓ</w:t>
            </w:r>
            <w:r w:rsidRPr="00721145">
              <w:rPr>
                <w:rFonts w:hint="eastAsia"/>
                <w:u w:val="single"/>
              </w:rPr>
              <w:t>얻어지는데</w:t>
            </w:r>
            <w:r>
              <w:t>,</w:t>
            </w:r>
            <w:r>
              <w:t xml:space="preserve"> 부반응은 거의 없다. 여기서 전환율은 반응한 전체 암모니아의 몰 수를 공급한 암모니아의 몰 수로 나눈 값이며, 부반응이란 암모니아 분해 반응의 의도된 생성물 외의 다른 물질이 최종 물질로 생기는 반응을 뜻한다. </w:t>
            </w:r>
          </w:p>
          <w:p w14:paraId="176BA9C3" w14:textId="646B10F5" w:rsidR="00721145" w:rsidRPr="00721145" w:rsidRDefault="00721145" w:rsidP="008F2A2B">
            <w:pPr>
              <w:pStyle w:val="aa"/>
              <w:pBdr>
                <w:top w:val="none" w:sz="0" w:space="0" w:color="auto"/>
                <w:left w:val="none" w:sz="0" w:space="0" w:color="auto"/>
                <w:bottom w:val="none" w:sz="0" w:space="0" w:color="auto"/>
                <w:right w:val="none" w:sz="0" w:space="0" w:color="auto"/>
              </w:pBdr>
              <w:rPr>
                <w:rFonts w:hAnsi="학교안심 바른바탕 R"/>
              </w:rPr>
            </w:pPr>
            <w:r>
              <w:t xml:space="preserve">수소의 대표적 활용법인 수소 연료 전지는 수소의 화학 에너지를 전기 에너지로 직접 변환하는 장치로, 산화 극, 환원 극, 전해질, 도선으로 구성된다. 산화 극에서는 공급된 수소가 수소 이온과 전자로 분해되는 반응이 일어난다. 수소 이온은 전해질을 통해, 전자는 도선을 통해 환원 극으로 이동하면서 전기를 </w:t>
            </w:r>
            <w:r>
              <w:rPr>
                <w:rFonts w:hint="eastAsia"/>
              </w:rPr>
              <w:t>생산</w:t>
            </w:r>
            <w:r>
              <w:t>한다</w:t>
            </w:r>
            <w:r>
              <w:t xml:space="preserve">. 그리고 환원 극에서는 공급된 산소가 수소 이온과 전자를 만나 물을 생성한다. 이 외의 반응은 거의 </w:t>
            </w:r>
            <w:r>
              <w:rPr>
                <w:rFonts w:ascii="MS Gothic" w:eastAsia="MS Gothic" w:hAnsi="MS Gothic" w:cs="MS Gothic" w:hint="eastAsia"/>
              </w:rPr>
              <w:t>ⓔ</w:t>
            </w:r>
            <w:r w:rsidRPr="00721145">
              <w:rPr>
                <w:u w:val="single"/>
              </w:rPr>
              <w:t>일어나지</w:t>
            </w:r>
            <w:r>
              <w:t xml:space="preserve"> 않으므로 친환경적이다</w:t>
            </w:r>
          </w:p>
          <w:p w14:paraId="6F8BC0A6" w14:textId="26548C70" w:rsidR="006F0117" w:rsidRPr="006F0117" w:rsidRDefault="00721145" w:rsidP="00721145">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r w:rsidRPr="00721145">
              <w:rPr>
                <w:rFonts w:hAnsi="학교안심 바른바탕 R"/>
                <w:sz w:val="16"/>
                <w:szCs w:val="16"/>
              </w:rPr>
              <w:t xml:space="preserve">* 몰: 원자 또는 분자 </w:t>
            </w:r>
            <m:oMath>
              <m:r>
                <w:rPr>
                  <w:rFonts w:ascii="Cambria Math" w:hAnsi="Cambria Math"/>
                  <w:sz w:val="16"/>
                  <w:szCs w:val="16"/>
                </w:rPr>
                <m:t>6.02×</m:t>
              </m:r>
              <m:sSup>
                <m:sSupPr>
                  <m:ctrlPr>
                    <w:rPr>
                      <w:rFonts w:ascii="Cambria Math" w:hAnsi="Cambria Math"/>
                      <w:i/>
                      <w:sz w:val="16"/>
                      <w:szCs w:val="16"/>
                    </w:rPr>
                  </m:ctrlPr>
                </m:sSupPr>
                <m:e>
                  <m:r>
                    <w:rPr>
                      <w:rFonts w:ascii="Cambria Math" w:hAnsi="Cambria Math"/>
                      <w:sz w:val="16"/>
                      <w:szCs w:val="16"/>
                    </w:rPr>
                    <m:t>10</m:t>
                  </m:r>
                </m:e>
                <m:sup>
                  <m:r>
                    <m:rPr>
                      <m:sty m:val="p"/>
                    </m:rPr>
                    <w:rPr>
                      <w:rFonts w:ascii="Cambria Math" w:hAnsi="Cambria Math" w:hint="eastAsia"/>
                      <w:sz w:val="16"/>
                      <w:szCs w:val="16"/>
                    </w:rPr>
                    <m:t>23</m:t>
                  </m:r>
                </m:sup>
              </m:sSup>
            </m:oMath>
            <w:r w:rsidRPr="00721145">
              <w:rPr>
                <w:rFonts w:hAnsi="학교안심 바른바탕 R"/>
                <w:sz w:val="16"/>
                <w:szCs w:val="16"/>
              </w:rPr>
              <w:t>개.</w:t>
            </w:r>
          </w:p>
        </w:tc>
      </w:tr>
    </w:tbl>
    <w:p w14:paraId="14DDD961" w14:textId="4FCEF3D2" w:rsidR="0032721C" w:rsidRPr="00721145" w:rsidRDefault="0032721C" w:rsidP="00721145">
      <w:pPr>
        <w:widowControl/>
        <w:wordWrap/>
        <w:autoSpaceDE/>
        <w:autoSpaceDN/>
        <w:rPr>
          <w:rFonts w:ascii="함초롬바탕" w:eastAsia="함초롬바탕" w:hAnsi="Arial Unicode MS" w:cs="함초롬바탕" w:hint="eastAsia"/>
          <w:color w:val="000000"/>
          <w:sz w:val="20"/>
          <w:szCs w:val="20"/>
        </w:rPr>
      </w:pPr>
    </w:p>
    <w:sectPr w:rsidR="0032721C" w:rsidRPr="00721145"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5821C" w14:textId="77777777" w:rsidR="00881F96" w:rsidRDefault="00881F96" w:rsidP="00567BB5">
      <w:r>
        <w:separator/>
      </w:r>
    </w:p>
  </w:endnote>
  <w:endnote w:type="continuationSeparator" w:id="0">
    <w:p w14:paraId="7E878B63" w14:textId="77777777" w:rsidR="00881F96" w:rsidRDefault="00881F96"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AB089" w14:textId="77777777" w:rsidR="00881F96" w:rsidRDefault="00881F96" w:rsidP="00567BB5">
      <w:r>
        <w:separator/>
      </w:r>
    </w:p>
  </w:footnote>
  <w:footnote w:type="continuationSeparator" w:id="0">
    <w:p w14:paraId="4F505F46" w14:textId="77777777" w:rsidR="00881F96" w:rsidRDefault="00881F96"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2807D2"/>
    <w:rsid w:val="0032721C"/>
    <w:rsid w:val="00567BB5"/>
    <w:rsid w:val="005E133E"/>
    <w:rsid w:val="006F0117"/>
    <w:rsid w:val="006F6B9A"/>
    <w:rsid w:val="00721145"/>
    <w:rsid w:val="00881F96"/>
    <w:rsid w:val="008E4954"/>
    <w:rsid w:val="008F2A2B"/>
    <w:rsid w:val="0090470E"/>
    <w:rsid w:val="00913302"/>
    <w:rsid w:val="009B6C3D"/>
    <w:rsid w:val="009E01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A] 안"/>
    <w:basedOn w:val="a0"/>
    <w:link w:val="AChar"/>
    <w:qFormat/>
    <w:rsid w:val="006F0117"/>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1"/>
    <w:link w:val="Afd"/>
    <w:rsid w:val="006F0117"/>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1290</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2025-09-27T01:52:00Z</dcterms:created>
  <dcterms:modified xsi:type="dcterms:W3CDTF">2025-09-27T01:52:00Z</dcterms:modified>
</cp:coreProperties>
</file>