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B302" w14:textId="28A8B24A" w:rsidR="00F42FDB" w:rsidRPr="006272C0" w:rsidRDefault="00000000" w:rsidP="005F5582">
      <w:pPr>
        <w:spacing w:after="0" w:line="360" w:lineRule="auto"/>
        <w:ind w:firstLineChars="200" w:firstLine="562"/>
        <w:jc w:val="center"/>
        <w:rPr>
          <w:rFonts w:ascii="Times New Roman" w:eastAsia="宋体" w:hAnsi="Times New Roman"/>
          <w:color w:val="000000" w:themeColor="text1"/>
          <w:sz w:val="28"/>
          <w:szCs w:val="36"/>
          <w:lang w:eastAsia="zh-CN"/>
        </w:rPr>
      </w:pPr>
      <w:r w:rsidRPr="006272C0">
        <w:rPr>
          <w:rFonts w:ascii="Times New Roman" w:eastAsia="宋体" w:hAnsi="Times New Roman" w:cs="Arial Unicode MS"/>
          <w:b/>
          <w:color w:val="000000" w:themeColor="text1"/>
          <w:sz w:val="28"/>
          <w:szCs w:val="36"/>
          <w:lang w:eastAsia="zh-CN"/>
        </w:rPr>
        <w:t>安卓</w:t>
      </w:r>
      <w:r w:rsidRPr="006272C0">
        <w:rPr>
          <w:rFonts w:ascii="Times New Roman" w:eastAsia="宋体" w:hAnsi="Times New Roman" w:cs="Times New Roman"/>
          <w:color w:val="000000" w:themeColor="text1"/>
          <w:sz w:val="28"/>
          <w:szCs w:val="36"/>
          <w:lang w:eastAsia="zh-CN"/>
        </w:rPr>
        <w:t>Ap</w:t>
      </w:r>
      <w:r w:rsidR="00E9709B" w:rsidRPr="006272C0">
        <w:rPr>
          <w:rFonts w:ascii="Times New Roman" w:eastAsia="宋体" w:hAnsi="Times New Roman" w:cs="Times New Roman"/>
          <w:color w:val="000000" w:themeColor="text1"/>
          <w:sz w:val="28"/>
          <w:szCs w:val="36"/>
          <w:lang w:eastAsia="zh-CN"/>
        </w:rPr>
        <w:t>p</w:t>
      </w:r>
      <w:r w:rsidRPr="006272C0">
        <w:rPr>
          <w:rFonts w:ascii="Times New Roman" w:eastAsia="宋体" w:hAnsi="Times New Roman" w:cs="Arial Unicode MS"/>
          <w:b/>
          <w:color w:val="000000" w:themeColor="text1"/>
          <w:sz w:val="28"/>
          <w:szCs w:val="36"/>
          <w:lang w:eastAsia="zh-CN"/>
        </w:rPr>
        <w:t>与污染物扩散预测软件开发技术方案</w:t>
      </w:r>
    </w:p>
    <w:p w14:paraId="5A7B3E6D" w14:textId="77777777" w:rsidR="00F42FDB" w:rsidRPr="006272C0" w:rsidRDefault="00000000" w:rsidP="005F5582">
      <w:pPr>
        <w:spacing w:after="0" w:line="360" w:lineRule="auto"/>
        <w:ind w:firstLineChars="200" w:firstLine="560"/>
        <w:jc w:val="center"/>
        <w:rPr>
          <w:rFonts w:ascii="Times New Roman" w:eastAsia="宋体" w:hAnsi="Times New Roman"/>
          <w:color w:val="000000" w:themeColor="text1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color w:val="000000" w:themeColor="text1"/>
          <w:sz w:val="28"/>
          <w:lang w:eastAsia="zh-CN"/>
        </w:rPr>
        <w:t>兰州原油库、成品油库数字化监控与污染源扩散预测移动端建设</w:t>
      </w:r>
    </w:p>
    <w:p w14:paraId="0BCB64EC" w14:textId="7918637B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color w:val="000000" w:themeColor="text1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color w:val="000000" w:themeColor="text1"/>
          <w:sz w:val="28"/>
          <w:szCs w:val="24"/>
          <w:lang w:eastAsia="zh-CN"/>
        </w:rPr>
        <w:t>本章节围绕数字化监控平台污染源数据分析、污染物浓度指标抓取、监测点位布局展示、污染物扩散模型软件化、地下水与大气影响校验、典型敏感点提前预警以及安卓</w:t>
      </w:r>
      <w:r w:rsidRPr="006272C0">
        <w:rPr>
          <w:rFonts w:ascii="Times New Roman" w:eastAsia="宋体" w:hAnsi="Times New Roman" w:cs="Arial Unicode MS"/>
          <w:color w:val="000000" w:themeColor="text1"/>
          <w:sz w:val="28"/>
          <w:szCs w:val="24"/>
          <w:lang w:eastAsia="zh-CN"/>
        </w:rPr>
        <w:t xml:space="preserve"> App </w:t>
      </w:r>
      <w:r w:rsidRPr="006272C0">
        <w:rPr>
          <w:rFonts w:ascii="Times New Roman" w:eastAsia="宋体" w:hAnsi="Times New Roman" w:cs="Arial Unicode MS"/>
          <w:color w:val="000000" w:themeColor="text1"/>
          <w:sz w:val="28"/>
          <w:szCs w:val="24"/>
          <w:lang w:eastAsia="zh-CN"/>
        </w:rPr>
        <w:t>源代码交付与部署等软件开发任务进行专项说明。</w:t>
      </w:r>
    </w:p>
    <w:p w14:paraId="14EB56D4" w14:textId="091EEF28" w:rsidR="00F42FDB" w:rsidRPr="007E7E79" w:rsidRDefault="00E914ED" w:rsidP="007E7E79">
      <w:pPr>
        <w:spacing w:after="0" w:line="360" w:lineRule="auto"/>
        <w:rPr>
          <w:rFonts w:ascii="Times New Roman" w:eastAsia="宋体" w:hAnsi="Times New Roman" w:cs="黑体"/>
          <w:b/>
          <w:bCs/>
          <w:sz w:val="28"/>
          <w:lang w:eastAsia="zh-CN"/>
        </w:rPr>
      </w:pPr>
      <w:r w:rsidRPr="007E7E79">
        <w:rPr>
          <w:rFonts w:ascii="Times New Roman" w:eastAsia="宋体" w:hAnsi="Times New Roman" w:hint="eastAsia"/>
          <w:b/>
          <w:bCs/>
          <w:sz w:val="28"/>
          <w:lang w:eastAsia="zh-CN"/>
        </w:rPr>
        <w:t xml:space="preserve">10.4.1. </w:t>
      </w:r>
      <w:r w:rsidRPr="007E7E79">
        <w:rPr>
          <w:rFonts w:ascii="Times New Roman" w:eastAsia="宋体" w:hAnsi="Times New Roman" w:hint="eastAsia"/>
          <w:b/>
          <w:bCs/>
          <w:sz w:val="28"/>
          <w:lang w:eastAsia="zh-CN"/>
        </w:rPr>
        <w:t>移动端总体架构设计</w:t>
      </w:r>
    </w:p>
    <w:p w14:paraId="236EB31F" w14:textId="719BE0C9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软件总体采用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“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安卓客户端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+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数据接入与治理模块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+ 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GIS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点位模块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+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情景管理模块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+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扩散模型计算模块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+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影响校验模块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+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预警规则模块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”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的分层架构。安卓客户端采用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Kotlin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和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Jetpack Compose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开发；数据接入模块负责对接已有数字化监控平台；模型计算模块封装大气扩散、地下水迁移及参数校验逻辑；预警模块根据监测数据、模型结果和敏感点判定规则生成预警。</w:t>
      </w:r>
    </w:p>
    <w:p w14:paraId="68DA7743" w14:textId="77777777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表现层负责态势、点位、预测、预警、应急辅助和消息通知页面；业务层负责监测数据整理、情景参数校验、模型任务调度、风险分级和页面状态管理；数据层统一管理远程接口、本地缓存、数据字典与演示数据；模型集成层负责输入参数组装、计算任务提交、状态轮询、结果解析和模型版本记录；平台接入层负责监测平台、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GIS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、气象水文数据及消息服务对接。</w:t>
      </w:r>
    </w:p>
    <w:p w14:paraId="201E3EBA" w14:textId="2DADDF3C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安卓客户端采用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MVVM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架构，使用</w:t>
      </w:r>
      <w:proofErr w:type="spellStart"/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ViewModel</w:t>
      </w:r>
      <w:proofErr w:type="spellEnd"/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管理页面状态，与远程数据源。核心数据对象包括油库、污染源、监测点、污染物指标、采样记录、气象参数、水文地质参数、预测情景、模型任务、扩散结果、敏感点、预警事件和应急建议等。数据对象使用统一编码、单位和时间格式，保证平台数据、模型输入和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App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展示一致。</w:t>
      </w:r>
    </w:p>
    <w:p w14:paraId="435922F0" w14:textId="42C76FA8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软件支持接口超时重试、弱网缓存、数据更新时间提示、异常值标识和模型任务失败重试。接口传输采用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HTTPS/TLS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，身份认证、角色权限、操作日志和敏感配置通过统一安全机制管理。模型输入、输出、版本、计算时间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lastRenderedPageBreak/>
        <w:t>和参数摘要均留存，满足预测结果复核与问题追踪要求。</w:t>
      </w:r>
      <w:r w:rsidR="00213E0F">
        <w:rPr>
          <w:rFonts w:ascii="Times New Roman" w:eastAsia="宋体" w:hAnsi="Times New Roman" w:cs="Arial Unicode MS" w:hint="eastAsia"/>
          <w:sz w:val="28"/>
          <w:szCs w:val="24"/>
          <w:lang w:eastAsia="zh-CN"/>
        </w:rPr>
        <w:t>当项目需求</w:t>
      </w:r>
      <w:r w:rsidR="00213E0F" w:rsidRPr="00213E0F">
        <w:rPr>
          <w:rFonts w:ascii="Times New Roman" w:eastAsia="宋体" w:hAnsi="Times New Roman" w:cs="Arial Unicode MS" w:hint="eastAsia"/>
          <w:sz w:val="28"/>
          <w:szCs w:val="24"/>
          <w:lang w:eastAsia="zh-CN"/>
        </w:rPr>
        <w:t>发生重大变更时，由项目各方对新增工作量、进度影响和验收安排进行书面确认</w:t>
      </w:r>
      <w:r w:rsidR="000E7F69">
        <w:rPr>
          <w:rFonts w:ascii="Times New Roman" w:eastAsia="宋体" w:hAnsi="Times New Roman" w:cs="Arial Unicode MS" w:hint="eastAsia"/>
          <w:sz w:val="28"/>
          <w:szCs w:val="24"/>
          <w:lang w:eastAsia="zh-CN"/>
        </w:rPr>
        <w:t>。</w:t>
      </w:r>
    </w:p>
    <w:tbl>
      <w:tblPr>
        <w:tblStyle w:val="af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7"/>
        <w:gridCol w:w="6576"/>
      </w:tblGrid>
      <w:tr w:rsidR="002479DA" w:rsidRPr="001D3DC2" w14:paraId="6F7DA249" w14:textId="77777777" w:rsidTr="001D3DC2">
        <w:trPr>
          <w:jc w:val="center"/>
        </w:trPr>
        <w:tc>
          <w:tcPr>
            <w:tcW w:w="2607" w:type="dxa"/>
            <w:vAlign w:val="center"/>
          </w:tcPr>
          <w:p w14:paraId="12ED0702" w14:textId="77777777" w:rsidR="002479DA" w:rsidRPr="001D3DC2" w:rsidRDefault="002479DA" w:rsidP="001D3DC2">
            <w:pPr>
              <w:spacing w:after="0" w:line="240" w:lineRule="auto"/>
              <w:ind w:firstLineChars="200" w:firstLine="482"/>
              <w:jc w:val="both"/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1D3DC2">
              <w:rPr>
                <w:rFonts w:ascii="Times New Roman" w:eastAsia="宋体" w:hAnsi="Times New Roman" w:cs="Arial Unicode MS"/>
                <w:b/>
                <w:color w:val="000000" w:themeColor="text1"/>
                <w:sz w:val="24"/>
                <w:szCs w:val="24"/>
              </w:rPr>
              <w:t>软件开发需求</w:t>
            </w:r>
            <w:proofErr w:type="spellEnd"/>
          </w:p>
        </w:tc>
        <w:tc>
          <w:tcPr>
            <w:tcW w:w="6576" w:type="dxa"/>
            <w:vAlign w:val="center"/>
          </w:tcPr>
          <w:p w14:paraId="2A32874F" w14:textId="77777777" w:rsidR="002479DA" w:rsidRPr="001D3DC2" w:rsidRDefault="002479DA" w:rsidP="001D3DC2">
            <w:pPr>
              <w:spacing w:after="0" w:line="240" w:lineRule="auto"/>
              <w:ind w:firstLineChars="200" w:firstLine="482"/>
              <w:jc w:val="center"/>
              <w:rPr>
                <w:rFonts w:ascii="Times New Roman" w:eastAsia="宋体" w:hAnsi="Times New Roman"/>
                <w:color w:val="000000" w:themeColor="text1"/>
                <w:sz w:val="24"/>
                <w:szCs w:val="24"/>
              </w:rPr>
            </w:pPr>
            <w:r w:rsidRPr="001D3DC2">
              <w:rPr>
                <w:rFonts w:ascii="Times New Roman" w:eastAsia="宋体" w:hAnsi="Times New Roman" w:cs="Arial Unicode MS"/>
                <w:b/>
                <w:color w:val="000000" w:themeColor="text1"/>
                <w:sz w:val="24"/>
                <w:szCs w:val="24"/>
              </w:rPr>
              <w:t>软件技术响应</w:t>
            </w:r>
          </w:p>
        </w:tc>
      </w:tr>
      <w:tr w:rsidR="002479DA" w:rsidRPr="001D3DC2" w14:paraId="717100D5" w14:textId="77777777" w:rsidTr="001D3DC2">
        <w:trPr>
          <w:jc w:val="center"/>
        </w:trPr>
        <w:tc>
          <w:tcPr>
            <w:tcW w:w="2607" w:type="dxa"/>
            <w:vAlign w:val="center"/>
          </w:tcPr>
          <w:p w14:paraId="41C7BA63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分析梳理污染源监控数据</w:t>
            </w:r>
          </w:p>
        </w:tc>
        <w:tc>
          <w:tcPr>
            <w:tcW w:w="6576" w:type="dxa"/>
            <w:vAlign w:val="center"/>
          </w:tcPr>
          <w:p w14:paraId="26464926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接入数字化监控平台数据，完成字段映射、数据清洗、单位统一、质量标识和时间序列整理。</w:t>
            </w:r>
          </w:p>
        </w:tc>
      </w:tr>
      <w:tr w:rsidR="002479DA" w:rsidRPr="001D3DC2" w14:paraId="1E7F3BEA" w14:textId="77777777" w:rsidTr="001D3DC2">
        <w:trPr>
          <w:jc w:val="center"/>
        </w:trPr>
        <w:tc>
          <w:tcPr>
            <w:tcW w:w="2607" w:type="dxa"/>
            <w:vAlign w:val="center"/>
          </w:tcPr>
          <w:p w14:paraId="1739D6E7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抓取污染物浓度监测指标</w:t>
            </w:r>
          </w:p>
        </w:tc>
        <w:tc>
          <w:tcPr>
            <w:tcW w:w="6576" w:type="dxa"/>
            <w:vAlign w:val="center"/>
          </w:tcPr>
          <w:p w14:paraId="20F62892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按油库、点位、污染物和时间范围获取浓度、阈值、单位、采样时间、设备状态及变化趋势。</w:t>
            </w:r>
          </w:p>
        </w:tc>
      </w:tr>
      <w:tr w:rsidR="002479DA" w:rsidRPr="001D3DC2" w14:paraId="53A32F23" w14:textId="77777777" w:rsidTr="001D3DC2">
        <w:trPr>
          <w:jc w:val="center"/>
        </w:trPr>
        <w:tc>
          <w:tcPr>
            <w:tcW w:w="2607" w:type="dxa"/>
            <w:vAlign w:val="center"/>
          </w:tcPr>
          <w:p w14:paraId="122A2F71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获取监测点位布局</w:t>
            </w:r>
            <w:proofErr w:type="spellEnd"/>
          </w:p>
        </w:tc>
        <w:tc>
          <w:tcPr>
            <w:tcW w:w="6576" w:type="dxa"/>
            <w:vAlign w:val="center"/>
          </w:tcPr>
          <w:p w14:paraId="776AB4B3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通过</w:t>
            </w: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 xml:space="preserve"> GIS </w:t>
            </w: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图层展示污染源、大气点、地下水井、土壤点和典型敏感点，并与监测数据唯一关联。</w:t>
            </w:r>
          </w:p>
        </w:tc>
      </w:tr>
      <w:tr w:rsidR="002479DA" w:rsidRPr="001D3DC2" w14:paraId="4F38FBBE" w14:textId="77777777" w:rsidTr="001D3DC2">
        <w:trPr>
          <w:jc w:val="center"/>
        </w:trPr>
        <w:tc>
          <w:tcPr>
            <w:tcW w:w="2607" w:type="dxa"/>
            <w:vAlign w:val="center"/>
          </w:tcPr>
          <w:p w14:paraId="36543226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结合监测条件构建扩散模型</w:t>
            </w:r>
          </w:p>
        </w:tc>
        <w:tc>
          <w:tcPr>
            <w:tcW w:w="6576" w:type="dxa"/>
            <w:vAlign w:val="center"/>
          </w:tcPr>
          <w:p w14:paraId="5714ACE0" w14:textId="0CAB8C12" w:rsidR="002479DA" w:rsidRPr="001D3DC2" w:rsidRDefault="00213E0F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213E0F">
              <w:rPr>
                <w:rFonts w:ascii="Times New Roman" w:eastAsia="宋体" w:hAnsi="Times New Roman" w:cs="Arial Unicode MS" w:hint="eastAsia"/>
                <w:sz w:val="24"/>
                <w:szCs w:val="24"/>
                <w:lang w:eastAsia="zh-CN"/>
              </w:rPr>
              <w:t>依据项目环境专业技术团队确认的监测条件、模型技术路线、参数体系和校验基准，完成大气扩散、地下水迁移算法的软件化封装、参数配置与任务调度；模型科学适用性由专业技术团队确认。</w:t>
            </w:r>
          </w:p>
        </w:tc>
      </w:tr>
      <w:tr w:rsidR="002479DA" w:rsidRPr="001D3DC2" w14:paraId="04EF8F3C" w14:textId="77777777" w:rsidTr="001D3DC2">
        <w:trPr>
          <w:jc w:val="center"/>
        </w:trPr>
        <w:tc>
          <w:tcPr>
            <w:tcW w:w="2607" w:type="dxa"/>
            <w:vAlign w:val="center"/>
          </w:tcPr>
          <w:p w14:paraId="581E9737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编制扩散预测软件并提供源码</w:t>
            </w:r>
          </w:p>
        </w:tc>
        <w:tc>
          <w:tcPr>
            <w:tcW w:w="6576" w:type="dxa"/>
            <w:vAlign w:val="center"/>
          </w:tcPr>
          <w:p w14:paraId="289C081A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交付安卓客户端、模型计算模块、数据适配和预警模块的可编译源代码、配置文件及构建文档。</w:t>
            </w:r>
          </w:p>
        </w:tc>
      </w:tr>
      <w:tr w:rsidR="002479DA" w:rsidRPr="001D3DC2" w14:paraId="5406F6F0" w14:textId="77777777" w:rsidTr="001D3DC2">
        <w:trPr>
          <w:jc w:val="center"/>
        </w:trPr>
        <w:tc>
          <w:tcPr>
            <w:tcW w:w="2607" w:type="dxa"/>
            <w:vAlign w:val="center"/>
          </w:tcPr>
          <w:p w14:paraId="7556B6B4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实现突发污染有效监控</w:t>
            </w:r>
          </w:p>
        </w:tc>
        <w:tc>
          <w:tcPr>
            <w:tcW w:w="6576" w:type="dxa"/>
            <w:vAlign w:val="center"/>
          </w:tcPr>
          <w:p w14:paraId="1AAC034A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建立事件、情景、模型任务、影响结果和预警状态的关联展示，支持实时查看、查询与追溯。</w:t>
            </w:r>
          </w:p>
        </w:tc>
      </w:tr>
      <w:tr w:rsidR="002479DA" w:rsidRPr="001D3DC2" w14:paraId="1F0DBCCC" w14:textId="77777777" w:rsidTr="001D3DC2">
        <w:trPr>
          <w:jc w:val="center"/>
        </w:trPr>
        <w:tc>
          <w:tcPr>
            <w:tcW w:w="2607" w:type="dxa"/>
            <w:vAlign w:val="center"/>
          </w:tcPr>
          <w:p w14:paraId="2A3C32D9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支持突发污染情景模式</w:t>
            </w:r>
          </w:p>
        </w:tc>
        <w:tc>
          <w:tcPr>
            <w:tcW w:w="6576" w:type="dxa"/>
            <w:vAlign w:val="center"/>
          </w:tcPr>
          <w:p w14:paraId="62778A9E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配置污染源、污染物、源强、释放方式、持续时间、气象、水文地质和预测时段等参数。</w:t>
            </w:r>
          </w:p>
        </w:tc>
      </w:tr>
      <w:tr w:rsidR="002479DA" w:rsidRPr="001D3DC2" w14:paraId="53BDF6DD" w14:textId="77777777" w:rsidTr="001D3DC2">
        <w:trPr>
          <w:jc w:val="center"/>
        </w:trPr>
        <w:tc>
          <w:tcPr>
            <w:tcW w:w="2607" w:type="dxa"/>
            <w:vAlign w:val="center"/>
          </w:tcPr>
          <w:p w14:paraId="6D109913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校验地下水和大气环境影响</w:t>
            </w:r>
          </w:p>
        </w:tc>
        <w:tc>
          <w:tcPr>
            <w:tcW w:w="6576" w:type="dxa"/>
            <w:vAlign w:val="center"/>
          </w:tcPr>
          <w:p w14:paraId="30CD6C3C" w14:textId="2E58B83F" w:rsidR="002479DA" w:rsidRPr="001D3DC2" w:rsidRDefault="002427F3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2427F3">
              <w:rPr>
                <w:rFonts w:ascii="Times New Roman" w:eastAsia="宋体" w:hAnsi="Times New Roman" w:cs="Arial Unicode MS" w:hint="eastAsia"/>
                <w:sz w:val="24"/>
                <w:szCs w:val="24"/>
                <w:lang w:eastAsia="zh-CN"/>
              </w:rPr>
              <w:t>分别展示大气扩散与地下水迁移的结果，并对照相关标准进行校验，记录对比数据、误差指标、模型版本和校验结论；软件验收重点为计算调用、参数传递、结果解析、可视化和记录可追溯性。</w:t>
            </w:r>
          </w:p>
        </w:tc>
      </w:tr>
      <w:tr w:rsidR="002479DA" w:rsidRPr="001D3DC2" w14:paraId="591BA7EC" w14:textId="77777777" w:rsidTr="001D3DC2">
        <w:trPr>
          <w:jc w:val="center"/>
        </w:trPr>
        <w:tc>
          <w:tcPr>
            <w:tcW w:w="2607" w:type="dxa"/>
            <w:vAlign w:val="center"/>
          </w:tcPr>
          <w:p w14:paraId="39B4578C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典型敏感点提前预警</w:t>
            </w:r>
            <w:proofErr w:type="spellEnd"/>
          </w:p>
        </w:tc>
        <w:tc>
          <w:tcPr>
            <w:tcW w:w="6576" w:type="dxa"/>
            <w:vAlign w:val="center"/>
          </w:tcPr>
          <w:p w14:paraId="568F78D7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依据预测影响范围、暴露浓度和预计到达时间，对居民区、学校、黄河及取水口等敏感点分级预警。</w:t>
            </w:r>
          </w:p>
        </w:tc>
      </w:tr>
      <w:tr w:rsidR="002479DA" w:rsidRPr="001D3DC2" w14:paraId="41E627DA" w14:textId="77777777" w:rsidTr="001D3DC2">
        <w:trPr>
          <w:jc w:val="center"/>
        </w:trPr>
        <w:tc>
          <w:tcPr>
            <w:tcW w:w="2607" w:type="dxa"/>
            <w:vAlign w:val="center"/>
          </w:tcPr>
          <w:p w14:paraId="1505DE15" w14:textId="77777777" w:rsidR="002479DA" w:rsidRPr="001D3DC2" w:rsidRDefault="002479DA" w:rsidP="001D3DC2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bCs/>
                <w:sz w:val="24"/>
                <w:szCs w:val="24"/>
                <w:lang w:eastAsia="zh-CN"/>
              </w:rPr>
              <w:t>支撑应急措施超前实施</w:t>
            </w:r>
          </w:p>
        </w:tc>
        <w:tc>
          <w:tcPr>
            <w:tcW w:w="6576" w:type="dxa"/>
            <w:vAlign w:val="center"/>
          </w:tcPr>
          <w:p w14:paraId="1D257AD6" w14:textId="77777777" w:rsidR="002479DA" w:rsidRPr="001D3DC2" w:rsidRDefault="002479DA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1D3DC2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根据污染物、风险等级和预计到达时间推送应急辅助建议，并记录下发、接收和反馈状态。</w:t>
            </w:r>
          </w:p>
        </w:tc>
      </w:tr>
    </w:tbl>
    <w:p w14:paraId="07E416F9" w14:textId="77777777" w:rsidR="00320CB5" w:rsidRPr="006272C0" w:rsidRDefault="00320CB5" w:rsidP="007E7E79">
      <w:pPr>
        <w:spacing w:after="0" w:line="360" w:lineRule="auto"/>
        <w:jc w:val="both"/>
        <w:rPr>
          <w:rFonts w:ascii="Times New Roman" w:eastAsia="宋体" w:hAnsi="Times New Roman"/>
          <w:sz w:val="28"/>
          <w:szCs w:val="24"/>
          <w:lang w:eastAsia="zh-CN"/>
        </w:rPr>
      </w:pPr>
    </w:p>
    <w:p w14:paraId="2AB9739A" w14:textId="1E3A8D6E" w:rsidR="00F42FDB" w:rsidRPr="007E7E79" w:rsidRDefault="00E914ED" w:rsidP="007E7E79">
      <w:pPr>
        <w:spacing w:after="0" w:line="360" w:lineRule="auto"/>
        <w:rPr>
          <w:rFonts w:ascii="Times New Roman" w:eastAsia="宋体" w:hAnsi="Times New Roman" w:cs="黑体"/>
          <w:b/>
          <w:bCs/>
          <w:sz w:val="28"/>
          <w:lang w:eastAsia="zh-CN"/>
        </w:rPr>
      </w:pPr>
      <w:r w:rsidRPr="007E7E79">
        <w:rPr>
          <w:rFonts w:ascii="Times New Roman" w:eastAsia="宋体" w:hAnsi="Times New Roman" w:hint="eastAsia"/>
          <w:b/>
          <w:bCs/>
          <w:color w:val="000000" w:themeColor="text1"/>
          <w:sz w:val="28"/>
          <w:lang w:eastAsia="zh-CN"/>
        </w:rPr>
        <w:t>10.4.2</w:t>
      </w:r>
      <w:r w:rsidRPr="007E7E79">
        <w:rPr>
          <w:rFonts w:ascii="Times New Roman" w:eastAsia="宋体" w:hAnsi="Times New Roman" w:hint="eastAsia"/>
          <w:b/>
          <w:bCs/>
          <w:sz w:val="28"/>
          <w:lang w:eastAsia="zh-CN"/>
        </w:rPr>
        <w:t xml:space="preserve">. </w:t>
      </w:r>
      <w:r w:rsidRPr="007E7E79">
        <w:rPr>
          <w:rFonts w:ascii="Times New Roman" w:eastAsia="宋体" w:hAnsi="Times New Roman" w:hint="eastAsia"/>
          <w:b/>
          <w:bCs/>
          <w:sz w:val="28"/>
          <w:lang w:eastAsia="zh-CN"/>
        </w:rPr>
        <w:t>移动端功能模块设计</w:t>
      </w:r>
    </w:p>
    <w:p w14:paraId="2794A234" w14:textId="4A92649E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安卓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App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设置态势、点位、预测、预警和应急辅助五个核心业务入口。功能设计直接对应污染源数据分析、指标抓取、点位布局、模型预测、环境影响校验、敏感点预警和应急措施超前实施等软件需求。</w:t>
      </w:r>
    </w:p>
    <w:p w14:paraId="0C1F74C5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监控态势模块：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汇总原油库和成品油库污染源运行状态、监测点在线情况、污染物浓度、超限数量、最新模型任务和预警事件。用户可按油库、区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lastRenderedPageBreak/>
        <w:t>域、污染物和时间范围筛选数据，并查看实时值、阈值、变化趋势、数据质量标识和更新时间。</w:t>
      </w:r>
    </w:p>
    <w:p w14:paraId="2DCF4ECF" w14:textId="65AD6515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点位布局模块：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在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GIS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地图上展示污染源、大气监测点、地下水监测井、土壤监测点及居民区、学校、黄河岸线、取水口等典型敏感点。用户可查看点位编号、坐标、类型、监测指标、最新数据和历史趋势，并支持图层开关、条件筛选、点位检索和详情联动。</w:t>
      </w:r>
    </w:p>
    <w:p w14:paraId="050F193E" w14:textId="4C9A4608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扩散预测模块：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用户选择突发污染情景、污染源、污染物、源强、释放方式、持续时间、气象条件、水文地质参数和预测时段后，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App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对参数进行完整性与范围校验，并提交模型任务。计算完成后展示大气扩散方向、浓度分区、地下水迁移范围、最大浓度、影响面积、时间序列和敏感点预计到达时间，同时保留模型名称、版本和输入参数摘要。</w:t>
      </w:r>
    </w:p>
    <w:p w14:paraId="2F482249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影响校验与预警模块：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软件分别呈现地下水和大气环境影响结果，并按照项目确定的监测数据、模型结果或历史场景进行对比校验。预警规则综合污染物浓度阈值、预测影响范围、敏感点暴露浓度和预计到达时间进行分级，支持预警确认、转派、解除、归档及记录查询。</w:t>
      </w:r>
    </w:p>
    <w:p w14:paraId="7D581E49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应急辅助模块：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根据污染物类型、扩散方向、风险等级和敏感点预计受影响时间，向用户展示对应的监测加密、源头控制、围堵截流、人员通知和现场复核等应急建议。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App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对建议的查看、下发、接收和反馈过程进行记录，为环境应急措施超前实施提供信息支持，但不替代建设单位应急指挥决策。</w:t>
      </w:r>
    </w:p>
    <w:p w14:paraId="388ED992" w14:textId="37BEAF01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消息推送模块：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当监测浓度超限、模型计算完成、敏感点风险升级或预测结果更新时，向授权人员发送手机通知。通知包含油库、事件编号、污染物、风险等级、触发依据、影响对象和预计到达时间，并通过深链接进入对应页面。</w:t>
      </w:r>
      <w:r w:rsidR="00603C0D" w:rsidRPr="00603C0D">
        <w:rPr>
          <w:rFonts w:ascii="Times New Roman" w:eastAsia="宋体" w:hAnsi="Times New Roman" w:cs="Arial Unicode MS" w:hint="eastAsia"/>
          <w:sz w:val="28"/>
          <w:szCs w:val="24"/>
          <w:lang w:eastAsia="zh-CN"/>
        </w:rPr>
        <w:t>因终端离线、系统限制或用户关闭通知造成的未展示，不认定为安卓客户端功能缺陷。</w:t>
      </w:r>
    </w:p>
    <w:p w14:paraId="5B3D840A" w14:textId="7A971E7D" w:rsidR="00F42FDB" w:rsidRPr="00925A00" w:rsidRDefault="0098699D" w:rsidP="00925A00">
      <w:pPr>
        <w:spacing w:after="0" w:line="360" w:lineRule="auto"/>
        <w:rPr>
          <w:rFonts w:ascii="Times New Roman" w:eastAsia="宋体" w:hAnsi="Times New Roman" w:cs="黑体"/>
          <w:b/>
          <w:bCs/>
          <w:sz w:val="28"/>
          <w:lang w:eastAsia="zh-CN"/>
        </w:rPr>
      </w:pPr>
      <w:r w:rsidRPr="00925A00">
        <w:rPr>
          <w:rFonts w:ascii="Times New Roman" w:eastAsia="宋体" w:hAnsi="Times New Roman" w:hint="eastAsia"/>
          <w:b/>
          <w:bCs/>
          <w:color w:val="000000" w:themeColor="text1"/>
          <w:sz w:val="28"/>
          <w:lang w:eastAsia="zh-CN"/>
        </w:rPr>
        <w:t>10.4.3</w:t>
      </w:r>
      <w:r w:rsidRPr="00925A00">
        <w:rPr>
          <w:rFonts w:ascii="Times New Roman" w:eastAsia="宋体" w:hAnsi="Times New Roman" w:hint="eastAsia"/>
          <w:b/>
          <w:bCs/>
          <w:sz w:val="28"/>
          <w:lang w:eastAsia="zh-CN"/>
        </w:rPr>
        <w:t xml:space="preserve">. </w:t>
      </w:r>
      <w:r w:rsidRPr="00925A00">
        <w:rPr>
          <w:rFonts w:ascii="Times New Roman" w:eastAsia="宋体" w:hAnsi="Times New Roman" w:hint="eastAsia"/>
          <w:b/>
          <w:bCs/>
          <w:sz w:val="28"/>
          <w:lang w:eastAsia="zh-CN"/>
        </w:rPr>
        <w:t>数据接口与模型接口设计</w:t>
      </w:r>
    </w:p>
    <w:p w14:paraId="61FF50D8" w14:textId="77777777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lastRenderedPageBreak/>
        <w:t>软件接口设计以油库已有数字化监控平台为主要数据来源，通过统一数据模型和可配置字段映射接入监测数据、点位布局、气象参数、水文地质参数及模型结果。实施前形成接口清单、数据字典和样例报文；接口暂不具备时，可使用带有明确说明的模拟数据完成页面、流程和算法联调。</w:t>
      </w:r>
    </w:p>
    <w:p w14:paraId="1ACD46D0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监测数据接口：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抓取污染物浓度、采样时间、监测点状态、设备在线状态和数据质量标识。主要字段包括油库编码、点位编号、污染物编码、监测值、计量单位、预警阈值、报警阈值、采样时间、数据状态和来源系统。数据接入模块执行字段映射、空值检查、重复数据处理、单位换算和异常值标记。</w:t>
      </w:r>
    </w:p>
    <w:p w14:paraId="502252F5" w14:textId="5C70C0EC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点位与</w:t>
      </w:r>
      <w:r w:rsidRPr="006272C0">
        <w:rPr>
          <w:rFonts w:ascii="Times New Roman" w:eastAsia="宋体" w:hAnsi="Times New Roman" w:cs="Times New Roman"/>
          <w:b/>
          <w:sz w:val="28"/>
          <w:szCs w:val="24"/>
          <w:lang w:eastAsia="zh-CN"/>
        </w:rPr>
        <w:t>GIS</w:t>
      </w: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接口：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获取污染源、监测点、地下水井、敏感点和油库边界等空间数据。主要字段包括对象编号、对象类型、经纬度或项目坐标、所属区域、关联污染物、风险属性和更新时间。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App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通过地图图层展示点位布局，并保证地图对象与监测数据通过唯一编号关联。</w:t>
      </w:r>
    </w:p>
    <w:p w14:paraId="4FD56016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模型输入与任务接口：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接收事件编号、污染源位置、污染物类型、源强、释放持续时间、风向风速、稳定度、降雨、地下水流向与流速、介质参数和预测时段等输入。接口返回模型任务编号、排队状态、计算进度、失败原因和完成时间，支持任务取消、超时处理和重复提交控制。</w:t>
      </w:r>
    </w:p>
    <w:p w14:paraId="47D41916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模型结果与校验接口：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输出大气扩散范围、浓度分区、地下水迁移范围、最大浓度、影响面积、时间序列、敏感点预计到达时间和风险等级，并附带模型名称、版本、参数摘要和计算时间。校验接口记录对比数据来源、误差指标、校验结论和模型参数调整记录，保证结果可追溯。</w:t>
      </w:r>
    </w:p>
    <w:p w14:paraId="2ED34CD1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预警与应急辅助接口：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根据监测超限、预测影响和敏感点判定结果生成预警，输出预警等级、触发依据、影响对象和建议措施；记录预警确认、转派、解除、应急建议下发与反馈状态，实现预警到应急辅助的业务闭环。</w:t>
      </w:r>
    </w:p>
    <w:p w14:paraId="7B36B002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lastRenderedPageBreak/>
        <w:t>消息与安全接口：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支持模型完成通知、浓度超限预警、敏感点风险升级和任务提醒，并预留统一身份认证、令牌刷新、角色权限和操作日志接口。生产环境中的接口地址、账号、密钥和证书使用安全配置注入，不写入源码仓库。</w:t>
      </w:r>
    </w:p>
    <w:p w14:paraId="7C0B44DE" w14:textId="77777777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所有接口均明确请求方式、字段类型、单位、必填规则、更新频率、时间基准、鉴权方式、错误码、超时重试、幂等规则和版本策略。平台字段变化通过配置映射或适配器处理，避免直接修改页面与模型核心代码。</w:t>
      </w:r>
    </w:p>
    <w:p w14:paraId="575DFA80" w14:textId="566AE329" w:rsidR="00F42FDB" w:rsidRPr="00B35082" w:rsidRDefault="00FD07BA" w:rsidP="006E6165">
      <w:pPr>
        <w:spacing w:after="0" w:line="360" w:lineRule="auto"/>
        <w:rPr>
          <w:rFonts w:ascii="Times New Roman" w:eastAsia="宋体" w:hAnsi="Times New Roman" w:cs="黑体"/>
          <w:b/>
          <w:bCs/>
          <w:sz w:val="28"/>
          <w:lang w:eastAsia="zh-CN"/>
        </w:rPr>
      </w:pPr>
      <w:r w:rsidRPr="00B35082">
        <w:rPr>
          <w:rFonts w:ascii="Times New Roman" w:eastAsia="宋体" w:hAnsi="Times New Roman" w:hint="eastAsia"/>
          <w:b/>
          <w:bCs/>
          <w:color w:val="000000" w:themeColor="text1"/>
          <w:sz w:val="28"/>
          <w:lang w:eastAsia="zh-CN"/>
        </w:rPr>
        <w:t>10.4.4</w:t>
      </w:r>
      <w:r w:rsidRPr="00B35082">
        <w:rPr>
          <w:rFonts w:ascii="Times New Roman" w:eastAsia="宋体" w:hAnsi="Times New Roman" w:hint="eastAsia"/>
          <w:b/>
          <w:bCs/>
          <w:sz w:val="28"/>
          <w:lang w:eastAsia="zh-CN"/>
        </w:rPr>
        <w:t xml:space="preserve">. </w:t>
      </w:r>
      <w:r w:rsidRPr="00B35082">
        <w:rPr>
          <w:rFonts w:ascii="Times New Roman" w:eastAsia="宋体" w:hAnsi="Times New Roman"/>
          <w:b/>
          <w:bCs/>
          <w:sz w:val="28"/>
          <w:lang w:eastAsia="zh-CN"/>
        </w:rPr>
        <w:t xml:space="preserve">App </w:t>
      </w:r>
      <w:r w:rsidRPr="00B35082">
        <w:rPr>
          <w:rFonts w:ascii="Times New Roman" w:eastAsia="宋体" w:hAnsi="Times New Roman" w:hint="eastAsia"/>
          <w:b/>
          <w:bCs/>
          <w:sz w:val="28"/>
          <w:lang w:eastAsia="zh-CN"/>
        </w:rPr>
        <w:t>测试、部署与验收方案</w:t>
      </w:r>
    </w:p>
    <w:p w14:paraId="4B5FD219" w14:textId="77777777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软件测试按照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“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数据接入准确、模型任务可执行、结果展示一致、环境影响可校验、敏感点预警有效、源码能够复现构建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”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的目标开展。测试记录包含数据版本、模型版本、输入参数、期望结果、实际结果、终端型号和问题闭环情况。</w:t>
      </w:r>
    </w:p>
    <w:p w14:paraId="360BDB81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数据接入测试：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验证污染源监控数据抓取、字段映射、污染物编码、计量单位、采样时间、空值、重复值、异常值和数据质量标识处理；抽样比对数字化监控平台原始数据与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App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展示结果，确保数值和点位关系一致。</w:t>
      </w:r>
    </w:p>
    <w:p w14:paraId="7FF0B635" w14:textId="111E4F70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点位与</w:t>
      </w:r>
      <w:r w:rsidRPr="006272C0">
        <w:rPr>
          <w:rFonts w:ascii="Times New Roman" w:eastAsia="宋体" w:hAnsi="Times New Roman" w:cs="Times New Roman"/>
          <w:b/>
          <w:sz w:val="28"/>
          <w:szCs w:val="24"/>
          <w:lang w:eastAsia="zh-CN"/>
        </w:rPr>
        <w:t>GIS</w:t>
      </w: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测试：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验证污染源、监测点、地下水井和敏感点坐标、图层、筛选、检索与详情联动；检查不同坐标系转换、地图缩放、点位聚合及无坐标数据提示，确保点位布局准确可用。</w:t>
      </w:r>
    </w:p>
    <w:p w14:paraId="508B00FF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模型计算与情景测试：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覆盖不同污染物、源强、释放时长、风向风速、地下水参数和预测时段组合，验证输入校验、任务提交、进度查询、取消、超时、失败重试和结果返回。对固定测试场景执行回归测试，防止模型或接口升级导致结果异常。</w:t>
      </w:r>
    </w:p>
    <w:p w14:paraId="7FB20648" w14:textId="52DA23B3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地下水与大气影响校验测试：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分别核对大气扩散和地下水迁移结果，验证浓度分区、最大浓度、影响面积、时间序列及敏感点预计到达时间。模型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lastRenderedPageBreak/>
        <w:t>精度采用项目确定的监测数据、标准算例或专业模型结果进行评价，并形成校验记录；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App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验收重点为参数传递、结果解析和可视化一致性。</w:t>
      </w:r>
    </w:p>
    <w:p w14:paraId="6BA7FB94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敏感点预警与推送测试：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验证浓度阈值、预测影响范围、敏感点暴露水平和预计到达时间等规则的触发、升级、去重、确认、转派、解除和归档；验证通知送达、点击跳转和确认回执，确保预警能够准确关联事件、模型任务和敏感点。</w:t>
      </w:r>
    </w:p>
    <w:p w14:paraId="266B4DAF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兼容性、可靠性与安全测试：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根据建设单位终端清单确定安卓版本和分辨率适配范围，测试前后台切换、弱网与断网恢复、本地缓存、长时间运行和异常退出恢复；同步检查接口鉴权、传输加密、日志脱敏、敏感配置和基础漏洞。</w:t>
      </w:r>
    </w:p>
    <w:p w14:paraId="7D900238" w14:textId="77777777" w:rsidR="00F42FDB" w:rsidRPr="006272C0" w:rsidRDefault="00000000" w:rsidP="005F5582">
      <w:pPr>
        <w:spacing w:after="0" w:line="360" w:lineRule="auto"/>
        <w:ind w:firstLineChars="200" w:firstLine="562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b/>
          <w:sz w:val="28"/>
          <w:szCs w:val="24"/>
          <w:lang w:eastAsia="zh-CN"/>
        </w:rPr>
        <w:t>构建与部署测试：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在清洁环境中完成源码导入、依赖解析、模型模块构建、安卓客户端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Debug/Release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构建、签名、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APK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 xml:space="preserve"> 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安装、接口配置、首次启动和版本升级。验证部署文档能够指导第三方从源代码重新构建并运行软件。</w:t>
      </w:r>
    </w:p>
    <w:p w14:paraId="18B221C5" w14:textId="0EDA52FD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 w:cs="宋体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验收时至少确认：污染源监控数据与点位布局能够正确获取和展示；突发污染情景参数能够配置；扩散模型任务能够提交并返回结果；地下水和大气影响结果能够呈现与校验；典型敏感点预警及手机推送能够触发；安卓</w:t>
      </w:r>
      <w:r w:rsidRPr="006272C0">
        <w:rPr>
          <w:rFonts w:ascii="Times New Roman" w:eastAsia="宋体" w:hAnsi="Times New Roman" w:cs="Times New Roman"/>
          <w:sz w:val="28"/>
          <w:szCs w:val="24"/>
          <w:lang w:eastAsia="zh-CN"/>
        </w:rPr>
        <w:t>App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、模型模块和配套文档源代码完整、可编译、可运行。</w:t>
      </w:r>
    </w:p>
    <w:p w14:paraId="04C64D20" w14:textId="2DD0FF60" w:rsidR="00F42FDB" w:rsidRPr="00B35082" w:rsidRDefault="008F0950" w:rsidP="00B35082">
      <w:pPr>
        <w:spacing w:after="0" w:line="360" w:lineRule="auto"/>
        <w:rPr>
          <w:rFonts w:ascii="Times New Roman" w:eastAsia="宋体" w:hAnsi="Times New Roman" w:cs="黑体"/>
          <w:b/>
          <w:bCs/>
          <w:sz w:val="28"/>
          <w:lang w:eastAsia="zh-CN"/>
        </w:rPr>
      </w:pPr>
      <w:r w:rsidRPr="00B35082">
        <w:rPr>
          <w:rFonts w:ascii="Times New Roman" w:eastAsia="宋体" w:hAnsi="Times New Roman" w:hint="eastAsia"/>
          <w:b/>
          <w:bCs/>
          <w:color w:val="000000" w:themeColor="text1"/>
          <w:sz w:val="28"/>
          <w:lang w:eastAsia="zh-CN"/>
        </w:rPr>
        <w:t>10.4.5</w:t>
      </w:r>
      <w:r w:rsidRPr="00B35082">
        <w:rPr>
          <w:rFonts w:ascii="Times New Roman" w:eastAsia="宋体" w:hAnsi="Times New Roman" w:hint="eastAsia"/>
          <w:b/>
          <w:bCs/>
          <w:sz w:val="28"/>
          <w:lang w:eastAsia="zh-CN"/>
        </w:rPr>
        <w:t xml:space="preserve">. </w:t>
      </w:r>
      <w:r w:rsidRPr="00B35082">
        <w:rPr>
          <w:rFonts w:ascii="Times New Roman" w:eastAsia="宋体" w:hAnsi="Times New Roman" w:hint="eastAsia"/>
          <w:b/>
          <w:bCs/>
          <w:sz w:val="28"/>
          <w:lang w:eastAsia="zh-CN"/>
        </w:rPr>
        <w:t>源代码与成果交付清单</w:t>
      </w:r>
    </w:p>
    <w:p w14:paraId="46896DD6" w14:textId="77777777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软件成果以安卓客户端源码、污染物扩散模型模块源码、数据接入与接口适配源码、可运行安装包和配套技术文档形式交付。交付版本应具备独立构建、安装、配置、运行、测试和二次开发条件，并以版本号、交付清单和文件校验值确认成果范围。</w:t>
      </w:r>
    </w:p>
    <w:p w14:paraId="214780D6" w14:textId="77777777" w:rsidR="00F42FDB" w:rsidRPr="006272C0" w:rsidRDefault="00000000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szCs w:val="24"/>
          <w:lang w:eastAsia="zh-CN"/>
        </w:rPr>
      </w:pP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交付遵循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“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源码完整、算法可追溯、接口有说明、参数可配置、构建可复现、测试有记录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”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t>的原则。对于建设单位暂未提供的真实监控接口、完整点位</w:t>
      </w:r>
      <w:r w:rsidRPr="006272C0">
        <w:rPr>
          <w:rFonts w:ascii="Times New Roman" w:eastAsia="宋体" w:hAnsi="Times New Roman" w:cs="Arial Unicode MS"/>
          <w:sz w:val="28"/>
          <w:szCs w:val="24"/>
          <w:lang w:eastAsia="zh-CN"/>
        </w:rPr>
        <w:lastRenderedPageBreak/>
        <w:t>数据、气象水文参数或最终模型参数，软件保留配置和适配接口，并明确模拟数据与正式数据的替换方法。</w:t>
      </w:r>
    </w:p>
    <w:tbl>
      <w:tblPr>
        <w:tblStyle w:val="aff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1"/>
        <w:gridCol w:w="6485"/>
      </w:tblGrid>
      <w:tr w:rsidR="00911169" w:rsidRPr="00D24877" w14:paraId="1BC56EE5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0E47F855" w14:textId="77777777" w:rsidR="00911169" w:rsidRPr="00FF78F1" w:rsidRDefault="00911169" w:rsidP="00FF78F1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4"/>
                <w:szCs w:val="24"/>
              </w:rPr>
            </w:pPr>
            <w:r w:rsidRPr="00FF78F1">
              <w:rPr>
                <w:rFonts w:ascii="Times New Roman" w:eastAsia="宋体" w:hAnsi="Times New Roman" w:cs="Arial Unicode MS"/>
                <w:bCs/>
                <w:color w:val="000000" w:themeColor="text1"/>
                <w:sz w:val="24"/>
                <w:szCs w:val="24"/>
              </w:rPr>
              <w:t>交付内容</w:t>
            </w:r>
          </w:p>
        </w:tc>
        <w:tc>
          <w:tcPr>
            <w:tcW w:w="6485" w:type="dxa"/>
            <w:vAlign w:val="center"/>
          </w:tcPr>
          <w:p w14:paraId="7A0E905E" w14:textId="77777777" w:rsidR="00911169" w:rsidRPr="00FF78F1" w:rsidRDefault="00911169" w:rsidP="00FF78F1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4"/>
                <w:szCs w:val="24"/>
              </w:rPr>
            </w:pPr>
            <w:r w:rsidRPr="00FF78F1">
              <w:rPr>
                <w:rFonts w:ascii="Times New Roman" w:eastAsia="宋体" w:hAnsi="Times New Roman" w:cs="Arial Unicode MS"/>
                <w:bCs/>
                <w:color w:val="000000" w:themeColor="text1"/>
                <w:sz w:val="24"/>
                <w:szCs w:val="24"/>
              </w:rPr>
              <w:t>交付说明</w:t>
            </w:r>
          </w:p>
        </w:tc>
      </w:tr>
      <w:tr w:rsidR="00911169" w:rsidRPr="00D24877" w14:paraId="17D75AD5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1AE662F2" w14:textId="051E6F4E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安卓</w:t>
            </w:r>
            <w:r w:rsidRPr="00FF78F1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App</w:t>
            </w:r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 xml:space="preserve"> </w:t>
            </w:r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源码工程</w:t>
            </w:r>
          </w:p>
        </w:tc>
        <w:tc>
          <w:tcPr>
            <w:tcW w:w="6485" w:type="dxa"/>
            <w:vAlign w:val="center"/>
          </w:tcPr>
          <w:p w14:paraId="136EAC5E" w14:textId="3F6D1EAC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>包含</w:t>
            </w: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 xml:space="preserve"> </w:t>
            </w:r>
            <w:r w:rsidRPr="00D24877">
              <w:rPr>
                <w:rFonts w:ascii="Times New Roman" w:eastAsia="宋体" w:hAnsi="Times New Roman" w:cs="Times New Roman"/>
                <w:sz w:val="24"/>
                <w:szCs w:val="24"/>
              </w:rPr>
              <w:t>Kotlin</w:t>
            </w:r>
            <w:r w:rsidRPr="00D24877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D24877">
              <w:rPr>
                <w:rFonts w:ascii="Times New Roman" w:eastAsia="宋体" w:hAnsi="Times New Roman" w:cs="Times New Roman"/>
                <w:sz w:val="24"/>
                <w:szCs w:val="24"/>
              </w:rPr>
              <w:t>Jetpack Compose</w:t>
            </w:r>
            <w:r w:rsidRPr="00D24877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D24877">
              <w:rPr>
                <w:rFonts w:ascii="Times New Roman" w:eastAsia="宋体" w:hAnsi="Times New Roman" w:cs="Times New Roman"/>
                <w:sz w:val="24"/>
                <w:szCs w:val="24"/>
              </w:rPr>
              <w:t>Gradle</w:t>
            </w: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>配置、资源文件和构建脚本。</w:t>
            </w:r>
          </w:p>
        </w:tc>
      </w:tr>
      <w:tr w:rsidR="00911169" w:rsidRPr="00D24877" w14:paraId="0BE59BD4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7678668E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污染物扩散模型源码</w:t>
            </w:r>
          </w:p>
        </w:tc>
        <w:tc>
          <w:tcPr>
            <w:tcW w:w="6485" w:type="dxa"/>
            <w:vAlign w:val="center"/>
          </w:tcPr>
          <w:p w14:paraId="0403411D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包含大气扩散、地下水迁移、参数配置、模型任务和结果输出模块源代码。</w:t>
            </w:r>
          </w:p>
        </w:tc>
      </w:tr>
      <w:tr w:rsidR="00911169" w:rsidRPr="00D24877" w14:paraId="191F8536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12C1AA7A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数据接入与治理源码</w:t>
            </w:r>
            <w:proofErr w:type="spellEnd"/>
          </w:p>
        </w:tc>
        <w:tc>
          <w:tcPr>
            <w:tcW w:w="6485" w:type="dxa"/>
            <w:vAlign w:val="center"/>
          </w:tcPr>
          <w:p w14:paraId="2AB5BCFA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包含监控平台接口适配、字段映射、数据清洗、单位换算和质量标识逻辑。</w:t>
            </w:r>
          </w:p>
        </w:tc>
      </w:tr>
      <w:tr w:rsidR="00911169" w:rsidRPr="00D24877" w14:paraId="0223E12E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414EDACA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 xml:space="preserve">GIS </w:t>
            </w: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点位模块源码</w:t>
            </w:r>
            <w:proofErr w:type="spellEnd"/>
          </w:p>
        </w:tc>
        <w:tc>
          <w:tcPr>
            <w:tcW w:w="6485" w:type="dxa"/>
            <w:vAlign w:val="center"/>
          </w:tcPr>
          <w:p w14:paraId="092C4370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包含污染源、监测点、地下水井、敏感点和地图图层展示逻辑。</w:t>
            </w:r>
          </w:p>
        </w:tc>
      </w:tr>
      <w:tr w:rsidR="00911169" w:rsidRPr="00D24877" w14:paraId="0EB9644A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62A0B468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情景管理模块源码</w:t>
            </w:r>
            <w:proofErr w:type="spellEnd"/>
          </w:p>
        </w:tc>
        <w:tc>
          <w:tcPr>
            <w:tcW w:w="6485" w:type="dxa"/>
            <w:vAlign w:val="center"/>
          </w:tcPr>
          <w:p w14:paraId="4A35D857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包含突发污染情景、参数校验、任务提交、进度查询和结果解析逻辑。</w:t>
            </w:r>
          </w:p>
        </w:tc>
      </w:tr>
      <w:tr w:rsidR="00911169" w:rsidRPr="00D24877" w14:paraId="1ED8FA2F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0663527C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影响校验模块源码</w:t>
            </w:r>
            <w:proofErr w:type="spellEnd"/>
          </w:p>
        </w:tc>
        <w:tc>
          <w:tcPr>
            <w:tcW w:w="6485" w:type="dxa"/>
            <w:vAlign w:val="center"/>
          </w:tcPr>
          <w:p w14:paraId="2B600CD4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包含地下水和大气结果对比、误差指标记录、版本与校验结论管理。</w:t>
            </w:r>
          </w:p>
        </w:tc>
      </w:tr>
      <w:tr w:rsidR="00911169" w:rsidRPr="00D24877" w14:paraId="319FA62C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4F5078CE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敏感点预警模块源码</w:t>
            </w:r>
            <w:proofErr w:type="spellEnd"/>
          </w:p>
        </w:tc>
        <w:tc>
          <w:tcPr>
            <w:tcW w:w="6485" w:type="dxa"/>
            <w:vAlign w:val="center"/>
          </w:tcPr>
          <w:p w14:paraId="5D37680D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包含阈值规则、影响范围判定、预计到达时间、风险分级和预警状态管理。</w:t>
            </w:r>
          </w:p>
        </w:tc>
      </w:tr>
      <w:tr w:rsidR="00911169" w:rsidRPr="00D24877" w14:paraId="48083C0D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7EE1B63D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消息推送模块源码</w:t>
            </w:r>
            <w:proofErr w:type="spellEnd"/>
          </w:p>
        </w:tc>
        <w:tc>
          <w:tcPr>
            <w:tcW w:w="6485" w:type="dxa"/>
            <w:vAlign w:val="center"/>
          </w:tcPr>
          <w:p w14:paraId="34194210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包含手机通知、去重升级、深链接跳转、送达记录和确认回执。</w:t>
            </w:r>
          </w:p>
        </w:tc>
      </w:tr>
      <w:tr w:rsidR="00911169" w:rsidRPr="00D24877" w14:paraId="42BB5CB7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06405880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 xml:space="preserve">APK </w:t>
            </w: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安装包</w:t>
            </w:r>
            <w:proofErr w:type="spellEnd"/>
          </w:p>
        </w:tc>
        <w:tc>
          <w:tcPr>
            <w:tcW w:w="6485" w:type="dxa"/>
            <w:vAlign w:val="center"/>
          </w:tcPr>
          <w:p w14:paraId="6D8FDA6C" w14:textId="583E73E4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>提供约定签名的</w:t>
            </w: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 xml:space="preserve"> </w:t>
            </w:r>
            <w:r w:rsidRPr="00D24877">
              <w:rPr>
                <w:rFonts w:ascii="Times New Roman" w:eastAsia="宋体" w:hAnsi="Times New Roman" w:cs="Times New Roman"/>
                <w:sz w:val="24"/>
                <w:szCs w:val="24"/>
              </w:rPr>
              <w:t>Release APK</w:t>
            </w: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>及用于联调测试的</w:t>
            </w: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 xml:space="preserve"> </w:t>
            </w:r>
            <w:r w:rsidRPr="00D24877">
              <w:rPr>
                <w:rFonts w:ascii="Times New Roman" w:eastAsia="宋体" w:hAnsi="Times New Roman" w:cs="Times New Roman"/>
                <w:sz w:val="24"/>
                <w:szCs w:val="24"/>
              </w:rPr>
              <w:t>Debug APK</w:t>
            </w:r>
            <w:r w:rsidRPr="00D24877">
              <w:rPr>
                <w:rFonts w:ascii="Times New Roman" w:eastAsia="宋体" w:hAnsi="Times New Roman" w:cs="Arial Unicode MS"/>
                <w:sz w:val="24"/>
                <w:szCs w:val="24"/>
              </w:rPr>
              <w:t>。</w:t>
            </w:r>
          </w:p>
        </w:tc>
      </w:tr>
      <w:tr w:rsidR="00911169" w:rsidRPr="00D24877" w14:paraId="43EDEAE4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511FAEB3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配置与样例数据</w:t>
            </w:r>
          </w:p>
        </w:tc>
        <w:tc>
          <w:tcPr>
            <w:tcW w:w="6485" w:type="dxa"/>
            <w:vAlign w:val="center"/>
          </w:tcPr>
          <w:p w14:paraId="477DE603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提供污染物、点位、情景、模型参数、敏感点和预警规则配置示例。</w:t>
            </w:r>
          </w:p>
        </w:tc>
      </w:tr>
      <w:tr w:rsidR="00911169" w:rsidRPr="00D24877" w14:paraId="712CFE99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045F4275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接口说明文档</w:t>
            </w:r>
            <w:proofErr w:type="spellEnd"/>
          </w:p>
        </w:tc>
        <w:tc>
          <w:tcPr>
            <w:tcW w:w="6485" w:type="dxa"/>
            <w:vAlign w:val="center"/>
          </w:tcPr>
          <w:p w14:paraId="55852D70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说明监测、点位、模型任务、模型结果、校验、预警和消息接口字段。</w:t>
            </w:r>
          </w:p>
        </w:tc>
      </w:tr>
      <w:tr w:rsidR="00911169" w:rsidRPr="00D24877" w14:paraId="79A9E0EE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5DD8AA76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模型技术说明</w:t>
            </w:r>
            <w:proofErr w:type="spellEnd"/>
          </w:p>
        </w:tc>
        <w:tc>
          <w:tcPr>
            <w:tcW w:w="6485" w:type="dxa"/>
            <w:vAlign w:val="center"/>
          </w:tcPr>
          <w:p w14:paraId="5C10556B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说明模型输入输出、参数含义、适用条件、版本管理、校验方法和已知限制。</w:t>
            </w:r>
          </w:p>
        </w:tc>
      </w:tr>
      <w:tr w:rsidR="00911169" w:rsidRPr="00D24877" w14:paraId="3C736A31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43ABE622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部署与构建说明</w:t>
            </w:r>
            <w:proofErr w:type="spellEnd"/>
          </w:p>
        </w:tc>
        <w:tc>
          <w:tcPr>
            <w:tcW w:w="6485" w:type="dxa"/>
            <w:vAlign w:val="center"/>
          </w:tcPr>
          <w:p w14:paraId="34A86D3C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说明开发环境、依赖版本、编译、签名、安装、服务部署、配置和升级方法。</w:t>
            </w:r>
          </w:p>
        </w:tc>
      </w:tr>
      <w:tr w:rsidR="00911169" w:rsidRPr="00D24877" w14:paraId="60BC7F09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3395C142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用户操作说明</w:t>
            </w:r>
            <w:proofErr w:type="spellEnd"/>
          </w:p>
        </w:tc>
        <w:tc>
          <w:tcPr>
            <w:tcW w:w="6485" w:type="dxa"/>
            <w:vAlign w:val="center"/>
          </w:tcPr>
          <w:p w14:paraId="1323D559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说明数据查询、点位查看、情景创建、模型计算、影响校验和预警处置操作。</w:t>
            </w:r>
          </w:p>
        </w:tc>
      </w:tr>
      <w:tr w:rsidR="00911169" w:rsidRPr="00D24877" w14:paraId="1023F07A" w14:textId="77777777" w:rsidTr="00145402">
        <w:trPr>
          <w:cantSplit/>
          <w:jc w:val="center"/>
        </w:trPr>
        <w:tc>
          <w:tcPr>
            <w:tcW w:w="2461" w:type="dxa"/>
            <w:vAlign w:val="center"/>
          </w:tcPr>
          <w:p w14:paraId="6E53EAE1" w14:textId="77777777" w:rsidR="00911169" w:rsidRPr="00FF78F1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proofErr w:type="spellStart"/>
            <w:r w:rsidRPr="00FF78F1">
              <w:rPr>
                <w:rFonts w:ascii="Times New Roman" w:eastAsia="宋体" w:hAnsi="Times New Roman" w:cs="Arial Unicode MS"/>
                <w:bCs/>
                <w:sz w:val="24"/>
                <w:szCs w:val="24"/>
              </w:rPr>
              <w:t>测试与验收材料</w:t>
            </w:r>
            <w:proofErr w:type="spellEnd"/>
          </w:p>
        </w:tc>
        <w:tc>
          <w:tcPr>
            <w:tcW w:w="6485" w:type="dxa"/>
            <w:vAlign w:val="center"/>
          </w:tcPr>
          <w:p w14:paraId="2466A064" w14:textId="77777777" w:rsidR="00911169" w:rsidRPr="00D24877" w:rsidRDefault="00911169" w:rsidP="00FF78F1">
            <w:pPr>
              <w:spacing w:after="0" w:line="240" w:lineRule="auto"/>
              <w:jc w:val="both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 w:rsidRPr="00D24877">
              <w:rPr>
                <w:rFonts w:ascii="Times New Roman" w:eastAsia="宋体" w:hAnsi="Times New Roman" w:cs="Arial Unicode MS"/>
                <w:sz w:val="24"/>
                <w:szCs w:val="24"/>
                <w:lang w:eastAsia="zh-CN"/>
              </w:rPr>
              <w:t>提供测试用例、固定场景、校验记录、问题闭环、兼容性结果和版本依赖清单。</w:t>
            </w:r>
          </w:p>
        </w:tc>
      </w:tr>
    </w:tbl>
    <w:p w14:paraId="4DCD2B1F" w14:textId="77777777" w:rsidR="00F42FDB" w:rsidRPr="006272C0" w:rsidRDefault="00F42FDB" w:rsidP="005F5582">
      <w:pPr>
        <w:spacing w:after="0" w:line="360" w:lineRule="auto"/>
        <w:ind w:firstLineChars="200" w:firstLine="560"/>
        <w:jc w:val="both"/>
        <w:rPr>
          <w:rFonts w:ascii="Times New Roman" w:eastAsia="宋体" w:hAnsi="Times New Roman"/>
          <w:sz w:val="28"/>
          <w:lang w:eastAsia="zh-CN"/>
        </w:rPr>
      </w:pPr>
    </w:p>
    <w:p w14:paraId="52FC23F2" w14:textId="77777777" w:rsidR="00F42FDB" w:rsidRPr="00FF78F1" w:rsidRDefault="00000000" w:rsidP="00FF78F1">
      <w:pPr>
        <w:spacing w:after="0" w:line="360" w:lineRule="auto"/>
        <w:ind w:firstLineChars="200" w:firstLine="560"/>
        <w:rPr>
          <w:rFonts w:ascii="Times New Roman" w:eastAsia="宋体" w:hAnsi="Times New Roman" w:cs="黑体"/>
          <w:sz w:val="28"/>
          <w:lang w:eastAsia="zh-CN"/>
        </w:rPr>
      </w:pPr>
      <w:r w:rsidRPr="00FF78F1">
        <w:rPr>
          <w:rFonts w:ascii="Times New Roman" w:eastAsia="宋体" w:hAnsi="Times New Roman" w:hint="eastAsia"/>
          <w:sz w:val="28"/>
          <w:lang w:eastAsia="zh-CN"/>
        </w:rPr>
        <w:t>附：安卓</w:t>
      </w:r>
      <w:r w:rsidRPr="00FF78F1">
        <w:rPr>
          <w:rFonts w:ascii="Times New Roman" w:eastAsia="宋体" w:hAnsi="Times New Roman"/>
          <w:sz w:val="28"/>
          <w:lang w:eastAsia="zh-CN"/>
        </w:rPr>
        <w:t xml:space="preserve"> </w:t>
      </w:r>
      <w:r w:rsidRPr="00FF78F1">
        <w:rPr>
          <w:rFonts w:ascii="Times New Roman" w:eastAsia="宋体" w:hAnsi="Times New Roman" w:cs="Times New Roman"/>
          <w:sz w:val="28"/>
          <w:lang w:eastAsia="zh-CN"/>
        </w:rPr>
        <w:t>App</w:t>
      </w:r>
      <w:r w:rsidRPr="00FF78F1">
        <w:rPr>
          <w:rFonts w:ascii="Times New Roman" w:eastAsia="宋体" w:hAnsi="Times New Roman"/>
          <w:sz w:val="28"/>
          <w:lang w:eastAsia="zh-CN"/>
        </w:rPr>
        <w:t xml:space="preserve"> </w:t>
      </w:r>
      <w:r w:rsidRPr="00FF78F1">
        <w:rPr>
          <w:rFonts w:ascii="Times New Roman" w:eastAsia="宋体" w:hAnsi="Times New Roman" w:hint="eastAsia"/>
          <w:sz w:val="28"/>
          <w:lang w:eastAsia="zh-CN"/>
        </w:rPr>
        <w:t>页面设计稿总览</w:t>
      </w:r>
    </w:p>
    <w:p w14:paraId="2DFBD308" w14:textId="77777777" w:rsidR="00F42FDB" w:rsidRPr="00FF78F1" w:rsidRDefault="00000000" w:rsidP="00FF78F1">
      <w:pPr>
        <w:spacing w:after="0" w:line="360" w:lineRule="auto"/>
        <w:ind w:firstLineChars="200" w:firstLine="560"/>
        <w:rPr>
          <w:rFonts w:ascii="Times New Roman" w:eastAsia="宋体" w:hAnsi="Times New Roman"/>
          <w:sz w:val="28"/>
          <w:szCs w:val="24"/>
          <w:lang w:eastAsia="zh-CN"/>
        </w:rPr>
      </w:pPr>
      <w:r w:rsidRPr="00FF78F1">
        <w:rPr>
          <w:rFonts w:ascii="Times New Roman" w:eastAsia="宋体" w:hAnsi="Times New Roman"/>
          <w:sz w:val="28"/>
          <w:szCs w:val="24"/>
          <w:lang w:eastAsia="zh-CN"/>
        </w:rPr>
        <w:t>下图汇总态势总览、点位监控、扩散预测、预警中心、应急辅助及手机推送等主要页面，可作为安卓客户端界面实现参考。正式开发时将依据监控平台数据字典、点位</w:t>
      </w:r>
      <w:r w:rsidRPr="00FF78F1">
        <w:rPr>
          <w:rFonts w:ascii="Times New Roman" w:eastAsia="宋体" w:hAnsi="Times New Roman"/>
          <w:sz w:val="28"/>
          <w:szCs w:val="24"/>
          <w:lang w:eastAsia="zh-CN"/>
        </w:rPr>
        <w:t xml:space="preserve"> </w:t>
      </w:r>
      <w:r w:rsidRPr="00FF78F1">
        <w:rPr>
          <w:rFonts w:ascii="Times New Roman" w:eastAsia="宋体" w:hAnsi="Times New Roman" w:cs="Times New Roman"/>
          <w:sz w:val="28"/>
          <w:szCs w:val="24"/>
          <w:lang w:eastAsia="zh-CN"/>
        </w:rPr>
        <w:t>GIS</w:t>
      </w:r>
      <w:r w:rsidRPr="00FF78F1">
        <w:rPr>
          <w:rFonts w:ascii="Times New Roman" w:eastAsia="宋体" w:hAnsi="Times New Roman"/>
          <w:sz w:val="28"/>
          <w:szCs w:val="24"/>
          <w:lang w:eastAsia="zh-CN"/>
        </w:rPr>
        <w:t xml:space="preserve"> </w:t>
      </w:r>
      <w:r w:rsidRPr="00FF78F1">
        <w:rPr>
          <w:rFonts w:ascii="Times New Roman" w:eastAsia="宋体" w:hAnsi="Times New Roman"/>
          <w:sz w:val="28"/>
          <w:szCs w:val="24"/>
          <w:lang w:eastAsia="zh-CN"/>
        </w:rPr>
        <w:t>数据、模型输入输出字段和预警规则校准页面内容。</w:t>
      </w:r>
    </w:p>
    <w:p w14:paraId="30DBA4C3" w14:textId="04A82372" w:rsidR="00F42FDB" w:rsidRPr="006272C0" w:rsidRDefault="001356F1" w:rsidP="001356F1">
      <w:pPr>
        <w:spacing w:after="0" w:line="360" w:lineRule="auto"/>
        <w:rPr>
          <w:rFonts w:ascii="Times New Roman" w:eastAsia="宋体" w:hAnsi="Times New Roman"/>
          <w:sz w:val="28"/>
        </w:rPr>
      </w:pPr>
      <w:r>
        <w:rPr>
          <w:rFonts w:ascii="Times New Roman" w:eastAsia="宋体" w:hAnsi="Times New Roman"/>
          <w:noProof/>
          <w:sz w:val="28"/>
        </w:rPr>
        <w:lastRenderedPageBreak/>
        <w:drawing>
          <wp:inline distT="0" distB="0" distL="0" distR="0" wp14:anchorId="41647241" wp14:editId="0AFC56AF">
            <wp:extent cx="6043930" cy="7143115"/>
            <wp:effectExtent l="0" t="0" r="1270" b="0"/>
            <wp:docPr id="134279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9367" name="图片 1342793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714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FDB" w:rsidRPr="006272C0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898A" w14:textId="77777777" w:rsidR="00A24D83" w:rsidRDefault="00A24D83">
      <w:pPr>
        <w:spacing w:line="240" w:lineRule="auto"/>
      </w:pPr>
      <w:r>
        <w:separator/>
      </w:r>
    </w:p>
  </w:endnote>
  <w:endnote w:type="continuationSeparator" w:id="0">
    <w:p w14:paraId="38CD0CD1" w14:textId="77777777" w:rsidR="00A24D83" w:rsidRDefault="00A24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FB04B" w14:textId="77777777" w:rsidR="00F42FDB" w:rsidRPr="00BE016D" w:rsidRDefault="00000000">
    <w:pPr>
      <w:pStyle w:val="ab"/>
      <w:jc w:val="center"/>
      <w:rPr>
        <w:rFonts w:ascii="宋体" w:eastAsia="宋体" w:hAnsi="宋体"/>
        <w:lang w:eastAsia="zh-CN"/>
      </w:rPr>
    </w:pPr>
    <w:r w:rsidRPr="00BE016D">
      <w:rPr>
        <w:rFonts w:ascii="宋体" w:eastAsia="宋体" w:hAnsi="宋体" w:cs="Arial Unicode MS"/>
        <w:color w:val="6B7280"/>
        <w:sz w:val="17"/>
        <w:lang w:eastAsia="zh-CN"/>
      </w:rPr>
      <w:t xml:space="preserve">兰州油库污染源监控与扩散预测安卓 </w:t>
    </w:r>
    <w:r w:rsidRPr="00BE016D">
      <w:rPr>
        <w:rFonts w:ascii="Times New Roman" w:eastAsia="宋体" w:hAnsi="Times New Roman" w:cs="Times New Roman"/>
        <w:color w:val="6B7280"/>
        <w:sz w:val="17"/>
        <w:lang w:eastAsia="zh-CN"/>
      </w:rPr>
      <w:t>App</w:t>
    </w:r>
    <w:r w:rsidRPr="00BE016D">
      <w:rPr>
        <w:rFonts w:ascii="宋体" w:eastAsia="宋体" w:hAnsi="宋体" w:cs="Arial Unicode MS"/>
        <w:color w:val="6B7280"/>
        <w:sz w:val="17"/>
        <w:lang w:eastAsia="zh-CN"/>
      </w:rPr>
      <w:t xml:space="preserve"> 技术方案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263D" w14:textId="77777777" w:rsidR="00A24D83" w:rsidRDefault="00A24D83">
      <w:pPr>
        <w:spacing w:after="0"/>
      </w:pPr>
      <w:r>
        <w:separator/>
      </w:r>
    </w:p>
  </w:footnote>
  <w:footnote w:type="continuationSeparator" w:id="0">
    <w:p w14:paraId="34BF4F35" w14:textId="77777777" w:rsidR="00A24D83" w:rsidRDefault="00A24D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2060507">
    <w:abstractNumId w:val="1"/>
  </w:num>
  <w:num w:numId="2" w16cid:durableId="1062293907">
    <w:abstractNumId w:val="4"/>
  </w:num>
  <w:num w:numId="3" w16cid:durableId="430861309">
    <w:abstractNumId w:val="5"/>
  </w:num>
  <w:num w:numId="4" w16cid:durableId="942879798">
    <w:abstractNumId w:val="2"/>
  </w:num>
  <w:num w:numId="5" w16cid:durableId="1700659664">
    <w:abstractNumId w:val="0"/>
  </w:num>
  <w:num w:numId="6" w16cid:durableId="1534076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EDF7D0CE"/>
    <w:rsid w:val="FCEFDC63"/>
    <w:rsid w:val="00000F5E"/>
    <w:rsid w:val="00034616"/>
    <w:rsid w:val="0006063C"/>
    <w:rsid w:val="0006089A"/>
    <w:rsid w:val="000C06B6"/>
    <w:rsid w:val="000D5AB3"/>
    <w:rsid w:val="000E7F69"/>
    <w:rsid w:val="001022F3"/>
    <w:rsid w:val="00111405"/>
    <w:rsid w:val="00130AA6"/>
    <w:rsid w:val="00134A22"/>
    <w:rsid w:val="001356F1"/>
    <w:rsid w:val="00145402"/>
    <w:rsid w:val="0015074B"/>
    <w:rsid w:val="001D3DC2"/>
    <w:rsid w:val="00213E0F"/>
    <w:rsid w:val="002427F3"/>
    <w:rsid w:val="002479DA"/>
    <w:rsid w:val="0025394A"/>
    <w:rsid w:val="0029639D"/>
    <w:rsid w:val="002C59A9"/>
    <w:rsid w:val="00301F70"/>
    <w:rsid w:val="00320CB5"/>
    <w:rsid w:val="00326F90"/>
    <w:rsid w:val="00376CBA"/>
    <w:rsid w:val="00394437"/>
    <w:rsid w:val="003C40E7"/>
    <w:rsid w:val="003D5F57"/>
    <w:rsid w:val="00410237"/>
    <w:rsid w:val="00481E39"/>
    <w:rsid w:val="004C2188"/>
    <w:rsid w:val="005004FF"/>
    <w:rsid w:val="005F5582"/>
    <w:rsid w:val="00603C0D"/>
    <w:rsid w:val="0060749F"/>
    <w:rsid w:val="006272C0"/>
    <w:rsid w:val="006334B2"/>
    <w:rsid w:val="006513F0"/>
    <w:rsid w:val="00673E85"/>
    <w:rsid w:val="006B5066"/>
    <w:rsid w:val="006E6165"/>
    <w:rsid w:val="007E7E79"/>
    <w:rsid w:val="008E7AAA"/>
    <w:rsid w:val="008E7F01"/>
    <w:rsid w:val="008F0950"/>
    <w:rsid w:val="00911169"/>
    <w:rsid w:val="00925A00"/>
    <w:rsid w:val="0098699D"/>
    <w:rsid w:val="009E042A"/>
    <w:rsid w:val="00A207CF"/>
    <w:rsid w:val="00A24D83"/>
    <w:rsid w:val="00A27CDF"/>
    <w:rsid w:val="00A85114"/>
    <w:rsid w:val="00AA1D8D"/>
    <w:rsid w:val="00B35082"/>
    <w:rsid w:val="00B47730"/>
    <w:rsid w:val="00BE016D"/>
    <w:rsid w:val="00CA31A7"/>
    <w:rsid w:val="00CB0664"/>
    <w:rsid w:val="00D24877"/>
    <w:rsid w:val="00D35EA0"/>
    <w:rsid w:val="00D55B20"/>
    <w:rsid w:val="00D92850"/>
    <w:rsid w:val="00DA038D"/>
    <w:rsid w:val="00DD3F22"/>
    <w:rsid w:val="00E6211F"/>
    <w:rsid w:val="00E914ED"/>
    <w:rsid w:val="00E9709B"/>
    <w:rsid w:val="00F42FDB"/>
    <w:rsid w:val="00FB052F"/>
    <w:rsid w:val="00FC693F"/>
    <w:rsid w:val="00FD07BA"/>
    <w:rsid w:val="00FF78F1"/>
    <w:rsid w:val="47FFA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872F048"/>
  <w14:defaultImageDpi w14:val="300"/>
  <w15:docId w15:val="{F10FC3C8-122C-5A4A-9740-81ED1214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 Unicode MS" w:eastAsia="Arial Unicode MS" w:hAnsi="Arial Unicode MS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2933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2F4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F4A"/>
      <w:spacing w:val="5"/>
      <w:kern w:val="28"/>
      <w:sz w:val="40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styleId="aff4">
    <w:name w:val="Grid Table Light"/>
    <w:basedOn w:val="a3"/>
    <w:uiPriority w:val="40"/>
    <w:rsid w:val="003C40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安卓 App 与污染物扩散预测软件开发技术方案</dc:title>
  <dc:subject>污染源监控数据、扩散模型、环境影响校验、敏感点预警与源码交付</dc:subject>
  <dc:creator>python-docx</dc:creator>
  <cp:keywords>安卓 App, 污染源监控, 扩散模型, 地下水, 大气, 敏感点预警, 源代码</cp:keywords>
  <dc:description>generated by python-docx</dc:description>
  <cp:lastModifiedBy>c4789</cp:lastModifiedBy>
  <cp:revision>49</cp:revision>
  <dcterms:created xsi:type="dcterms:W3CDTF">2013-12-24T07:15:00Z</dcterms:created>
  <dcterms:modified xsi:type="dcterms:W3CDTF">2026-07-14T14:38:00Z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D19825B9451A79E69B09516A61C90061_43</vt:lpwstr>
  </property>
</Properties>
</file>