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8290CA" w14:textId="77777777" w:rsidR="007723A3" w:rsidRDefault="007723A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059FDE" w14:textId="358D0815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Se ha logrado cumplir con el cronograma planificado para la Fase 2 (Semana 9). Se completó la investigación interinstitucional, los mockups de interfaz (estudiante y docente), el diseño de datos relacional, el script DDL en PostgreSQL y la estructuración inicial de las capas de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frontend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React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) y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(Spring Boot)</w:t>
            </w:r>
          </w:p>
          <w:p w14:paraId="6F0D5F10" w14:textId="1A3C588E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5407902F" w14:textId="6BCB72E2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Uno de los facilitadores </w:t>
            </w:r>
            <w:proofErr w:type="gramStart"/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es  la</w:t>
            </w:r>
            <w:proofErr w:type="gramEnd"/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c</w:t>
            </w: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lara división de roles basada en las fortalezas de cada integrante (Nicolás en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Frontend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/UI/QA, Yuliana en </w:t>
            </w:r>
            <w:proofErr w:type="spellStart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/Seguridad/DB, Jonatán en Requerimientos/Lógica/QA)</w:t>
            </w:r>
          </w:p>
          <w:p w14:paraId="4FC0DAB5" w14:textId="77777777" w:rsid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103812A6" w14:textId="13A88594" w:rsidR="007723A3" w:rsidRPr="007723A3" w:rsidRDefault="007723A3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Y algo como dificultad seria la r</w:t>
            </w:r>
            <w:r w:rsidRPr="007723A3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eestructuración del alcance tras la retroalimentación docente, lo que exigió investigar normativas de otras universidades (PUCV, PUC, UNAB) y rediseñar el módulo documental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608BB11" w:rsidR="004F2A8B" w:rsidRPr="000F5E9D" w:rsidRDefault="007723A3" w:rsidP="007723A3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0F5E9D">
              <w:rPr>
                <w:rFonts w:ascii="Calibri" w:hAnsi="Calibri"/>
                <w:color w:val="0D0D0D" w:themeColor="text1" w:themeTint="F2"/>
              </w:rPr>
              <w:t xml:space="preserve">Se Eligio hacer el sistema </w:t>
            </w:r>
            <w:proofErr w:type="spellStart"/>
            <w:r w:rsidRPr="000F5E9D">
              <w:rPr>
                <w:rFonts w:ascii="Calibri" w:hAnsi="Calibri"/>
                <w:color w:val="0D0D0D" w:themeColor="text1" w:themeTint="F2"/>
              </w:rPr>
              <w:t>mas</w:t>
            </w:r>
            <w:proofErr w:type="spellEnd"/>
            <w:r w:rsidRPr="000F5E9D">
              <w:rPr>
                <w:rFonts w:ascii="Calibri" w:hAnsi="Calibri"/>
                <w:color w:val="0D0D0D" w:themeColor="text1" w:themeTint="F2"/>
              </w:rPr>
              <w:t xml:space="preserve"> flexible dando así mas libertad a las posibles instituciones que puedan llegar a usarlo en el futuro en caso de que haya algún cambio normativo.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7153271" w:rsidR="004F2A8B" w:rsidRDefault="007723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Positiva, principalmente por </w:t>
            </w: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la capacidad de respuesta rápida frente a las observaciones de la exposición de la Fase 1 y el compromiso con la calidad técnica y la seguridad del software.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BFE9A9" w14:textId="75B8D980" w:rsidR="007723A3" w:rsidRDefault="007723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Destaca:</w:t>
            </w:r>
          </w:p>
          <w:p w14:paraId="0AA1FB1A" w14:textId="562EF487" w:rsidR="007723A3" w:rsidRDefault="007723A3" w:rsidP="007723A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Construcción de interfaces responsivas e intuitivas en </w:t>
            </w:r>
            <w:proofErr w:type="spellStart"/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alineadas con los mockups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724C864" w14:textId="01CAA52A" w:rsidR="007723A3" w:rsidRDefault="007723A3" w:rsidP="007723A3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</w:t>
            </w:r>
            <w:r w:rsidRPr="007723A3">
              <w:rPr>
                <w:rFonts w:ascii="Calibri" w:hAnsi="Calibri"/>
                <w:b/>
                <w:bCs/>
                <w:color w:val="1F4E79" w:themeColor="accent1" w:themeShade="80"/>
              </w:rPr>
              <w:t>oordinación interna entre la capa de datos, la lógica del servidor y la vista del cliente.</w:t>
            </w:r>
          </w:p>
          <w:p w14:paraId="058B92B3" w14:textId="56877EAB" w:rsidR="007723A3" w:rsidRDefault="007723A3" w:rsidP="007723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Aspecto a mejorar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2BBCCD2F" w14:textId="77777777" w:rsidR="007723A3" w:rsidRPr="007723A3" w:rsidRDefault="007723A3" w:rsidP="007723A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0F5E9D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4BAC59AD" w14:textId="4F47BEFF" w:rsidR="004F2A8B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0F5E9D">
              <w:rPr>
                <w:rFonts w:cstheme="minorHAnsi"/>
                <w:b/>
                <w:bCs/>
                <w:color w:val="1F4E79" w:themeColor="accent1" w:themeShade="80"/>
              </w:rPr>
              <w:t>Nos genera incertidumbre definir el límite exacto de la "flexibilidad" solicitada en la última retroalimentación. Entendemos la necesidad de que el sistema no sea rígido frente a cambios en las reglas de las instituciones (como variaciones en el número de horas exigidas, tipos de documentos o flujos de revisión). Sin embargo, resulta ambiguo determinar hasta qué punto debe extenderse esa barra de flexibilidad dentro del MVP</w:t>
            </w:r>
          </w:p>
          <w:p w14:paraId="5BB3B444" w14:textId="77777777" w:rsidR="004F2A8B" w:rsidRPr="000F5E9D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0641EFEF" w14:textId="77777777" w:rsidR="000F5E9D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186DEC4D" w14:textId="697F49D2" w:rsidR="000F5E9D" w:rsidRPr="000F5E9D" w:rsidRDefault="000F5E9D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0F5E9D">
              <w:rPr>
                <w:rFonts w:cstheme="minorHAnsi"/>
                <w:b/>
                <w:bCs/>
                <w:color w:val="1F4E79" w:themeColor="accent1" w:themeShade="80"/>
              </w:rPr>
              <w:t>Respecto a la flexibilidad solicitada ante cambios de reglas en las instituciones: ¿hasta qué punto debe llegar en el MVP? ¿Basta con permitir al docente configurar las horas y personalizar los documentos, o se espera una estructura más compleja?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4F2F3F" w14:textId="10351104" w:rsidR="000F5E9D" w:rsidRPr="000F5E9D" w:rsidRDefault="000F5E9D" w:rsidP="3D28A338">
            <w:p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>El equipo considera que la distribución por áreas de especialización se ha mostrado altamente eficiente y no requiere una reestructuración drástica.</w:t>
            </w:r>
          </w:p>
          <w:p w14:paraId="0865D45E" w14:textId="77777777" w:rsidR="000F5E9D" w:rsidRPr="000F5E9D" w:rsidRDefault="000F5E9D" w:rsidP="3D28A338">
            <w:p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</w:p>
          <w:p w14:paraId="2F8D92CF" w14:textId="2B9132BC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Jonatán: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Asumirá el liderazgo en la formalización de la matriz de casos de prueba E2E y el levantamiento de validaciones de usabilidad. </w:t>
            </w:r>
          </w:p>
          <w:p w14:paraId="6545D482" w14:textId="66AF6C88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Yuliana: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</w:t>
            </w:r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Se concentrará en el desarrollo del </w:t>
            </w:r>
            <w:proofErr w:type="spellStart"/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>backend</w:t>
            </w:r>
            <w:proofErr w:type="spellEnd"/>
            <w:r w:rsidR="00266C10" w:rsidRPr="00266C10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en Spring Boot, la seguridad de la API REST y la gestión de la base de datos en PostgreSQL.</w:t>
            </w:r>
          </w:p>
          <w:p w14:paraId="42F659BD" w14:textId="1635514D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 w:cstheme="minorHAnsi"/>
                <w:b/>
                <w:bCs/>
                <w:color w:val="0D0D0D" w:themeColor="text1" w:themeTint="F2"/>
                <w:sz w:val="24"/>
                <w:szCs w:val="24"/>
              </w:rPr>
              <w:t>Nicolás:</w:t>
            </w:r>
            <w:r w:rsidRPr="000F5E9D">
              <w:rPr>
                <w:rFonts w:eastAsiaTheme="majorEastAsia" w:cstheme="minorHAnsi"/>
                <w:color w:val="0D0D0D" w:themeColor="text1" w:themeTint="F2"/>
                <w:sz w:val="24"/>
                <w:szCs w:val="24"/>
              </w:rPr>
              <w:t xml:space="preserve"> Se enfocarán sus tareas en la integración de peticiones HTTP Fetch, el manejo global de errores de red en cliente y la automatización de flujos UI </w:t>
            </w:r>
          </w:p>
          <w:p w14:paraId="5F8380EA" w14:textId="77777777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E5C9FE4" w14:textId="64164E0B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Evaluación grupal: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Sobresaliente. Se ha logrado un ambiente de trabajo colaborativo, profesional y receptivo a la crítica constructiva</w:t>
            </w:r>
          </w:p>
          <w:p w14:paraId="0507A298" w14:textId="77777777" w:rsidR="000F5E9D" w:rsidRPr="000F5E9D" w:rsidRDefault="000F5E9D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E8B44AA" w14:textId="5C97C91F" w:rsidR="000F5E9D" w:rsidRPr="000F5E9D" w:rsidRDefault="000F5E9D" w:rsidP="3D28A338">
            <w:pPr>
              <w:jc w:val="both"/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Como aspectos a Destacar:</w:t>
            </w:r>
          </w:p>
          <w:p w14:paraId="2FE80FD4" w14:textId="1B0ED87D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Agilidad para pivotar y redefinir el alcance del proyecto tras recibir retroalimentación docente. </w:t>
            </w:r>
          </w:p>
          <w:p w14:paraId="74B3FDEC" w14:textId="607CDB9A" w:rsidR="000F5E9D" w:rsidRPr="000F5E9D" w:rsidRDefault="000F5E9D" w:rsidP="000F5E9D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Coherencia total entre la base de datos diseñada en PostgreSQL, las rutas expuestas en Spring Boot y las pantallas desarrolladas en </w:t>
            </w:r>
            <w:proofErr w:type="spellStart"/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React</w:t>
            </w:r>
            <w:proofErr w:type="spellEnd"/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.</w:t>
            </w:r>
          </w:p>
          <w:p w14:paraId="7C87CD4D" w14:textId="77777777" w:rsidR="000F5E9D" w:rsidRPr="000F5E9D" w:rsidRDefault="000F5E9D" w:rsidP="000F5E9D">
            <w:pPr>
              <w:ind w:left="360"/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</w:p>
          <w:p w14:paraId="2B7AEEAD" w14:textId="4CDBBF63" w:rsidR="000F5E9D" w:rsidRPr="000F5E9D" w:rsidRDefault="000F5E9D" w:rsidP="000F5E9D">
            <w:pPr>
              <w:jc w:val="both"/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b/>
                <w:bCs/>
                <w:color w:val="0D0D0D" w:themeColor="text1" w:themeTint="F2"/>
                <w:sz w:val="24"/>
                <w:szCs w:val="24"/>
              </w:rPr>
              <w:t>Aspecto por mejorar:</w:t>
            </w:r>
          </w:p>
          <w:p w14:paraId="30EAF8CD" w14:textId="4A05C035" w:rsidR="000F5E9D" w:rsidRPr="000F5E9D" w:rsidRDefault="000F5E9D" w:rsidP="000F5E9D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Incrementar la frecuencia de las </w:t>
            </w:r>
            <w:r w:rsidR="007D7A7E">
              <w:rPr>
                <w:rFonts w:eastAsiaTheme="majorEastAsia"/>
                <w:color w:val="0D0D0D" w:themeColor="text1" w:themeTint="F2"/>
                <w:sz w:val="24"/>
                <w:szCs w:val="24"/>
              </w:rPr>
              <w:t>reuniones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de integración conjunta</w:t>
            </w:r>
            <w:r w:rsidR="007D7A7E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</w:t>
            </w:r>
            <w:r w:rsidRPr="000F5E9D">
              <w:rPr>
                <w:rFonts w:eastAsiaTheme="majorEastAsia"/>
                <w:color w:val="0D0D0D" w:themeColor="text1" w:themeTint="F2"/>
                <w:sz w:val="24"/>
                <w:szCs w:val="24"/>
              </w:rPr>
              <w:t>de cada Sprint para detectar inconsistencias de antes de las fechas de entrega.</w:t>
            </w:r>
          </w:p>
          <w:p w14:paraId="08AFCEFB" w14:textId="77777777" w:rsidR="000F5E9D" w:rsidRDefault="000F5E9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B794" w14:textId="77777777" w:rsidR="006D589D" w:rsidRDefault="006D589D" w:rsidP="00DF38AE">
      <w:pPr>
        <w:spacing w:after="0" w:line="240" w:lineRule="auto"/>
      </w:pPr>
      <w:r>
        <w:separator/>
      </w:r>
    </w:p>
  </w:endnote>
  <w:endnote w:type="continuationSeparator" w:id="0">
    <w:p w14:paraId="2E3BB4E9" w14:textId="77777777" w:rsidR="006D589D" w:rsidRDefault="006D58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2F4A" w14:textId="77777777" w:rsidR="006D589D" w:rsidRDefault="006D589D" w:rsidP="00DF38AE">
      <w:pPr>
        <w:spacing w:after="0" w:line="240" w:lineRule="auto"/>
      </w:pPr>
      <w:r>
        <w:separator/>
      </w:r>
    </w:p>
  </w:footnote>
  <w:footnote w:type="continuationSeparator" w:id="0">
    <w:p w14:paraId="6D62383C" w14:textId="77777777" w:rsidR="006D589D" w:rsidRDefault="006D58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B90"/>
    <w:multiLevelType w:val="hybridMultilevel"/>
    <w:tmpl w:val="2AB27D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10FB"/>
    <w:multiLevelType w:val="hybridMultilevel"/>
    <w:tmpl w:val="59FA1C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D5BDC"/>
    <w:multiLevelType w:val="hybridMultilevel"/>
    <w:tmpl w:val="8626D62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745AEC"/>
    <w:multiLevelType w:val="hybridMultilevel"/>
    <w:tmpl w:val="CEDC78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CF70FA"/>
    <w:multiLevelType w:val="hybridMultilevel"/>
    <w:tmpl w:val="99D02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13D47D2"/>
    <w:multiLevelType w:val="hybridMultilevel"/>
    <w:tmpl w:val="F96C59CC"/>
    <w:lvl w:ilvl="0" w:tplc="340A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4C62E0"/>
    <w:multiLevelType w:val="multilevel"/>
    <w:tmpl w:val="112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422824">
    <w:abstractNumId w:val="5"/>
  </w:num>
  <w:num w:numId="2" w16cid:durableId="1655835312">
    <w:abstractNumId w:val="12"/>
  </w:num>
  <w:num w:numId="3" w16cid:durableId="1601329998">
    <w:abstractNumId w:val="16"/>
  </w:num>
  <w:num w:numId="4" w16cid:durableId="1240679396">
    <w:abstractNumId w:val="35"/>
  </w:num>
  <w:num w:numId="5" w16cid:durableId="1949002905">
    <w:abstractNumId w:val="37"/>
  </w:num>
  <w:num w:numId="6" w16cid:durableId="1558857517">
    <w:abstractNumId w:val="6"/>
  </w:num>
  <w:num w:numId="7" w16cid:durableId="41176938">
    <w:abstractNumId w:val="15"/>
  </w:num>
  <w:num w:numId="8" w16cid:durableId="1723097133">
    <w:abstractNumId w:val="24"/>
  </w:num>
  <w:num w:numId="9" w16cid:durableId="1559977521">
    <w:abstractNumId w:val="20"/>
  </w:num>
  <w:num w:numId="10" w16cid:durableId="223874121">
    <w:abstractNumId w:val="13"/>
  </w:num>
  <w:num w:numId="11" w16cid:durableId="468328433">
    <w:abstractNumId w:val="29"/>
  </w:num>
  <w:num w:numId="12" w16cid:durableId="487479417">
    <w:abstractNumId w:val="42"/>
  </w:num>
  <w:num w:numId="13" w16cid:durableId="810757991">
    <w:abstractNumId w:val="36"/>
  </w:num>
  <w:num w:numId="14" w16cid:durableId="1235897324">
    <w:abstractNumId w:val="3"/>
  </w:num>
  <w:num w:numId="15" w16cid:durableId="1397165265">
    <w:abstractNumId w:val="43"/>
  </w:num>
  <w:num w:numId="16" w16cid:durableId="1190678233">
    <w:abstractNumId w:val="26"/>
  </w:num>
  <w:num w:numId="17" w16cid:durableId="1302923251">
    <w:abstractNumId w:val="22"/>
  </w:num>
  <w:num w:numId="18" w16cid:durableId="430592900">
    <w:abstractNumId w:val="38"/>
  </w:num>
  <w:num w:numId="19" w16cid:durableId="283971397">
    <w:abstractNumId w:val="14"/>
  </w:num>
  <w:num w:numId="20" w16cid:durableId="2088459263">
    <w:abstractNumId w:val="46"/>
  </w:num>
  <w:num w:numId="21" w16cid:durableId="1770814891">
    <w:abstractNumId w:val="41"/>
  </w:num>
  <w:num w:numId="22" w16cid:durableId="349726857">
    <w:abstractNumId w:val="17"/>
  </w:num>
  <w:num w:numId="23" w16cid:durableId="303245217">
    <w:abstractNumId w:val="19"/>
  </w:num>
  <w:num w:numId="24" w16cid:durableId="341858344">
    <w:abstractNumId w:val="7"/>
  </w:num>
  <w:num w:numId="25" w16cid:durableId="1690596573">
    <w:abstractNumId w:val="21"/>
  </w:num>
  <w:num w:numId="26" w16cid:durableId="1384598165">
    <w:abstractNumId w:val="25"/>
  </w:num>
  <w:num w:numId="27" w16cid:durableId="770244950">
    <w:abstractNumId w:val="28"/>
  </w:num>
  <w:num w:numId="28" w16cid:durableId="689378876">
    <w:abstractNumId w:val="2"/>
  </w:num>
  <w:num w:numId="29" w16cid:durableId="535898234">
    <w:abstractNumId w:val="23"/>
  </w:num>
  <w:num w:numId="30" w16cid:durableId="1053307840">
    <w:abstractNumId w:val="27"/>
  </w:num>
  <w:num w:numId="31" w16cid:durableId="1736509930">
    <w:abstractNumId w:val="4"/>
  </w:num>
  <w:num w:numId="32" w16cid:durableId="1378317077">
    <w:abstractNumId w:val="9"/>
  </w:num>
  <w:num w:numId="33" w16cid:durableId="1849325565">
    <w:abstractNumId w:val="39"/>
  </w:num>
  <w:num w:numId="34" w16cid:durableId="1426996801">
    <w:abstractNumId w:val="45"/>
  </w:num>
  <w:num w:numId="35" w16cid:durableId="1847741301">
    <w:abstractNumId w:val="8"/>
  </w:num>
  <w:num w:numId="36" w16cid:durableId="899560860">
    <w:abstractNumId w:val="31"/>
  </w:num>
  <w:num w:numId="37" w16cid:durableId="583881749">
    <w:abstractNumId w:val="44"/>
  </w:num>
  <w:num w:numId="38" w16cid:durableId="723139021">
    <w:abstractNumId w:val="34"/>
  </w:num>
  <w:num w:numId="39" w16cid:durableId="1886716479">
    <w:abstractNumId w:val="32"/>
  </w:num>
  <w:num w:numId="40" w16cid:durableId="1137072033">
    <w:abstractNumId w:val="40"/>
  </w:num>
  <w:num w:numId="41" w16cid:durableId="1897735206">
    <w:abstractNumId w:val="0"/>
  </w:num>
  <w:num w:numId="42" w16cid:durableId="341398013">
    <w:abstractNumId w:val="18"/>
  </w:num>
  <w:num w:numId="43" w16cid:durableId="1836875711">
    <w:abstractNumId w:val="33"/>
  </w:num>
  <w:num w:numId="44" w16cid:durableId="1043211122">
    <w:abstractNumId w:val="1"/>
  </w:num>
  <w:num w:numId="45" w16cid:durableId="2070617260">
    <w:abstractNumId w:val="10"/>
  </w:num>
  <w:num w:numId="46" w16cid:durableId="48968580">
    <w:abstractNumId w:val="11"/>
  </w:num>
  <w:num w:numId="47" w16cid:durableId="1702440023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E9D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D58E0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C10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2C2"/>
    <w:rsid w:val="006C617D"/>
    <w:rsid w:val="006D3F0E"/>
    <w:rsid w:val="006D589D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3A3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A7E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1EBB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ALEXANDER FERNANDEZ GALLARDO</cp:lastModifiedBy>
  <cp:revision>4</cp:revision>
  <cp:lastPrinted>2019-12-16T20:10:00Z</cp:lastPrinted>
  <dcterms:created xsi:type="dcterms:W3CDTF">2026-10-18T23:38:00Z</dcterms:created>
  <dcterms:modified xsi:type="dcterms:W3CDTF">2026-10-29T00:46:00Z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