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04F53043" w:rsidR="004F2A8B" w:rsidRPr="00ED4168" w:rsidRDefault="00ED4168" w:rsidP="3D28A338">
            <w:pPr>
              <w:jc w:val="both"/>
              <w:rPr>
                <w:rFonts w:eastAsiaTheme="majorEastAsia" w:cstheme="minorHAnsi"/>
                <w:b/>
                <w:bCs/>
                <w:color w:val="1F4E79" w:themeColor="accent1" w:themeShade="80"/>
              </w:rPr>
            </w:pPr>
            <w:r w:rsidRPr="00ED4168">
              <w:rPr>
                <w:rFonts w:eastAsiaTheme="majorEastAsia" w:cstheme="minorHAnsi"/>
                <w:b/>
                <w:bCs/>
                <w:color w:val="1F4E79" w:themeColor="accent1" w:themeShade="80"/>
              </w:rPr>
              <w:t xml:space="preserve">R: </w:t>
            </w:r>
            <w:r w:rsidR="00333994" w:rsidRPr="00333994">
              <w:rPr>
                <w:rFonts w:eastAsiaTheme="majorEastAsia" w:cstheme="minorHAnsi"/>
                <w:b/>
                <w:bCs/>
                <w:color w:val="1F4E79" w:themeColor="accent1" w:themeShade="80"/>
              </w:rPr>
              <w:t xml:space="preserve">Se presentaron retrasos respecto a los tiempos inicialmente definidos, principalmente debido a que tuvimos que modificar el alcance y las reglas de negocio de la propuesta original. Sin embargo, hemos ajustado el MVP para asegurar que todas las actividades planificadas se completen antes del 16 de noviembre. Un factor que facilitó enormemente el desarrollo fue tener el problema claro desde el principio y utilizar </w:t>
            </w:r>
            <w:proofErr w:type="spellStart"/>
            <w:r w:rsidR="00333994" w:rsidRPr="00333994">
              <w:rPr>
                <w:rFonts w:eastAsiaTheme="majorEastAsia" w:cstheme="minorHAnsi"/>
                <w:b/>
                <w:bCs/>
                <w:color w:val="1F4E79" w:themeColor="accent1" w:themeShade="80"/>
              </w:rPr>
              <w:t>React</w:t>
            </w:r>
            <w:proofErr w:type="spellEnd"/>
            <w:r w:rsidR="00333994" w:rsidRPr="00333994">
              <w:rPr>
                <w:rFonts w:eastAsiaTheme="majorEastAsia" w:cstheme="minorHAnsi"/>
                <w:b/>
                <w:bCs/>
                <w:color w:val="1F4E79" w:themeColor="accent1" w:themeShade="80"/>
              </w:rPr>
              <w:t xml:space="preserve"> y datos temporales para validar tempranamente el flujo funcional en el </w:t>
            </w:r>
            <w:proofErr w:type="spellStart"/>
            <w:r w:rsidR="00333994" w:rsidRPr="00333994">
              <w:rPr>
                <w:rFonts w:eastAsiaTheme="majorEastAsia" w:cstheme="minorHAnsi"/>
                <w:b/>
                <w:bCs/>
                <w:color w:val="1F4E79" w:themeColor="accent1" w:themeShade="80"/>
              </w:rPr>
              <w:t>frontend</w:t>
            </w:r>
            <w:proofErr w:type="spellEnd"/>
            <w:r w:rsidR="00333994" w:rsidRPr="00333994">
              <w:rPr>
                <w:rFonts w:eastAsiaTheme="majorEastAsia" w:cstheme="minorHAnsi"/>
                <w:b/>
                <w:bCs/>
                <w:color w:val="1F4E79" w:themeColor="accent1" w:themeShade="80"/>
              </w:rPr>
              <w:t xml:space="preserve">. Por otro lado, la principal dificultad fue lidiar con la variabilidad de los procesos de práctica de otras instituciones. Esto nos obligó a eliminar la vinculación directa estudiante-docente y reemplazarla por una arquitectura de grupos, además de incorporar un módulo documental flexible. También nos ha retrasado un poco la dependencia de completar la lógica y seguridad en el </w:t>
            </w:r>
            <w:proofErr w:type="spellStart"/>
            <w:r w:rsidR="00333994" w:rsidRPr="00333994">
              <w:rPr>
                <w:rFonts w:eastAsiaTheme="majorEastAsia" w:cstheme="minorHAnsi"/>
                <w:b/>
                <w:bCs/>
                <w:color w:val="1F4E79" w:themeColor="accent1" w:themeShade="80"/>
              </w:rPr>
              <w:t>backend</w:t>
            </w:r>
            <w:proofErr w:type="spellEnd"/>
            <w:r w:rsidR="00333994" w:rsidRPr="00333994">
              <w:rPr>
                <w:rFonts w:eastAsiaTheme="majorEastAsia" w:cstheme="minorHAnsi"/>
                <w:b/>
                <w:bCs/>
                <w:color w:val="1F4E79" w:themeColor="accent1" w:themeShade="80"/>
              </w:rPr>
              <w:t xml:space="preserve"> (Spring Boot) y persistencia (PostgreSQL) para que los flujos visuales del </w:t>
            </w:r>
            <w:proofErr w:type="spellStart"/>
            <w:r w:rsidR="00333994" w:rsidRPr="00333994">
              <w:rPr>
                <w:rFonts w:eastAsiaTheme="majorEastAsia" w:cstheme="minorHAnsi"/>
                <w:b/>
                <w:bCs/>
                <w:color w:val="1F4E79" w:themeColor="accent1" w:themeShade="80"/>
              </w:rPr>
              <w:t>frontend</w:t>
            </w:r>
            <w:proofErr w:type="spellEnd"/>
            <w:r w:rsidR="00333994" w:rsidRPr="00333994">
              <w:rPr>
                <w:rFonts w:eastAsiaTheme="majorEastAsia" w:cstheme="minorHAnsi"/>
                <w:b/>
                <w:bCs/>
                <w:color w:val="1F4E79" w:themeColor="accent1" w:themeShade="80"/>
              </w:rPr>
              <w:t xml:space="preserve"> sean definitivos.</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49941882" w:rsidR="004F2A8B" w:rsidRDefault="00ED4168" w:rsidP="3D28A338">
            <w:pPr>
              <w:jc w:val="both"/>
              <w:rPr>
                <w:rFonts w:ascii="Calibri" w:hAnsi="Calibri"/>
                <w:b/>
                <w:bCs/>
                <w:color w:val="1F4E79" w:themeColor="accent1" w:themeShade="80"/>
              </w:rPr>
            </w:pPr>
            <w:r>
              <w:rPr>
                <w:rFonts w:ascii="Calibri" w:hAnsi="Calibri"/>
                <w:b/>
                <w:bCs/>
                <w:color w:val="1F4E79" w:themeColor="accent1" w:themeShade="80"/>
              </w:rPr>
              <w:t xml:space="preserve">R: </w:t>
            </w:r>
            <w:r w:rsidR="00333994" w:rsidRPr="00333994">
              <w:rPr>
                <w:rFonts w:ascii="Calibri" w:hAnsi="Calibri"/>
                <w:b/>
                <w:bCs/>
                <w:color w:val="1F4E79" w:themeColor="accent1" w:themeShade="80"/>
              </w:rPr>
              <w:t>Para enfrentar el desafío de la variabilidad institucional</w:t>
            </w:r>
            <w:r w:rsidR="00333994">
              <w:rPr>
                <w:rFonts w:ascii="Calibri" w:hAnsi="Calibri"/>
                <w:b/>
                <w:bCs/>
                <w:color w:val="1F4E79" w:themeColor="accent1" w:themeShade="80"/>
              </w:rPr>
              <w:t xml:space="preserve">, </w:t>
            </w:r>
            <w:r w:rsidR="00333994" w:rsidRPr="00333994">
              <w:rPr>
                <w:rFonts w:ascii="Calibri" w:hAnsi="Calibri"/>
                <w:b/>
                <w:bCs/>
                <w:color w:val="1F4E79" w:themeColor="accent1" w:themeShade="80"/>
              </w:rPr>
              <w:t>rediseñamos el sistema implementando un "módulo documental flexible" donde cada docente puede publicar las plantillas que su contexto exija, en lugar de nosotros codificar formularios fijos. Además, acotamos el alcance del MVP estrictamente al seguimiento de la práctica ya iniciada (eliminando reportes PDF y barra de porcentaje para evitar confusiones de término automático). Respecto a las dificultades técnicas y de retraso con la integración, el plan de acción se basa en trabajar por dependencias: primero estabilizar completamente nuestro modelo relacional en PostgreSQL (</w:t>
            </w:r>
            <w:proofErr w:type="spellStart"/>
            <w:r w:rsidR="00333994" w:rsidRPr="00333994">
              <w:rPr>
                <w:rFonts w:ascii="Calibri" w:hAnsi="Calibri"/>
                <w:b/>
                <w:bCs/>
                <w:color w:val="1F4E79" w:themeColor="accent1" w:themeShade="80"/>
              </w:rPr>
              <w:t>Supabase</w:t>
            </w:r>
            <w:proofErr w:type="spellEnd"/>
            <w:r w:rsidR="00333994" w:rsidRPr="00333994">
              <w:rPr>
                <w:rFonts w:ascii="Calibri" w:hAnsi="Calibri"/>
                <w:b/>
                <w:bCs/>
                <w:color w:val="1F4E79" w:themeColor="accent1" w:themeShade="80"/>
              </w:rPr>
              <w:t xml:space="preserve">) y asegurar los contratos de nuestra API; luego integrar la autenticación JWT y roles en Spring Security. Solo después conectaremos definitivamente la interfaz </w:t>
            </w:r>
            <w:proofErr w:type="spellStart"/>
            <w:r w:rsidR="00333994" w:rsidRPr="00333994">
              <w:rPr>
                <w:rFonts w:ascii="Calibri" w:hAnsi="Calibri"/>
                <w:b/>
                <w:bCs/>
                <w:color w:val="1F4E79" w:themeColor="accent1" w:themeShade="80"/>
              </w:rPr>
              <w:t>React</w:t>
            </w:r>
            <w:proofErr w:type="spellEnd"/>
            <w:r w:rsidR="00333994" w:rsidRPr="00333994">
              <w:rPr>
                <w:rFonts w:ascii="Calibri" w:hAnsi="Calibri"/>
                <w:b/>
                <w:bCs/>
                <w:color w:val="1F4E79" w:themeColor="accent1" w:themeShade="80"/>
              </w:rPr>
              <w:t xml:space="preserve"> a la base de datos antes de proceder al despliegue remoto.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673040D5" w:rsidR="004F2A8B" w:rsidRDefault="00333994" w:rsidP="3D28A338">
            <w:pPr>
              <w:jc w:val="both"/>
              <w:rPr>
                <w:rFonts w:ascii="Calibri" w:hAnsi="Calibri"/>
                <w:b/>
                <w:bCs/>
                <w:color w:val="1F4E79" w:themeColor="accent1" w:themeShade="80"/>
              </w:rPr>
            </w:pPr>
            <w:r>
              <w:rPr>
                <w:rFonts w:ascii="Calibri" w:hAnsi="Calibri"/>
                <w:b/>
                <w:bCs/>
                <w:color w:val="1F4E79" w:themeColor="accent1" w:themeShade="80"/>
              </w:rPr>
              <w:t xml:space="preserve">R: </w:t>
            </w:r>
            <w:r w:rsidRPr="00333994">
              <w:rPr>
                <w:rFonts w:ascii="Calibri" w:hAnsi="Calibri"/>
                <w:b/>
                <w:bCs/>
                <w:color w:val="1F4E79" w:themeColor="accent1" w:themeShade="80"/>
              </w:rPr>
              <w:t>La evaluación general es sumamente positiva. Destaco especialmente la madurez de nuestra propuesta; no nos quedamos con nuestra idea inicial, sino que tras la retroalimentación investigamos (PUCV, UTFSM, UNAB, U. de Chile) y mejoramos nuestra arquitectura para ofrecer una plataforma verdaderamente escalable y adaptable.</w:t>
            </w:r>
            <w:r>
              <w:rPr>
                <w:rFonts w:ascii="Calibri" w:hAnsi="Calibri"/>
                <w:b/>
                <w:bCs/>
                <w:color w:val="1F4E79" w:themeColor="accent1" w:themeShade="80"/>
              </w:rPr>
              <w:t xml:space="preserve"> </w:t>
            </w:r>
            <w:r w:rsidRPr="00333994">
              <w:rPr>
                <w:rFonts w:ascii="Calibri" w:hAnsi="Calibri"/>
                <w:b/>
                <w:bCs/>
                <w:color w:val="1F4E79" w:themeColor="accent1" w:themeShade="80"/>
              </w:rPr>
              <w:t xml:space="preserve">Para mejorar el trabajo, necesitamos acelerar nuestra integración con el servidor y la persistencia de datos definitiva. Debemos evitar que la interfaz visual en </w:t>
            </w:r>
            <w:proofErr w:type="spellStart"/>
            <w:r w:rsidRPr="00333994">
              <w:rPr>
                <w:rFonts w:ascii="Calibri" w:hAnsi="Calibri"/>
                <w:b/>
                <w:bCs/>
                <w:color w:val="1F4E79" w:themeColor="accent1" w:themeShade="80"/>
              </w:rPr>
              <w:t>React</w:t>
            </w:r>
            <w:proofErr w:type="spellEnd"/>
            <w:r w:rsidRPr="00333994">
              <w:rPr>
                <w:rFonts w:ascii="Calibri" w:hAnsi="Calibri"/>
                <w:b/>
                <w:bCs/>
                <w:color w:val="1F4E79" w:themeColor="accent1" w:themeShade="80"/>
              </w:rPr>
              <w:t xml:space="preserve"> avance demasiado sin que el </w:t>
            </w:r>
            <w:proofErr w:type="spellStart"/>
            <w:r w:rsidRPr="00333994">
              <w:rPr>
                <w:rFonts w:ascii="Calibri" w:hAnsi="Calibri"/>
                <w:b/>
                <w:bCs/>
                <w:color w:val="1F4E79" w:themeColor="accent1" w:themeShade="80"/>
              </w:rPr>
              <w:t>backend</w:t>
            </w:r>
            <w:proofErr w:type="spellEnd"/>
            <w:r w:rsidRPr="00333994">
              <w:rPr>
                <w:rFonts w:ascii="Calibri" w:hAnsi="Calibri"/>
                <w:b/>
                <w:bCs/>
                <w:color w:val="1F4E79" w:themeColor="accent1" w:themeShade="80"/>
              </w:rPr>
              <w:t xml:space="preserve"> de Spring Boot y PostgreSQL logren procesar esos mismos flujos con datos reales.</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60BB41B1" w14:textId="1CDB2063" w:rsidR="004F2A8B" w:rsidRPr="00333994"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4D9260D8" w14:textId="4E1EA6E8" w:rsidR="004F2A8B" w:rsidRDefault="00333994" w:rsidP="3D28A338">
            <w:pPr>
              <w:jc w:val="both"/>
              <w:rPr>
                <w:rFonts w:ascii="Calibri" w:hAnsi="Calibri"/>
                <w:b/>
                <w:bCs/>
                <w:color w:val="1F4E79" w:themeColor="accent1" w:themeShade="80"/>
              </w:rPr>
            </w:pPr>
            <w:r>
              <w:rPr>
                <w:rFonts w:ascii="Calibri" w:hAnsi="Calibri"/>
                <w:b/>
                <w:bCs/>
                <w:color w:val="1F4E79" w:themeColor="accent1" w:themeShade="80"/>
              </w:rPr>
              <w:t xml:space="preserve">R: </w:t>
            </w:r>
            <w:r w:rsidRPr="00333994">
              <w:rPr>
                <w:rFonts w:ascii="Calibri" w:hAnsi="Calibri"/>
                <w:b/>
                <w:bCs/>
                <w:color w:val="1F4E79" w:themeColor="accent1" w:themeShade="80"/>
              </w:rPr>
              <w:t xml:space="preserve">A nivel técnico, nos queda la inquietud sobre cómo implementar eficientemente el almacenamiento de los archivos (evidencias, plantillas y entregas) utilizando </w:t>
            </w:r>
            <w:proofErr w:type="spellStart"/>
            <w:r w:rsidRPr="00333994">
              <w:rPr>
                <w:rFonts w:ascii="Calibri" w:hAnsi="Calibri"/>
                <w:b/>
                <w:bCs/>
                <w:i/>
                <w:iCs/>
                <w:color w:val="1F4E79" w:themeColor="accent1" w:themeShade="80"/>
              </w:rPr>
              <w:t>Object</w:t>
            </w:r>
            <w:proofErr w:type="spellEnd"/>
            <w:r w:rsidRPr="00333994">
              <w:rPr>
                <w:rFonts w:ascii="Calibri" w:hAnsi="Calibri"/>
                <w:b/>
                <w:bCs/>
                <w:i/>
                <w:iCs/>
                <w:color w:val="1F4E79" w:themeColor="accent1" w:themeShade="80"/>
              </w:rPr>
              <w:t xml:space="preserve"> Storage</w:t>
            </w:r>
            <w:r w:rsidRPr="00333994">
              <w:rPr>
                <w:rFonts w:ascii="Calibri" w:hAnsi="Calibri"/>
                <w:b/>
                <w:bCs/>
                <w:color w:val="1F4E79" w:themeColor="accent1" w:themeShade="80"/>
              </w:rPr>
              <w:t xml:space="preserve"> (como </w:t>
            </w:r>
            <w:proofErr w:type="spellStart"/>
            <w:r w:rsidRPr="00333994">
              <w:rPr>
                <w:rFonts w:ascii="Calibri" w:hAnsi="Calibri"/>
                <w:b/>
                <w:bCs/>
                <w:color w:val="1F4E79" w:themeColor="accent1" w:themeShade="80"/>
              </w:rPr>
              <w:t>Supabase</w:t>
            </w:r>
            <w:proofErr w:type="spellEnd"/>
            <w:r w:rsidRPr="00333994">
              <w:rPr>
                <w:rFonts w:ascii="Calibri" w:hAnsi="Calibri"/>
                <w:b/>
                <w:bCs/>
                <w:color w:val="1F4E79" w:themeColor="accent1" w:themeShade="80"/>
              </w:rPr>
              <w:t xml:space="preserve"> Storage) sin saturar PostgreSQL y manteniendo la trazabilidad correcta para no mezclar los tipos de documentos. A nivel funcional, nos gustaría preguntarle al docente si el alcance actual de la "Vista Docente" es suficiente; específicamente, si el hecho de que el docente </w:t>
            </w:r>
            <w:r w:rsidRPr="00333994">
              <w:rPr>
                <w:rFonts w:ascii="Calibri" w:hAnsi="Calibri"/>
                <w:b/>
                <w:bCs/>
                <w:i/>
                <w:iCs/>
                <w:color w:val="1F4E79" w:themeColor="accent1" w:themeShade="80"/>
              </w:rPr>
              <w:t>no apruebe obligatoriamente todas las jornadas</w:t>
            </w:r>
            <w:r w:rsidRPr="00333994">
              <w:rPr>
                <w:rFonts w:ascii="Calibri" w:hAnsi="Calibri"/>
                <w:b/>
                <w:bCs/>
                <w:color w:val="1F4E79" w:themeColor="accent1" w:themeShade="80"/>
              </w:rPr>
              <w:t xml:space="preserve"> </w:t>
            </w:r>
            <w:r>
              <w:rPr>
                <w:rFonts w:ascii="Calibri" w:hAnsi="Calibri"/>
                <w:b/>
                <w:bCs/>
                <w:color w:val="1F4E79" w:themeColor="accent1" w:themeShade="80"/>
              </w:rPr>
              <w:t>(</w:t>
            </w:r>
            <w:r w:rsidRPr="00333994">
              <w:rPr>
                <w:rFonts w:ascii="Calibri" w:hAnsi="Calibri"/>
                <w:b/>
                <w:bCs/>
                <w:color w:val="1F4E79" w:themeColor="accent1" w:themeShade="80"/>
              </w:rPr>
              <w:t>sino que actúe por excepciones mediante el flujo de "Solicitud de corrección" e indique un estado "Observada"</w:t>
            </w:r>
            <w:r>
              <w:rPr>
                <w:rFonts w:ascii="Calibri" w:hAnsi="Calibri"/>
                <w:b/>
                <w:bCs/>
                <w:color w:val="1F4E79" w:themeColor="accent1" w:themeShade="80"/>
              </w:rPr>
              <w:t>)</w:t>
            </w:r>
            <w:r w:rsidRPr="00333994">
              <w:rPr>
                <w:rFonts w:ascii="Calibri" w:hAnsi="Calibri"/>
                <w:b/>
                <w:bCs/>
                <w:color w:val="1F4E79" w:themeColor="accent1" w:themeShade="80"/>
              </w:rPr>
              <w:t xml:space="preserve"> satisface plenamente las expectativas de supervisión académica.</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p w14:paraId="5DC66F0D" w14:textId="77777777" w:rsidR="00333994" w:rsidRDefault="00333994" w:rsidP="3D28A338">
      <w:pPr>
        <w:spacing w:after="0" w:line="360" w:lineRule="auto"/>
        <w:jc w:val="both"/>
        <w:rPr>
          <w:b/>
          <w:bCs/>
          <w:sz w:val="24"/>
          <w:szCs w:val="24"/>
        </w:rPr>
      </w:pPr>
    </w:p>
    <w:p w14:paraId="17F1764B" w14:textId="77777777" w:rsidR="00333994" w:rsidRDefault="00333994" w:rsidP="3D28A338">
      <w:pPr>
        <w:spacing w:after="0" w:line="360" w:lineRule="auto"/>
        <w:jc w:val="both"/>
        <w:rPr>
          <w:b/>
          <w:bCs/>
          <w:sz w:val="24"/>
          <w:szCs w:val="24"/>
        </w:rPr>
      </w:pPr>
    </w:p>
    <w:p w14:paraId="1A7C28E6" w14:textId="77777777" w:rsidR="00333994" w:rsidRDefault="00333994" w:rsidP="3D28A338">
      <w:pPr>
        <w:spacing w:after="0" w:line="360" w:lineRule="auto"/>
        <w:jc w:val="both"/>
        <w:rPr>
          <w:b/>
          <w:bCs/>
          <w:sz w:val="24"/>
          <w:szCs w:val="24"/>
        </w:rPr>
      </w:pPr>
    </w:p>
    <w:p w14:paraId="4C5060A4" w14:textId="77777777" w:rsidR="00333994" w:rsidRDefault="00333994"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3ED6367E" w:rsidR="004F2A8B" w:rsidRPr="00333994" w:rsidRDefault="00333994" w:rsidP="3D28A338">
            <w:pPr>
              <w:jc w:val="both"/>
              <w:rPr>
                <w:rFonts w:asciiTheme="majorHAnsi" w:eastAsiaTheme="majorEastAsia" w:hAnsiTheme="majorHAnsi" w:cstheme="majorHAnsi"/>
                <w:b/>
                <w:bCs/>
                <w:color w:val="1F4E79" w:themeColor="accent1" w:themeShade="80"/>
              </w:rPr>
            </w:pPr>
            <w:r w:rsidRPr="00333994">
              <w:rPr>
                <w:rFonts w:asciiTheme="majorHAnsi" w:eastAsiaTheme="majorEastAsia" w:hAnsiTheme="majorHAnsi" w:cstheme="majorHAnsi"/>
                <w:b/>
                <w:bCs/>
                <w:color w:val="1F4E79" w:themeColor="accent1" w:themeShade="80"/>
              </w:rPr>
              <w:t xml:space="preserve">R: </w:t>
            </w:r>
            <w:r w:rsidRPr="00333994">
              <w:rPr>
                <w:rFonts w:asciiTheme="majorHAnsi" w:eastAsiaTheme="majorEastAsia" w:hAnsiTheme="majorHAnsi" w:cstheme="majorHAnsi"/>
                <w:b/>
                <w:bCs/>
                <w:color w:val="1F4E79" w:themeColor="accent1" w:themeShade="80"/>
              </w:rPr>
              <w:t xml:space="preserve">Consideramos que la distribución de las especialidades se mantiene sólida (Jonatán apoyando en análisis y pruebas; Nicolás en </w:t>
            </w:r>
            <w:proofErr w:type="spellStart"/>
            <w:r w:rsidRPr="00333994">
              <w:rPr>
                <w:rFonts w:asciiTheme="majorHAnsi" w:eastAsiaTheme="majorEastAsia" w:hAnsiTheme="majorHAnsi" w:cstheme="majorHAnsi"/>
                <w:b/>
                <w:bCs/>
                <w:color w:val="1F4E79" w:themeColor="accent1" w:themeShade="80"/>
              </w:rPr>
              <w:t>React</w:t>
            </w:r>
            <w:proofErr w:type="spellEnd"/>
            <w:r w:rsidRPr="00333994">
              <w:rPr>
                <w:rFonts w:asciiTheme="majorHAnsi" w:eastAsiaTheme="majorEastAsia" w:hAnsiTheme="majorHAnsi" w:cstheme="majorHAnsi"/>
                <w:b/>
                <w:bCs/>
                <w:color w:val="1F4E79" w:themeColor="accent1" w:themeShade="80"/>
              </w:rPr>
              <w:t xml:space="preserve"> UI/UX; y yo en </w:t>
            </w:r>
            <w:proofErr w:type="spellStart"/>
            <w:r w:rsidRPr="00333994">
              <w:rPr>
                <w:rFonts w:asciiTheme="majorHAnsi" w:eastAsiaTheme="majorEastAsia" w:hAnsiTheme="majorHAnsi" w:cstheme="majorHAnsi"/>
                <w:b/>
                <w:bCs/>
                <w:color w:val="1F4E79" w:themeColor="accent1" w:themeShade="80"/>
              </w:rPr>
              <w:t>Backend</w:t>
            </w:r>
            <w:proofErr w:type="spellEnd"/>
            <w:r w:rsidRPr="00333994">
              <w:rPr>
                <w:rFonts w:asciiTheme="majorHAnsi" w:eastAsiaTheme="majorEastAsia" w:hAnsiTheme="majorHAnsi" w:cstheme="majorHAnsi"/>
                <w:b/>
                <w:bCs/>
                <w:color w:val="1F4E79" w:themeColor="accent1" w:themeShade="80"/>
              </w:rPr>
              <w:t xml:space="preserve"> Spring Boot y BD). No consideramos necesario redistribuir a los responsables, pero debido a las modificaciones de alcance sí han surgido nuevas actividades para cada uno. Por ejemplo, en mi caso, debo rediseñar el modelo relacional para soportar las nuevas lógicas del grupo, notificaciones y entregas de documentos; mientras que Nicolás y Jonatán deberán coordinar la vista del docente que ahora integra la gestión de estos nuevos archivos.</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70F1B3E9" w14:textId="3F759C7C" w:rsidR="00333994" w:rsidRPr="00333994" w:rsidRDefault="00333994" w:rsidP="3D28A338">
            <w:pPr>
              <w:jc w:val="both"/>
              <w:rPr>
                <w:rFonts w:eastAsiaTheme="majorEastAsia" w:cstheme="minorHAnsi"/>
                <w:b/>
                <w:bCs/>
                <w:color w:val="1F4E79" w:themeColor="accent1" w:themeShade="80"/>
              </w:rPr>
            </w:pPr>
            <w:r w:rsidRPr="00333994">
              <w:rPr>
                <w:rFonts w:eastAsiaTheme="majorEastAsia" w:cstheme="minorHAnsi"/>
                <w:b/>
                <w:bCs/>
                <w:color w:val="1F4E79" w:themeColor="accent1" w:themeShade="80"/>
              </w:rPr>
              <w:t xml:space="preserve">R: </w:t>
            </w:r>
            <w:r w:rsidRPr="00333994">
              <w:rPr>
                <w:rFonts w:eastAsiaTheme="majorEastAsia" w:cstheme="minorHAnsi"/>
                <w:b/>
                <w:bCs/>
                <w:color w:val="1F4E79" w:themeColor="accent1" w:themeShade="80"/>
              </w:rPr>
              <w:t xml:space="preserve">Evaluamos nuestro trabajo grupal como muy sólido y analítico. Como aspecto sumamente positivo, destaco nuestra apertura a la crítica; la retroalimentación nos hizo repensar el proyecto y gracias a eso entregaremos un producto mucho más profesional. Además, la separación de nuestras especialidades técnicas ha mantenido el desarrollo ordenado y respaldado en GitHub. Como aspecto a mejorar, consideramos vital mejorar nuestra comunicación de integración. Debemos asegurar que los cambios de modelo de datos o </w:t>
            </w:r>
            <w:proofErr w:type="spellStart"/>
            <w:r w:rsidRPr="00333994">
              <w:rPr>
                <w:rFonts w:eastAsiaTheme="majorEastAsia" w:cstheme="minorHAnsi"/>
                <w:b/>
                <w:bCs/>
                <w:color w:val="1F4E79" w:themeColor="accent1" w:themeShade="80"/>
              </w:rPr>
              <w:t>endpoints</w:t>
            </w:r>
            <w:proofErr w:type="spellEnd"/>
            <w:r w:rsidRPr="00333994">
              <w:rPr>
                <w:rFonts w:eastAsiaTheme="majorEastAsia" w:cstheme="minorHAnsi"/>
                <w:b/>
                <w:bCs/>
                <w:color w:val="1F4E79" w:themeColor="accent1" w:themeShade="80"/>
              </w:rPr>
              <w:t xml:space="preserve"> que yo implemento en el </w:t>
            </w:r>
            <w:proofErr w:type="spellStart"/>
            <w:r w:rsidRPr="00333994">
              <w:rPr>
                <w:rFonts w:eastAsiaTheme="majorEastAsia" w:cstheme="minorHAnsi"/>
                <w:b/>
                <w:bCs/>
                <w:color w:val="1F4E79" w:themeColor="accent1" w:themeShade="80"/>
              </w:rPr>
              <w:t>backend</w:t>
            </w:r>
            <w:proofErr w:type="spellEnd"/>
            <w:r w:rsidRPr="00333994">
              <w:rPr>
                <w:rFonts w:eastAsiaTheme="majorEastAsia" w:cstheme="minorHAnsi"/>
                <w:b/>
                <w:bCs/>
                <w:color w:val="1F4E79" w:themeColor="accent1" w:themeShade="80"/>
              </w:rPr>
              <w:t xml:space="preserve"> se informen inmediatamente para que el </w:t>
            </w:r>
            <w:proofErr w:type="spellStart"/>
            <w:r w:rsidRPr="00333994">
              <w:rPr>
                <w:rFonts w:eastAsiaTheme="majorEastAsia" w:cstheme="minorHAnsi"/>
                <w:b/>
                <w:bCs/>
                <w:color w:val="1F4E79" w:themeColor="accent1" w:themeShade="80"/>
              </w:rPr>
              <w:t>frontend</w:t>
            </w:r>
            <w:proofErr w:type="spellEnd"/>
            <w:r w:rsidRPr="00333994">
              <w:rPr>
                <w:rFonts w:eastAsiaTheme="majorEastAsia" w:cstheme="minorHAnsi"/>
                <w:b/>
                <w:bCs/>
                <w:color w:val="1F4E79" w:themeColor="accent1" w:themeShade="80"/>
              </w:rPr>
              <w:t xml:space="preserve"> no diseñe pantallas con estructuras de datos que no podemos soportar aún en la base de datos.</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E7A29" w14:textId="77777777" w:rsidR="005B5449" w:rsidRDefault="005B5449" w:rsidP="00DF38AE">
      <w:pPr>
        <w:spacing w:after="0" w:line="240" w:lineRule="auto"/>
      </w:pPr>
      <w:r>
        <w:separator/>
      </w:r>
    </w:p>
  </w:endnote>
  <w:endnote w:type="continuationSeparator" w:id="0">
    <w:p w14:paraId="5F06ECBF" w14:textId="77777777" w:rsidR="005B5449" w:rsidRDefault="005B544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9CFAE" w14:textId="77777777" w:rsidR="005B5449" w:rsidRDefault="005B5449" w:rsidP="00DF38AE">
      <w:pPr>
        <w:spacing w:after="0" w:line="240" w:lineRule="auto"/>
      </w:pPr>
      <w:r>
        <w:separator/>
      </w:r>
    </w:p>
  </w:footnote>
  <w:footnote w:type="continuationSeparator" w:id="0">
    <w:p w14:paraId="31C3962B" w14:textId="77777777" w:rsidR="005B5449" w:rsidRDefault="005B544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07417321">
    <w:abstractNumId w:val="3"/>
  </w:num>
  <w:num w:numId="2" w16cid:durableId="804348204">
    <w:abstractNumId w:val="8"/>
  </w:num>
  <w:num w:numId="3" w16cid:durableId="1784416902">
    <w:abstractNumId w:val="12"/>
  </w:num>
  <w:num w:numId="4" w16cid:durableId="1019426455">
    <w:abstractNumId w:val="28"/>
  </w:num>
  <w:num w:numId="5" w16cid:durableId="1001544784">
    <w:abstractNumId w:val="30"/>
  </w:num>
  <w:num w:numId="6" w16cid:durableId="2052879103">
    <w:abstractNumId w:val="4"/>
  </w:num>
  <w:num w:numId="7" w16cid:durableId="705763464">
    <w:abstractNumId w:val="11"/>
  </w:num>
  <w:num w:numId="8" w16cid:durableId="819536730">
    <w:abstractNumId w:val="19"/>
  </w:num>
  <w:num w:numId="9" w16cid:durableId="790368981">
    <w:abstractNumId w:val="15"/>
  </w:num>
  <w:num w:numId="10" w16cid:durableId="468086268">
    <w:abstractNumId w:val="9"/>
  </w:num>
  <w:num w:numId="11" w16cid:durableId="1019697773">
    <w:abstractNumId w:val="24"/>
  </w:num>
  <w:num w:numId="12" w16cid:durableId="2035379100">
    <w:abstractNumId w:val="35"/>
  </w:num>
  <w:num w:numId="13" w16cid:durableId="1722901858">
    <w:abstractNumId w:val="29"/>
  </w:num>
  <w:num w:numId="14" w16cid:durableId="157113922">
    <w:abstractNumId w:val="1"/>
  </w:num>
  <w:num w:numId="15" w16cid:durableId="987168942">
    <w:abstractNumId w:val="36"/>
  </w:num>
  <w:num w:numId="16" w16cid:durableId="961036110">
    <w:abstractNumId w:val="21"/>
  </w:num>
  <w:num w:numId="17" w16cid:durableId="419450913">
    <w:abstractNumId w:val="17"/>
  </w:num>
  <w:num w:numId="18" w16cid:durableId="2033459534">
    <w:abstractNumId w:val="31"/>
  </w:num>
  <w:num w:numId="19" w16cid:durableId="1381829388">
    <w:abstractNumId w:val="10"/>
  </w:num>
  <w:num w:numId="20" w16cid:durableId="1136754380">
    <w:abstractNumId w:val="39"/>
  </w:num>
  <w:num w:numId="21" w16cid:durableId="1901741833">
    <w:abstractNumId w:val="34"/>
  </w:num>
  <w:num w:numId="22" w16cid:durableId="1582059593">
    <w:abstractNumId w:val="13"/>
  </w:num>
  <w:num w:numId="23" w16cid:durableId="1323503210">
    <w:abstractNumId w:val="14"/>
  </w:num>
  <w:num w:numId="24" w16cid:durableId="1608658038">
    <w:abstractNumId w:val="5"/>
  </w:num>
  <w:num w:numId="25" w16cid:durableId="1047991640">
    <w:abstractNumId w:val="16"/>
  </w:num>
  <w:num w:numId="26" w16cid:durableId="1348487495">
    <w:abstractNumId w:val="20"/>
  </w:num>
  <w:num w:numId="27" w16cid:durableId="751976951">
    <w:abstractNumId w:val="23"/>
  </w:num>
  <w:num w:numId="28" w16cid:durableId="438337197">
    <w:abstractNumId w:val="0"/>
  </w:num>
  <w:num w:numId="29" w16cid:durableId="1841894023">
    <w:abstractNumId w:val="18"/>
  </w:num>
  <w:num w:numId="30" w16cid:durableId="209466926">
    <w:abstractNumId w:val="22"/>
  </w:num>
  <w:num w:numId="31" w16cid:durableId="1523931281">
    <w:abstractNumId w:val="2"/>
  </w:num>
  <w:num w:numId="32" w16cid:durableId="2089111719">
    <w:abstractNumId w:val="7"/>
  </w:num>
  <w:num w:numId="33" w16cid:durableId="1098066590">
    <w:abstractNumId w:val="32"/>
  </w:num>
  <w:num w:numId="34" w16cid:durableId="1622106196">
    <w:abstractNumId w:val="38"/>
  </w:num>
  <w:num w:numId="35" w16cid:durableId="521287323">
    <w:abstractNumId w:val="6"/>
  </w:num>
  <w:num w:numId="36" w16cid:durableId="534774966">
    <w:abstractNumId w:val="25"/>
  </w:num>
  <w:num w:numId="37" w16cid:durableId="692727185">
    <w:abstractNumId w:val="37"/>
  </w:num>
  <w:num w:numId="38" w16cid:durableId="788089631">
    <w:abstractNumId w:val="27"/>
  </w:num>
  <w:num w:numId="39" w16cid:durableId="1569535498">
    <w:abstractNumId w:val="26"/>
  </w:num>
  <w:num w:numId="40" w16cid:durableId="46211368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5AD6"/>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994"/>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5449"/>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168"/>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922</Words>
  <Characters>5075</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YULIANA KATALINA ROMAN BRICENO</cp:lastModifiedBy>
  <cp:revision>43</cp:revision>
  <cp:lastPrinted>2019-12-16T20:10:00Z</cp:lastPrinted>
  <dcterms:created xsi:type="dcterms:W3CDTF">2021-12-31T12:50:00Z</dcterms:created>
  <dcterms:modified xsi:type="dcterms:W3CDTF">2026-10-18T22:33:00Z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