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</w:pPr>
      <w:r>
        <w:rPr>
          <w:rFonts w:ascii="Microsoft YaHei" w:hAnsi="Microsoft YaHei" w:eastAsia="Microsoft YaHei"/>
          <w:b/>
          <w:color w:val="142238"/>
          <w:sz w:val="50"/>
        </w:rPr>
        <w:t>记忆核心架构总结</w:t>
      </w:r>
    </w:p>
    <w:p>
      <w:pPr>
        <w:spacing w:after="100"/>
      </w:pPr>
      <w:r>
        <w:rPr>
          <w:rFonts w:ascii="Microsoft YaHei" w:hAnsi="Microsoft YaHei" w:eastAsia="Microsoft YaHei"/>
          <w:color w:val="52657A"/>
          <w:sz w:val="22"/>
        </w:rPr>
        <w:t>照夜作为用户助理的记忆边界、任务路由与外部系统协作</w:t>
      </w:r>
    </w:p>
    <w:p>
      <w:pPr>
        <w:spacing w:after="140"/>
      </w:pPr>
      <w:r>
        <w:rPr>
          <w:rFonts w:ascii="Microsoft YaHei" w:hAnsi="Microsoft YaHei" w:eastAsia="Microsoft YaHei"/>
          <w:color w:val="718096"/>
          <w:sz w:val="17"/>
        </w:rPr>
        <w:t>当前设计基线  |  2026年10月28日</w:t>
      </w:r>
    </w:p>
    <w:p>
      <w:pPr>
        <w:spacing w:after="40"/>
      </w:pPr>
      <w:r>
        <w:rPr>
          <w:rFonts w:ascii="Microsoft YaHei" w:hAnsi="Microsoft YaHei" w:eastAsia="Microsoft YaHei"/>
          <w:b/>
          <w:color w:val="142238"/>
          <w:sz w:val="21"/>
        </w:rPr>
        <w:t>架构结论：</w:t>
      </w:r>
      <w:r>
        <w:rPr>
          <w:rFonts w:ascii="Microsoft YaHei" w:hAnsi="Microsoft YaHei" w:eastAsia="Microsoft YaHei"/>
          <w:color w:val="263445"/>
          <w:sz w:val="21"/>
        </w:rPr>
        <w:t>照夜把人格记忆、外部记忆系统的只读备份和个人资产分开管理。纯历史问答由照夜查询本地备份；需要执行的工作直接交给工作 Agent 按原流程使用自己的记忆系统，避免重复检索。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9418320" cy="53513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.memory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53513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Microsoft YaHei" w:hAnsi="Microsoft YaHei" w:eastAsia="Microsoft YaHei"/>
          <w:color w:val="65758A"/>
          <w:sz w:val="17"/>
        </w:rPr>
        <w:t>图 1  照夜整体架构与数据流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42238"/>
          <w:sz w:val="34"/>
        </w:rPr>
        <w:t>一  设计范围与三个记忆数据域</w:t>
      </w:r>
    </w:p>
    <w:p>
      <w:r>
        <w:rPr>
          <w:rFonts w:ascii="Microsoft YaHei" w:hAnsi="Microsoft YaHei" w:eastAsia="Microsoft YaHei"/>
          <w:color w:val="263445"/>
          <w:sz w:val="21"/>
        </w:rPr>
        <w:t>照夜是外部管理与编排框架，不接管工作 Agent 的原记忆系统。记忆核心提供存储、检索、校验和格式转换能力；外部框架负责理解目标、选择数据域和安排流程。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6"/>
        <w:gridCol w:w="5016"/>
        <w:gridCol w:w="5016"/>
      </w:tblGrid>
      <w:tr>
        <w:tc>
          <w:tcPr>
            <w:tcW w:type="dxa" w:w="2880"/>
            <w:vAlign w:val="center"/>
            <w:tcBorders>
              <w:top w:val="single" w:sz="6" w:color="D4DCE5"/>
              <w:left w:val="single" w:sz="6" w:color="D4DCE5"/>
              <w:bottom w:val="single" w:sz="6" w:color="D4DCE5"/>
              <w:right w:val="single" w:sz="6" w:color="D4DCE5"/>
              <w:insideH w:val="single" w:sz="6" w:color="D4DCE5"/>
              <w:insideV w:val="single" w:sz="6" w:color="D4DCE5"/>
            </w:tcBorders>
            <w:shd w:fill="24476A"/>
          </w:tcPr>
          <w:p>
            <w:pPr>
              <w:spacing w:after="40" w:before="4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数据域</w:t>
            </w:r>
          </w:p>
        </w:tc>
        <w:tc>
          <w:tcPr>
            <w:tcW w:type="dxa" w:w="3456"/>
            <w:vAlign w:val="center"/>
            <w:tcBorders>
              <w:top w:val="single" w:sz="6" w:color="D4DCE5"/>
              <w:left w:val="single" w:sz="6" w:color="D4DCE5"/>
              <w:bottom w:val="single" w:sz="6" w:color="D4DCE5"/>
              <w:right w:val="single" w:sz="6" w:color="D4DCE5"/>
              <w:insideH w:val="single" w:sz="6" w:color="D4DCE5"/>
              <w:insideV w:val="single" w:sz="6" w:color="D4DCE5"/>
            </w:tcBorders>
            <w:shd w:fill="24476A"/>
          </w:tcPr>
          <w:p>
            <w:pPr>
              <w:spacing w:after="40" w:before="4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权威存储</w:t>
            </w:r>
          </w:p>
        </w:tc>
        <w:tc>
          <w:tcPr>
            <w:tcW w:type="dxa" w:w="8064"/>
            <w:vAlign w:val="center"/>
            <w:tcBorders>
              <w:top w:val="single" w:sz="6" w:color="D4DCE5"/>
              <w:left w:val="single" w:sz="6" w:color="D4DCE5"/>
              <w:bottom w:val="single" w:sz="6" w:color="D4DCE5"/>
              <w:right w:val="single" w:sz="6" w:color="D4DCE5"/>
              <w:insideH w:val="single" w:sz="6" w:color="D4DCE5"/>
              <w:insideV w:val="single" w:sz="6" w:color="D4DCE5"/>
            </w:tcBorders>
            <w:shd w:fill="24476A"/>
          </w:tcPr>
          <w:p>
            <w:pPr>
              <w:spacing w:after="40" w:before="4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用途与边界</w:t>
            </w:r>
          </w:p>
        </w:tc>
      </w:tr>
      <w:tr>
        <w:tc>
          <w:tcPr>
            <w:tcW w:type="dxa" w:w="2880"/>
            <w:vAlign w:val="center"/>
            <w:tcBorders>
              <w:top w:val="single" w:sz="6" w:color="D4DCE5"/>
              <w:left w:val="single" w:sz="6" w:color="D4DCE5"/>
              <w:bottom w:val="single" w:sz="6" w:color="D4DCE5"/>
              <w:right w:val="single" w:sz="6" w:color="D4DCE5"/>
              <w:insideH w:val="single" w:sz="6" w:color="D4DCE5"/>
              <w:insideV w:val="single" w:sz="6" w:color="D4DCE5"/>
            </w:tcBorders>
          </w:tcPr>
          <w:p>
            <w:pPr>
              <w:spacing w:after="40" w:before="40" w:line="259" w:lineRule="auto"/>
            </w:pPr>
            <w:r>
              <w:rPr>
                <w:rFonts w:ascii="Microsoft YaHei" w:hAnsi="Microsoft YaHei" w:eastAsia="Microsoft YaHei"/>
                <w:b w:val="0"/>
                <w:color w:val="263445"/>
                <w:sz w:val="18"/>
              </w:rPr>
              <w:t>助手人格记忆</w:t>
            </w:r>
          </w:p>
        </w:tc>
        <w:tc>
          <w:tcPr>
            <w:tcW w:type="dxa" w:w="3456"/>
            <w:vAlign w:val="center"/>
            <w:tcBorders>
              <w:top w:val="single" w:sz="6" w:color="D4DCE5"/>
              <w:left w:val="single" w:sz="6" w:color="D4DCE5"/>
              <w:bottom w:val="single" w:sz="6" w:color="D4DCE5"/>
              <w:right w:val="single" w:sz="6" w:color="D4DCE5"/>
              <w:insideH w:val="single" w:sz="6" w:color="D4DCE5"/>
              <w:insideV w:val="single" w:sz="6" w:color="D4DCE5"/>
            </w:tcBorders>
          </w:tcPr>
          <w:p>
            <w:pPr>
              <w:spacing w:after="40" w:before="40" w:line="259" w:lineRule="auto"/>
            </w:pPr>
            <w:r>
              <w:rPr>
                <w:rFonts w:ascii="Microsoft YaHei" w:hAnsi="Microsoft YaHei" w:eastAsia="Microsoft YaHei"/>
                <w:b w:val="0"/>
                <w:color w:val="263445"/>
                <w:sz w:val="18"/>
              </w:rPr>
              <w:t>JSON；Markdown 为派生投影</w:t>
            </w:r>
          </w:p>
        </w:tc>
        <w:tc>
          <w:tcPr>
            <w:tcW w:type="dxa" w:w="8064"/>
            <w:vAlign w:val="center"/>
            <w:tcBorders>
              <w:top w:val="single" w:sz="6" w:color="D4DCE5"/>
              <w:left w:val="single" w:sz="6" w:color="D4DCE5"/>
              <w:bottom w:val="single" w:sz="6" w:color="D4DCE5"/>
              <w:right w:val="single" w:sz="6" w:color="D4DCE5"/>
              <w:insideH w:val="single" w:sz="6" w:color="D4DCE5"/>
              <w:insideV w:val="single" w:sz="6" w:color="D4DCE5"/>
            </w:tcBorders>
          </w:tcPr>
          <w:p>
            <w:pPr>
              <w:spacing w:after="40" w:before="40" w:line="259" w:lineRule="auto"/>
            </w:pPr>
            <w:r>
              <w:rPr>
                <w:rFonts w:ascii="Microsoft YaHei" w:hAnsi="Microsoft YaHei" w:eastAsia="Microsoft YaHei"/>
                <w:b w:val="0"/>
                <w:color w:val="263445"/>
                <w:sz w:val="18"/>
              </w:rPr>
              <w:t>保存行为边界、用户协作画像、助手性格画像、项目状态与连续性摘要。</w:t>
            </w:r>
          </w:p>
        </w:tc>
      </w:tr>
      <w:tr>
        <w:tc>
          <w:tcPr>
            <w:tcW w:type="dxa" w:w="2880"/>
            <w:vAlign w:val="center"/>
            <w:tcBorders>
              <w:top w:val="single" w:sz="6" w:color="D4DCE5"/>
              <w:left w:val="single" w:sz="6" w:color="D4DCE5"/>
              <w:bottom w:val="single" w:sz="6" w:color="D4DCE5"/>
              <w:right w:val="single" w:sz="6" w:color="D4DCE5"/>
              <w:insideH w:val="single" w:sz="6" w:color="D4DCE5"/>
              <w:insideV w:val="single" w:sz="6" w:color="D4DCE5"/>
            </w:tcBorders>
            <w:shd w:fill="F1F5F9"/>
          </w:tcPr>
          <w:p>
            <w:pPr>
              <w:spacing w:after="40" w:before="40" w:line="259" w:lineRule="auto"/>
            </w:pPr>
            <w:r>
              <w:rPr>
                <w:rFonts w:ascii="Microsoft YaHei" w:hAnsi="Microsoft YaHei" w:eastAsia="Microsoft YaHei"/>
                <w:b w:val="0"/>
                <w:color w:val="263445"/>
                <w:sz w:val="18"/>
              </w:rPr>
              <w:t>全量记忆备份库</w:t>
            </w:r>
          </w:p>
        </w:tc>
        <w:tc>
          <w:tcPr>
            <w:tcW w:type="dxa" w:w="3456"/>
            <w:vAlign w:val="center"/>
            <w:tcBorders>
              <w:top w:val="single" w:sz="6" w:color="D4DCE5"/>
              <w:left w:val="single" w:sz="6" w:color="D4DCE5"/>
              <w:bottom w:val="single" w:sz="6" w:color="D4DCE5"/>
              <w:right w:val="single" w:sz="6" w:color="D4DCE5"/>
              <w:insideH w:val="single" w:sz="6" w:color="D4DCE5"/>
              <w:insideV w:val="single" w:sz="6" w:color="D4DCE5"/>
            </w:tcBorders>
            <w:shd w:fill="F1F5F9"/>
          </w:tcPr>
          <w:p>
            <w:pPr>
              <w:spacing w:after="40" w:before="40" w:line="259" w:lineRule="auto"/>
            </w:pPr>
            <w:r>
              <w:rPr>
                <w:rFonts w:ascii="Microsoft YaHei" w:hAnsi="Microsoft YaHei" w:eastAsia="Microsoft YaHei"/>
                <w:b w:val="0"/>
                <w:color w:val="263445"/>
                <w:sz w:val="18"/>
              </w:rPr>
              <w:t>SQLite</w:t>
            </w:r>
          </w:p>
        </w:tc>
        <w:tc>
          <w:tcPr>
            <w:tcW w:type="dxa" w:w="8064"/>
            <w:vAlign w:val="center"/>
            <w:tcBorders>
              <w:top w:val="single" w:sz="6" w:color="D4DCE5"/>
              <w:left w:val="single" w:sz="6" w:color="D4DCE5"/>
              <w:bottom w:val="single" w:sz="6" w:color="D4DCE5"/>
              <w:right w:val="single" w:sz="6" w:color="D4DCE5"/>
              <w:insideH w:val="single" w:sz="6" w:color="D4DCE5"/>
              <w:insideV w:val="single" w:sz="6" w:color="D4DCE5"/>
            </w:tcBorders>
            <w:shd w:fill="F1F5F9"/>
          </w:tcPr>
          <w:p>
            <w:pPr>
              <w:spacing w:after="40" w:before="40" w:line="259" w:lineRule="auto"/>
            </w:pPr>
            <w:r>
              <w:rPr>
                <w:rFonts w:ascii="Microsoft YaHei" w:hAnsi="Microsoft YaHei" w:eastAsia="Microsoft YaHei"/>
                <w:b w:val="0"/>
                <w:color w:val="263445"/>
                <w:sz w:val="18"/>
              </w:rPr>
              <w:t>保存其他记忆系统只读导出后的完整数据及备份版本，供助手历史问答和格式转换使用。</w:t>
            </w:r>
          </w:p>
        </w:tc>
      </w:tr>
      <w:tr>
        <w:tc>
          <w:tcPr>
            <w:tcW w:type="dxa" w:w="2880"/>
            <w:vAlign w:val="center"/>
            <w:tcBorders>
              <w:top w:val="single" w:sz="6" w:color="D4DCE5"/>
              <w:left w:val="single" w:sz="6" w:color="D4DCE5"/>
              <w:bottom w:val="single" w:sz="6" w:color="D4DCE5"/>
              <w:right w:val="single" w:sz="6" w:color="D4DCE5"/>
              <w:insideH w:val="single" w:sz="6" w:color="D4DCE5"/>
              <w:insideV w:val="single" w:sz="6" w:color="D4DCE5"/>
            </w:tcBorders>
          </w:tcPr>
          <w:p>
            <w:pPr>
              <w:spacing w:after="40" w:before="40" w:line="259" w:lineRule="auto"/>
            </w:pPr>
            <w:r>
              <w:rPr>
                <w:rFonts w:ascii="Microsoft YaHei" w:hAnsi="Microsoft YaHei" w:eastAsia="Microsoft YaHei"/>
                <w:b w:val="0"/>
                <w:color w:val="263445"/>
                <w:sz w:val="18"/>
              </w:rPr>
              <w:t>个人资产库</w:t>
            </w:r>
          </w:p>
        </w:tc>
        <w:tc>
          <w:tcPr>
            <w:tcW w:type="dxa" w:w="3456"/>
            <w:vAlign w:val="center"/>
            <w:tcBorders>
              <w:top w:val="single" w:sz="6" w:color="D4DCE5"/>
              <w:left w:val="single" w:sz="6" w:color="D4DCE5"/>
              <w:bottom w:val="single" w:sz="6" w:color="D4DCE5"/>
              <w:right w:val="single" w:sz="6" w:color="D4DCE5"/>
              <w:insideH w:val="single" w:sz="6" w:color="D4DCE5"/>
              <w:insideV w:val="single" w:sz="6" w:color="D4DCE5"/>
            </w:tcBorders>
          </w:tcPr>
          <w:p>
            <w:pPr>
              <w:spacing w:after="40" w:before="40" w:line="259" w:lineRule="auto"/>
            </w:pPr>
            <w:r>
              <w:rPr>
                <w:rFonts w:ascii="Microsoft YaHei" w:hAnsi="Microsoft YaHei" w:eastAsia="Microsoft YaHei"/>
                <w:b w:val="0"/>
                <w:color w:val="263445"/>
                <w:sz w:val="18"/>
              </w:rPr>
              <w:t>文件夹、manifest、对外脚本</w:t>
            </w:r>
          </w:p>
        </w:tc>
        <w:tc>
          <w:tcPr>
            <w:tcW w:type="dxa" w:w="8064"/>
            <w:vAlign w:val="center"/>
            <w:tcBorders>
              <w:top w:val="single" w:sz="6" w:color="D4DCE5"/>
              <w:left w:val="single" w:sz="6" w:color="D4DCE5"/>
              <w:bottom w:val="single" w:sz="6" w:color="D4DCE5"/>
              <w:right w:val="single" w:sz="6" w:color="D4DCE5"/>
              <w:insideH w:val="single" w:sz="6" w:color="D4DCE5"/>
              <w:insideV w:val="single" w:sz="6" w:color="D4DCE5"/>
            </w:tcBorders>
          </w:tcPr>
          <w:p>
            <w:pPr>
              <w:spacing w:after="40" w:before="40" w:line="259" w:lineRule="auto"/>
            </w:pPr>
            <w:r>
              <w:rPr>
                <w:rFonts w:ascii="Microsoft YaHei" w:hAnsi="Microsoft YaHei" w:eastAsia="Microsoft YaHei"/>
                <w:b w:val="0"/>
                <w:color w:val="263445"/>
                <w:sz w:val="18"/>
              </w:rPr>
              <w:t>管理 skill、文档、代码包等原件，提供查询、校验、导出及获授权后的执行入口。</w:t>
            </w:r>
          </w:p>
        </w:tc>
      </w:tr>
    </w:tbl>
    <w:p>
      <w:pPr>
        <w:pStyle w:val="Heading1"/>
        <w:keepNext/>
      </w:pPr>
      <w:r>
        <w:rPr>
          <w:rFonts w:ascii="Microsoft YaHei" w:hAnsi="Microsoft YaHei" w:eastAsia="Microsoft YaHei"/>
          <w:b/>
          <w:color w:val="142238"/>
          <w:sz w:val="34"/>
        </w:rPr>
        <w:t>二  助手人格记忆的内容划分</w:t>
      </w:r>
    </w:p>
    <w:p>
      <w:r>
        <w:rPr>
          <w:rFonts w:ascii="Microsoft YaHei" w:hAnsi="Microsoft YaHei" w:eastAsia="Microsoft YaHei"/>
          <w:color w:val="263445"/>
          <w:sz w:val="21"/>
        </w:rPr>
        <w:t>人格 JSON 区分不可擅自改变的行为边界与允许逐步迭代的助理画像。画像变化应保留来源、证据、置信度、版本和更新时间。</w:t>
      </w:r>
    </w:p>
    <w:p>
      <w:pPr>
        <w:pStyle w:val="ListBullet"/>
        <w:spacing w:after="60"/>
        <w:ind w:left="360" w:hanging="202"/>
      </w:pPr>
      <w:r>
        <w:rPr>
          <w:rFonts w:ascii="Microsoft YaHei" w:hAnsi="Microsoft YaHei" w:eastAsia="Microsoft YaHei"/>
          <w:color w:val="263445"/>
          <w:sz w:val="20"/>
        </w:rPr>
        <w:t>安全内核 safety_kernel： 不擅自主张、不主动修改用户资产或偏好等稳定约束。只有用户明确提出修改时，才进入专门更新流程；模型推断和外部记忆导入不能改写它。</w:t>
      </w:r>
    </w:p>
    <w:p>
      <w:pPr>
        <w:pStyle w:val="ListBullet"/>
        <w:spacing w:after="60"/>
        <w:ind w:left="360" w:hanging="202"/>
      </w:pPr>
      <w:r>
        <w:rPr>
          <w:rFonts w:ascii="Microsoft YaHei" w:hAnsi="Microsoft YaHei" w:eastAsia="Microsoft YaHei"/>
          <w:color w:val="263445"/>
          <w:sz w:val="20"/>
        </w:rPr>
        <w:t>用户协作画像 user_profile： 用户表达或对话证据支持的工作偏好、沟通习惯和协作方式，可在安全边界内自我迭代。</w:t>
      </w:r>
    </w:p>
    <w:p>
      <w:pPr>
        <w:pStyle w:val="ListBullet"/>
        <w:spacing w:after="60"/>
        <w:ind w:left="360" w:hanging="202"/>
      </w:pPr>
      <w:r>
        <w:rPr>
          <w:rFonts w:ascii="Microsoft YaHei" w:hAnsi="Microsoft YaHei" w:eastAsia="Microsoft YaHei"/>
          <w:color w:val="263445"/>
          <w:sz w:val="20"/>
        </w:rPr>
        <w:t>助手性格画像 character_profile： 照夜自身的表达风格、性格倾向和协作方式，可迭代但不能扩大工具权限或突破安全内核。</w:t>
      </w:r>
    </w:p>
    <w:p>
      <w:pPr>
        <w:pStyle w:val="ListBullet"/>
        <w:spacing w:after="60"/>
        <w:ind w:left="360" w:hanging="202"/>
      </w:pPr>
      <w:r>
        <w:rPr>
          <w:rFonts w:ascii="Microsoft YaHei" w:hAnsi="Microsoft YaHei" w:eastAsia="Microsoft YaHei"/>
          <w:color w:val="263445"/>
          <w:sz w:val="20"/>
        </w:rPr>
        <w:t>项目状态与规划 project_state： 项目目标、决策、进度、里程碑、风险、阻塞项和下一步；可根据用户对话及 Agent 返回更新，并记录来源和时间。</w:t>
      </w:r>
    </w:p>
    <w:p>
      <w:pPr>
        <w:pStyle w:val="ListBullet"/>
        <w:spacing w:after="60"/>
        <w:ind w:left="360" w:hanging="202"/>
      </w:pPr>
      <w:r>
        <w:rPr>
          <w:rFonts w:ascii="Microsoft YaHei" w:hAnsi="Microsoft YaHei" w:eastAsia="Microsoft YaHei"/>
          <w:color w:val="263445"/>
          <w:sz w:val="20"/>
        </w:rPr>
        <w:t>连续性摘要 continuity_memory： 用于自然衔接对话的精选共同经历摘要，不代替全量备份中的原始工作证据。</w:t>
      </w:r>
    </w:p>
    <w:p>
      <w:r>
        <w:rPr>
          <w:rFonts w:ascii="Microsoft YaHei" w:hAnsi="Microsoft YaHei" w:eastAsia="Microsoft YaHei"/>
          <w:color w:val="263445"/>
          <w:sz w:val="21"/>
        </w:rPr>
        <w:t>技术踩坑、排障步骤、命令、环境差异和代码经验属于工作 Agent 的工作记忆，不进入助手人格自迭代。照夜可以接收 Agent 的任务结果和项目进度，但不吸收其技术经验。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42238"/>
          <w:sz w:val="34"/>
        </w:rPr>
        <w:t>三  任务路由和记忆检索</w:t>
      </w:r>
    </w:p>
    <w:p>
      <w:r>
        <w:rPr>
          <w:rFonts w:ascii="Microsoft YaHei" w:hAnsi="Microsoft YaHei" w:eastAsia="Microsoft YaHei"/>
          <w:color w:val="263445"/>
          <w:sz w:val="21"/>
        </w:rPr>
        <w:t>请求进入照夜后，框架结合用户目标和最小必要的人格/项目上下文进行分类。路由遵循一项任务由一方负责工作记忆检索的原则。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6"/>
        <w:gridCol w:w="5016"/>
        <w:gridCol w:w="5016"/>
      </w:tblGrid>
      <w:tr>
        <w:tc>
          <w:tcPr>
            <w:tcW w:type="dxa" w:w="2952"/>
            <w:vAlign w:val="center"/>
            <w:tcBorders>
              <w:top w:val="single" w:sz="6" w:color="D4DCE5"/>
              <w:left w:val="single" w:sz="6" w:color="D4DCE5"/>
              <w:bottom w:val="single" w:sz="6" w:color="D4DCE5"/>
              <w:right w:val="single" w:sz="6" w:color="D4DCE5"/>
              <w:insideH w:val="single" w:sz="6" w:color="D4DCE5"/>
              <w:insideV w:val="single" w:sz="6" w:color="D4DCE5"/>
            </w:tcBorders>
            <w:shd w:fill="24476A"/>
          </w:tcPr>
          <w:p>
            <w:pPr>
              <w:spacing w:after="40" w:before="4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请求类型</w:t>
            </w:r>
          </w:p>
        </w:tc>
        <w:tc>
          <w:tcPr>
            <w:tcW w:type="dxa" w:w="7200"/>
            <w:vAlign w:val="center"/>
            <w:tcBorders>
              <w:top w:val="single" w:sz="6" w:color="D4DCE5"/>
              <w:left w:val="single" w:sz="6" w:color="D4DCE5"/>
              <w:bottom w:val="single" w:sz="6" w:color="D4DCE5"/>
              <w:right w:val="single" w:sz="6" w:color="D4DCE5"/>
              <w:insideH w:val="single" w:sz="6" w:color="D4DCE5"/>
              <w:insideV w:val="single" w:sz="6" w:color="D4DCE5"/>
            </w:tcBorders>
            <w:shd w:fill="24476A"/>
          </w:tcPr>
          <w:p>
            <w:pPr>
              <w:spacing w:after="40" w:before="4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处理流程</w:t>
            </w:r>
          </w:p>
        </w:tc>
        <w:tc>
          <w:tcPr>
            <w:tcW w:type="dxa" w:w="4248"/>
            <w:vAlign w:val="center"/>
            <w:tcBorders>
              <w:top w:val="single" w:sz="6" w:color="D4DCE5"/>
              <w:left w:val="single" w:sz="6" w:color="D4DCE5"/>
              <w:bottom w:val="single" w:sz="6" w:color="D4DCE5"/>
              <w:right w:val="single" w:sz="6" w:color="D4DCE5"/>
              <w:insideH w:val="single" w:sz="6" w:color="D4DCE5"/>
              <w:insideV w:val="single" w:sz="6" w:color="D4DCE5"/>
            </w:tcBorders>
            <w:shd w:fill="24476A"/>
          </w:tcPr>
          <w:p>
            <w:pPr>
              <w:spacing w:after="40" w:before="4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记忆查询责任方</w:t>
            </w:r>
          </w:p>
        </w:tc>
      </w:tr>
      <w:tr>
        <w:tc>
          <w:tcPr>
            <w:tcW w:type="dxa" w:w="2952"/>
            <w:vAlign w:val="center"/>
            <w:tcBorders>
              <w:top w:val="single" w:sz="6" w:color="D4DCE5"/>
              <w:left w:val="single" w:sz="6" w:color="D4DCE5"/>
              <w:bottom w:val="single" w:sz="6" w:color="D4DCE5"/>
              <w:right w:val="single" w:sz="6" w:color="D4DCE5"/>
              <w:insideH w:val="single" w:sz="6" w:color="D4DCE5"/>
              <w:insideV w:val="single" w:sz="6" w:color="D4DCE5"/>
            </w:tcBorders>
          </w:tcPr>
          <w:p>
            <w:pPr>
              <w:spacing w:after="40" w:before="40" w:line="259" w:lineRule="auto"/>
            </w:pPr>
            <w:r>
              <w:rPr>
                <w:rFonts w:ascii="Microsoft YaHei" w:hAnsi="Microsoft YaHei" w:eastAsia="Microsoft YaHei"/>
                <w:b w:val="0"/>
                <w:color w:val="263445"/>
                <w:sz w:val="18"/>
              </w:rPr>
              <w:t>只问历史记录</w:t>
            </w:r>
          </w:p>
        </w:tc>
        <w:tc>
          <w:tcPr>
            <w:tcW w:type="dxa" w:w="7200"/>
            <w:vAlign w:val="center"/>
            <w:tcBorders>
              <w:top w:val="single" w:sz="6" w:color="D4DCE5"/>
              <w:left w:val="single" w:sz="6" w:color="D4DCE5"/>
              <w:bottom w:val="single" w:sz="6" w:color="D4DCE5"/>
              <w:right w:val="single" w:sz="6" w:color="D4DCE5"/>
              <w:insideH w:val="single" w:sz="6" w:color="D4DCE5"/>
              <w:insideV w:val="single" w:sz="6" w:color="D4DCE5"/>
            </w:tcBorders>
          </w:tcPr>
          <w:p>
            <w:pPr>
              <w:spacing w:after="40" w:before="40" w:line="259" w:lineRule="auto"/>
            </w:pPr>
            <w:r>
              <w:rPr>
                <w:rFonts w:ascii="Microsoft YaHei" w:hAnsi="Microsoft YaHei" w:eastAsia="Microsoft YaHei"/>
                <w:b w:val="0"/>
                <w:color w:val="263445"/>
                <w:sz w:val="18"/>
              </w:rPr>
              <w:t>框架查询 SQLite，组织答案并说明来源、备份批次、截至时间和完整性。</w:t>
            </w:r>
          </w:p>
        </w:tc>
        <w:tc>
          <w:tcPr>
            <w:tcW w:type="dxa" w:w="4248"/>
            <w:vAlign w:val="center"/>
            <w:tcBorders>
              <w:top w:val="single" w:sz="6" w:color="D4DCE5"/>
              <w:left w:val="single" w:sz="6" w:color="D4DCE5"/>
              <w:bottom w:val="single" w:sz="6" w:color="D4DCE5"/>
              <w:right w:val="single" w:sz="6" w:color="D4DCE5"/>
              <w:insideH w:val="single" w:sz="6" w:color="D4DCE5"/>
              <w:insideV w:val="single" w:sz="6" w:color="D4DCE5"/>
            </w:tcBorders>
          </w:tcPr>
          <w:p>
            <w:pPr>
              <w:spacing w:after="40" w:before="40" w:line="259" w:lineRule="auto"/>
            </w:pPr>
            <w:r>
              <w:rPr>
                <w:rFonts w:ascii="Microsoft YaHei" w:hAnsi="Microsoft YaHei" w:eastAsia="Microsoft YaHei"/>
                <w:b w:val="0"/>
                <w:color w:val="263445"/>
                <w:sz w:val="18"/>
              </w:rPr>
              <w:t>照夜查询本地备份</w:t>
            </w:r>
          </w:p>
        </w:tc>
      </w:tr>
      <w:tr>
        <w:tc>
          <w:tcPr>
            <w:tcW w:type="dxa" w:w="2952"/>
            <w:vAlign w:val="center"/>
            <w:tcBorders>
              <w:top w:val="single" w:sz="6" w:color="D4DCE5"/>
              <w:left w:val="single" w:sz="6" w:color="D4DCE5"/>
              <w:bottom w:val="single" w:sz="6" w:color="D4DCE5"/>
              <w:right w:val="single" w:sz="6" w:color="D4DCE5"/>
              <w:insideH w:val="single" w:sz="6" w:color="D4DCE5"/>
              <w:insideV w:val="single" w:sz="6" w:color="D4DCE5"/>
            </w:tcBorders>
            <w:shd w:fill="F1F5F9"/>
          </w:tcPr>
          <w:p>
            <w:pPr>
              <w:spacing w:after="40" w:before="40" w:line="259" w:lineRule="auto"/>
            </w:pPr>
            <w:r>
              <w:rPr>
                <w:rFonts w:ascii="Microsoft YaHei" w:hAnsi="Microsoft YaHei" w:eastAsia="Microsoft YaHei"/>
                <w:b w:val="0"/>
                <w:color w:val="263445"/>
                <w:sz w:val="18"/>
              </w:rPr>
              <w:t>检查、开发、安装、排障、运行或验证</w:t>
            </w:r>
          </w:p>
        </w:tc>
        <w:tc>
          <w:tcPr>
            <w:tcW w:type="dxa" w:w="7200"/>
            <w:vAlign w:val="center"/>
            <w:tcBorders>
              <w:top w:val="single" w:sz="6" w:color="D4DCE5"/>
              <w:left w:val="single" w:sz="6" w:color="D4DCE5"/>
              <w:bottom w:val="single" w:sz="6" w:color="D4DCE5"/>
              <w:right w:val="single" w:sz="6" w:color="D4DCE5"/>
              <w:insideH w:val="single" w:sz="6" w:color="D4DCE5"/>
              <w:insideV w:val="single" w:sz="6" w:color="D4DCE5"/>
            </w:tcBorders>
            <w:shd w:fill="F1F5F9"/>
          </w:tcPr>
          <w:p>
            <w:pPr>
              <w:spacing w:after="40" w:before="40" w:line="259" w:lineRule="auto"/>
            </w:pPr>
            <w:r>
              <w:rPr>
                <w:rFonts w:ascii="Microsoft YaHei" w:hAnsi="Microsoft YaHei" w:eastAsia="Microsoft YaHei"/>
                <w:b w:val="0"/>
                <w:color w:val="263445"/>
                <w:sz w:val="18"/>
              </w:rPr>
              <w:t>直接委托工作 Agent；Agent 按原有流程执行并返回证据、结果和项目进度。</w:t>
            </w:r>
          </w:p>
        </w:tc>
        <w:tc>
          <w:tcPr>
            <w:tcW w:type="dxa" w:w="4248"/>
            <w:vAlign w:val="center"/>
            <w:tcBorders>
              <w:top w:val="single" w:sz="6" w:color="D4DCE5"/>
              <w:left w:val="single" w:sz="6" w:color="D4DCE5"/>
              <w:bottom w:val="single" w:sz="6" w:color="D4DCE5"/>
              <w:right w:val="single" w:sz="6" w:color="D4DCE5"/>
              <w:insideH w:val="single" w:sz="6" w:color="D4DCE5"/>
              <w:insideV w:val="single" w:sz="6" w:color="D4DCE5"/>
            </w:tcBorders>
            <w:shd w:fill="F1F5F9"/>
          </w:tcPr>
          <w:p>
            <w:pPr>
              <w:spacing w:after="40" w:before="40" w:line="259" w:lineRule="auto"/>
            </w:pPr>
            <w:r>
              <w:rPr>
                <w:rFonts w:ascii="Microsoft YaHei" w:hAnsi="Microsoft YaHei" w:eastAsia="Microsoft YaHei"/>
                <w:b w:val="0"/>
                <w:color w:val="263445"/>
                <w:sz w:val="18"/>
              </w:rPr>
              <w:t>工作 Agent 查询原记忆系统；照夜不预检索</w:t>
            </w:r>
          </w:p>
        </w:tc>
      </w:tr>
      <w:tr>
        <w:tc>
          <w:tcPr>
            <w:tcW w:type="dxa" w:w="2952"/>
            <w:vAlign w:val="center"/>
            <w:tcBorders>
              <w:top w:val="single" w:sz="6" w:color="D4DCE5"/>
              <w:left w:val="single" w:sz="6" w:color="D4DCE5"/>
              <w:bottom w:val="single" w:sz="6" w:color="D4DCE5"/>
              <w:right w:val="single" w:sz="6" w:color="D4DCE5"/>
              <w:insideH w:val="single" w:sz="6" w:color="D4DCE5"/>
              <w:insideV w:val="single" w:sz="6" w:color="D4DCE5"/>
            </w:tcBorders>
          </w:tcPr>
          <w:p>
            <w:pPr>
              <w:spacing w:after="40" w:before="40" w:line="259" w:lineRule="auto"/>
            </w:pPr>
            <w:r>
              <w:rPr>
                <w:rFonts w:ascii="Microsoft YaHei" w:hAnsi="Microsoft YaHei" w:eastAsia="Microsoft YaHei"/>
                <w:b w:val="0"/>
                <w:color w:val="263445"/>
                <w:sz w:val="18"/>
              </w:rPr>
              <w:t>资产查找/安装</w:t>
            </w:r>
          </w:p>
        </w:tc>
        <w:tc>
          <w:tcPr>
            <w:tcW w:type="dxa" w:w="7200"/>
            <w:vAlign w:val="center"/>
            <w:tcBorders>
              <w:top w:val="single" w:sz="6" w:color="D4DCE5"/>
              <w:left w:val="single" w:sz="6" w:color="D4DCE5"/>
              <w:bottom w:val="single" w:sz="6" w:color="D4DCE5"/>
              <w:right w:val="single" w:sz="6" w:color="D4DCE5"/>
              <w:insideH w:val="single" w:sz="6" w:color="D4DCE5"/>
              <w:insideV w:val="single" w:sz="6" w:color="D4DCE5"/>
            </w:tcBorders>
          </w:tcPr>
          <w:p>
            <w:pPr>
              <w:spacing w:after="40" w:before="40" w:line="259" w:lineRule="auto"/>
            </w:pPr>
            <w:r>
              <w:rPr>
                <w:rFonts w:ascii="Microsoft YaHei" w:hAnsi="Microsoft YaHei" w:eastAsia="Microsoft YaHei"/>
                <w:b w:val="0"/>
                <w:color w:val="263445"/>
                <w:sz w:val="18"/>
              </w:rPr>
              <w:t>查询资产 manifest，校验来源、版本、摘要与权限；执行另按授权策略处理。</w:t>
            </w:r>
          </w:p>
        </w:tc>
        <w:tc>
          <w:tcPr>
            <w:tcW w:type="dxa" w:w="4248"/>
            <w:vAlign w:val="center"/>
            <w:tcBorders>
              <w:top w:val="single" w:sz="6" w:color="D4DCE5"/>
              <w:left w:val="single" w:sz="6" w:color="D4DCE5"/>
              <w:bottom w:val="single" w:sz="6" w:color="D4DCE5"/>
              <w:right w:val="single" w:sz="6" w:color="D4DCE5"/>
              <w:insideH w:val="single" w:sz="6" w:color="D4DCE5"/>
              <w:insideV w:val="single" w:sz="6" w:color="D4DCE5"/>
            </w:tcBorders>
          </w:tcPr>
          <w:p>
            <w:pPr>
              <w:spacing w:after="40" w:before="40" w:line="259" w:lineRule="auto"/>
            </w:pPr>
            <w:r>
              <w:rPr>
                <w:rFonts w:ascii="Microsoft YaHei" w:hAnsi="Microsoft YaHei" w:eastAsia="Microsoft YaHei"/>
                <w:b w:val="0"/>
                <w:color w:val="263445"/>
                <w:sz w:val="18"/>
              </w:rPr>
              <w:t>资产库负责定位；Agent/执行器按需操作</w:t>
            </w:r>
          </w:p>
        </w:tc>
      </w:tr>
      <w:tr>
        <w:tc>
          <w:tcPr>
            <w:tcW w:type="dxa" w:w="2952"/>
            <w:vAlign w:val="center"/>
            <w:tcBorders>
              <w:top w:val="single" w:sz="6" w:color="D4DCE5"/>
              <w:left w:val="single" w:sz="6" w:color="D4DCE5"/>
              <w:bottom w:val="single" w:sz="6" w:color="D4DCE5"/>
              <w:right w:val="single" w:sz="6" w:color="D4DCE5"/>
              <w:insideH w:val="single" w:sz="6" w:color="D4DCE5"/>
              <w:insideV w:val="single" w:sz="6" w:color="D4DCE5"/>
            </w:tcBorders>
            <w:shd w:fill="F1F5F9"/>
          </w:tcPr>
          <w:p>
            <w:pPr>
              <w:spacing w:after="40" w:before="40" w:line="259" w:lineRule="auto"/>
            </w:pPr>
            <w:r>
              <w:rPr>
                <w:rFonts w:ascii="Microsoft YaHei" w:hAnsi="Microsoft YaHei" w:eastAsia="Microsoft YaHei"/>
                <w:b w:val="0"/>
                <w:color w:val="263445"/>
                <w:sz w:val="18"/>
              </w:rPr>
              <w:t>记忆系统迁移/转换</w:t>
            </w:r>
          </w:p>
        </w:tc>
        <w:tc>
          <w:tcPr>
            <w:tcW w:type="dxa" w:w="7200"/>
            <w:vAlign w:val="center"/>
            <w:tcBorders>
              <w:top w:val="single" w:sz="6" w:color="D4DCE5"/>
              <w:left w:val="single" w:sz="6" w:color="D4DCE5"/>
              <w:bottom w:val="single" w:sz="6" w:color="D4DCE5"/>
              <w:right w:val="single" w:sz="6" w:color="D4DCE5"/>
              <w:insideH w:val="single" w:sz="6" w:color="D4DCE5"/>
              <w:insideV w:val="single" w:sz="6" w:color="D4DCE5"/>
            </w:tcBorders>
            <w:shd w:fill="F1F5F9"/>
          </w:tcPr>
          <w:p>
            <w:pPr>
              <w:spacing w:after="40" w:before="40" w:line="259" w:lineRule="auto"/>
            </w:pPr>
            <w:r>
              <w:rPr>
                <w:rFonts w:ascii="Microsoft YaHei" w:hAnsi="Microsoft YaHei" w:eastAsia="Microsoft YaHei"/>
                <w:b w:val="0"/>
                <w:color w:val="263445"/>
                <w:sz w:val="18"/>
              </w:rPr>
              <w:t>读取本地备份并生成目标格式数据包；由对应工具或 Agent 按目标系统流程导入。</w:t>
            </w:r>
          </w:p>
        </w:tc>
        <w:tc>
          <w:tcPr>
            <w:tcW w:type="dxa" w:w="4248"/>
            <w:vAlign w:val="center"/>
            <w:tcBorders>
              <w:top w:val="single" w:sz="6" w:color="D4DCE5"/>
              <w:left w:val="single" w:sz="6" w:color="D4DCE5"/>
              <w:bottom w:val="single" w:sz="6" w:color="D4DCE5"/>
              <w:right w:val="single" w:sz="6" w:color="D4DCE5"/>
              <w:insideH w:val="single" w:sz="6" w:color="D4DCE5"/>
              <w:insideV w:val="single" w:sz="6" w:color="D4DCE5"/>
            </w:tcBorders>
            <w:shd w:fill="F1F5F9"/>
          </w:tcPr>
          <w:p>
            <w:pPr>
              <w:spacing w:after="40" w:before="40" w:line="259" w:lineRule="auto"/>
            </w:pPr>
            <w:r>
              <w:rPr>
                <w:rFonts w:ascii="Microsoft YaHei" w:hAnsi="Microsoft YaHei" w:eastAsia="Microsoft YaHei"/>
                <w:b w:val="0"/>
                <w:color w:val="263445"/>
                <w:sz w:val="18"/>
              </w:rPr>
              <w:t>照夜负责转换；目标系统写入由其原有流程执行</w:t>
            </w:r>
          </w:p>
        </w:tc>
      </w:tr>
    </w:tbl>
    <w:p>
      <w:r>
        <w:rPr>
          <w:rFonts w:ascii="Microsoft YaHei" w:hAnsi="Microsoft YaHei" w:eastAsia="Microsoft YaHei"/>
          <w:color w:val="263445"/>
          <w:sz w:val="21"/>
        </w:rPr>
        <w:t>只有当工作 Agent 明确缺少某条本地备份信息时，框架才按需补查，并将带来源引用的最小必要信息交给 Agent；不默认让助手和 Agent 各查一遍。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42238"/>
          <w:sz w:val="34"/>
        </w:rPr>
        <w:t>四  备份只读与格式转换</w:t>
      </w:r>
    </w:p>
    <w:p>
      <w:r>
        <w:rPr>
          <w:rFonts w:ascii="Microsoft YaHei" w:hAnsi="Microsoft YaHei" w:eastAsia="Microsoft YaHei"/>
          <w:color w:val="263445"/>
          <w:sz w:val="21"/>
        </w:rPr>
        <w:t>SQLite 中的外部记忆数据是备份副本。查询与转换不修改既有备份，不向源系统或目标系统写回。导入新快照时可新增经过校验的批次/版本，保留旧版本，不静默覆盖源记录。</w:t>
      </w:r>
    </w:p>
    <w:p>
      <w:pPr>
        <w:pStyle w:val="ListBullet"/>
        <w:spacing w:after="60"/>
        <w:ind w:left="360" w:hanging="202"/>
      </w:pPr>
      <w:r>
        <w:rPr>
          <w:rFonts w:ascii="Microsoft YaHei" w:hAnsi="Microsoft YaHei" w:eastAsia="Microsoft YaHei"/>
          <w:color w:val="263445"/>
          <w:sz w:val="20"/>
        </w:rPr>
        <w:t>备份导入：其他记忆系统提供授权的只读导出、快照或备份文件；导入适配器解析、校验并转换；SQLite 新增批次和搜索索引。</w:t>
      </w:r>
    </w:p>
    <w:p>
      <w:pPr>
        <w:pStyle w:val="ListBullet"/>
        <w:spacing w:after="60"/>
        <w:ind w:left="360" w:hanging="202"/>
      </w:pPr>
      <w:r>
        <w:rPr>
          <w:rFonts w:ascii="Microsoft YaHei" w:hAnsi="Microsoft YaHei" w:eastAsia="Microsoft YaHei"/>
          <w:color w:val="263445"/>
          <w:sz w:val="20"/>
        </w:rPr>
        <w:t>格式转换：转换器将备份记录映射为目标系统格式，产出数据包；转换只处理结构和字段，不做语义蒸馏或事实裁决。</w:t>
      </w:r>
    </w:p>
    <w:p>
      <w:pPr>
        <w:pStyle w:val="ListBullet"/>
        <w:spacing w:after="60"/>
        <w:ind w:left="360" w:hanging="202"/>
      </w:pPr>
      <w:r>
        <w:rPr>
          <w:rFonts w:ascii="Microsoft YaHei" w:hAnsi="Microsoft YaHei" w:eastAsia="Microsoft YaHei"/>
          <w:color w:val="263445"/>
          <w:sz w:val="20"/>
        </w:rPr>
        <w:t>目标导入：照夜不直接调用目标系统的写入或管理功能；对应工具或工作 Agent 按目标系统原有流程导入，并遵循其权限要求。</w:t>
      </w:r>
    </w:p>
    <w:p>
      <w:pPr>
        <w:pStyle w:val="ListBullet"/>
        <w:spacing w:after="60"/>
        <w:ind w:left="360" w:hanging="202"/>
      </w:pPr>
      <w:r>
        <w:rPr>
          <w:rFonts w:ascii="Microsoft YaHei" w:hAnsi="Microsoft YaHei" w:eastAsia="Microsoft YaHei"/>
          <w:color w:val="263445"/>
          <w:sz w:val="20"/>
        </w:rPr>
        <w:t>来源追踪：记录来源系统、源记录 ID、来源范围、源更新时间、导出批次、转换器版本、内容摘要和可见/删除状态。</w:t>
      </w:r>
    </w:p>
    <w:p>
      <w:pPr>
        <w:pStyle w:val="ListBullet"/>
        <w:spacing w:after="60"/>
        <w:ind w:left="360" w:hanging="202"/>
      </w:pPr>
      <w:r>
        <w:rPr>
          <w:rFonts w:ascii="Microsoft YaHei" w:hAnsi="Microsoft YaHei" w:eastAsia="Microsoft YaHei"/>
          <w:color w:val="263445"/>
          <w:sz w:val="20"/>
        </w:rPr>
        <w:t>完整性：说明备份截至时间和批次状态；部分导入或失败批次不能标成全量快照。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42238"/>
          <w:sz w:val="34"/>
        </w:rPr>
        <w:t>五  模块职责边界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24"/>
        <w:gridCol w:w="7524"/>
      </w:tblGrid>
      <w:tr>
        <w:tc>
          <w:tcPr>
            <w:tcW w:type="dxa" w:w="3744"/>
            <w:vAlign w:val="center"/>
            <w:tcBorders>
              <w:top w:val="single" w:sz="6" w:color="D4DCE5"/>
              <w:left w:val="single" w:sz="6" w:color="D4DCE5"/>
              <w:bottom w:val="single" w:sz="6" w:color="D4DCE5"/>
              <w:right w:val="single" w:sz="6" w:color="D4DCE5"/>
              <w:insideH w:val="single" w:sz="6" w:color="D4DCE5"/>
              <w:insideV w:val="single" w:sz="6" w:color="D4DCE5"/>
            </w:tcBorders>
            <w:shd w:fill="24476A"/>
          </w:tcPr>
          <w:p>
            <w:pPr>
              <w:spacing w:after="40" w:before="4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10656"/>
            <w:vAlign w:val="center"/>
            <w:tcBorders>
              <w:top w:val="single" w:sz="6" w:color="D4DCE5"/>
              <w:left w:val="single" w:sz="6" w:color="D4DCE5"/>
              <w:bottom w:val="single" w:sz="6" w:color="D4DCE5"/>
              <w:right w:val="single" w:sz="6" w:color="D4DCE5"/>
              <w:insideH w:val="single" w:sz="6" w:color="D4DCE5"/>
              <w:insideV w:val="single" w:sz="6" w:color="D4DCE5"/>
            </w:tcBorders>
            <w:shd w:fill="24476A"/>
          </w:tcPr>
          <w:p>
            <w:pPr>
              <w:spacing w:after="40" w:before="4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负责内容与边界</w:t>
            </w:r>
          </w:p>
        </w:tc>
      </w:tr>
      <w:tr>
        <w:tc>
          <w:tcPr>
            <w:tcW w:type="dxa" w:w="3744"/>
            <w:vAlign w:val="center"/>
            <w:tcBorders>
              <w:top w:val="single" w:sz="6" w:color="D4DCE5"/>
              <w:left w:val="single" w:sz="6" w:color="D4DCE5"/>
              <w:bottom w:val="single" w:sz="6" w:color="D4DCE5"/>
              <w:right w:val="single" w:sz="6" w:color="D4DCE5"/>
              <w:insideH w:val="single" w:sz="6" w:color="D4DCE5"/>
              <w:insideV w:val="single" w:sz="6" w:color="D4DCE5"/>
            </w:tcBorders>
          </w:tcPr>
          <w:p>
            <w:pPr>
              <w:spacing w:after="40" w:before="40" w:line="259" w:lineRule="auto"/>
            </w:pPr>
            <w:r>
              <w:rPr>
                <w:rFonts w:ascii="Microsoft YaHei" w:hAnsi="Microsoft YaHei" w:eastAsia="Microsoft YaHei"/>
                <w:b w:val="0"/>
                <w:color w:val="263445"/>
                <w:sz w:val="18"/>
              </w:rPr>
              <w:t>AI 工具/插件层</w:t>
            </w:r>
          </w:p>
        </w:tc>
        <w:tc>
          <w:tcPr>
            <w:tcW w:type="dxa" w:w="10656"/>
            <w:vAlign w:val="center"/>
            <w:tcBorders>
              <w:top w:val="single" w:sz="6" w:color="D4DCE5"/>
              <w:left w:val="single" w:sz="6" w:color="D4DCE5"/>
              <w:bottom w:val="single" w:sz="6" w:color="D4DCE5"/>
              <w:right w:val="single" w:sz="6" w:color="D4DCE5"/>
              <w:insideH w:val="single" w:sz="6" w:color="D4DCE5"/>
              <w:insideV w:val="single" w:sz="6" w:color="D4DCE5"/>
            </w:tcBorders>
          </w:tcPr>
          <w:p>
            <w:pPr>
              <w:spacing w:after="40" w:before="40" w:line="259" w:lineRule="auto"/>
            </w:pPr>
            <w:r>
              <w:rPr>
                <w:rFonts w:ascii="Microsoft YaHei" w:hAnsi="Microsoft YaHei" w:eastAsia="Microsoft YaHei"/>
                <w:b w:val="0"/>
                <w:color w:val="263445"/>
                <w:sz w:val="18"/>
              </w:rPr>
              <w:t>提供模型推理、对话、工作 Agent 和执行工具；返回结构化结果。模型输出不自动等于已验证事实。</w:t>
            </w:r>
          </w:p>
        </w:tc>
      </w:tr>
      <w:tr>
        <w:tc>
          <w:tcPr>
            <w:tcW w:type="dxa" w:w="3744"/>
            <w:vAlign w:val="center"/>
            <w:tcBorders>
              <w:top w:val="single" w:sz="6" w:color="D4DCE5"/>
              <w:left w:val="single" w:sz="6" w:color="D4DCE5"/>
              <w:bottom w:val="single" w:sz="6" w:color="D4DCE5"/>
              <w:right w:val="single" w:sz="6" w:color="D4DCE5"/>
              <w:insideH w:val="single" w:sz="6" w:color="D4DCE5"/>
              <w:insideV w:val="single" w:sz="6" w:color="D4DCE5"/>
            </w:tcBorders>
            <w:shd w:fill="F1F5F9"/>
          </w:tcPr>
          <w:p>
            <w:pPr>
              <w:spacing w:after="40" w:before="40" w:line="259" w:lineRule="auto"/>
            </w:pPr>
            <w:r>
              <w:rPr>
                <w:rFonts w:ascii="Microsoft YaHei" w:hAnsi="Microsoft YaHei" w:eastAsia="Microsoft YaHei"/>
                <w:b w:val="0"/>
                <w:color w:val="263445"/>
                <w:sz w:val="18"/>
              </w:rPr>
              <w:t>外部管理框架</w:t>
            </w:r>
          </w:p>
        </w:tc>
        <w:tc>
          <w:tcPr>
            <w:tcW w:type="dxa" w:w="10656"/>
            <w:vAlign w:val="center"/>
            <w:tcBorders>
              <w:top w:val="single" w:sz="6" w:color="D4DCE5"/>
              <w:left w:val="single" w:sz="6" w:color="D4DCE5"/>
              <w:bottom w:val="single" w:sz="6" w:color="D4DCE5"/>
              <w:right w:val="single" w:sz="6" w:color="D4DCE5"/>
              <w:insideH w:val="single" w:sz="6" w:color="D4DCE5"/>
              <w:insideV w:val="single" w:sz="6" w:color="D4DCE5"/>
            </w:tcBorders>
            <w:shd w:fill="F1F5F9"/>
          </w:tcPr>
          <w:p>
            <w:pPr>
              <w:spacing w:after="40" w:before="40" w:line="259" w:lineRule="auto"/>
            </w:pPr>
            <w:r>
              <w:rPr>
                <w:rFonts w:ascii="Microsoft YaHei" w:hAnsi="Microsoft YaHei" w:eastAsia="Microsoft YaHei"/>
                <w:b w:val="0"/>
                <w:color w:val="263445"/>
                <w:sz w:val="18"/>
              </w:rPr>
              <w:t>识别意图、路由、选择范围、编排权限、核对来源、汇总结果、更新项目状态。</w:t>
            </w:r>
          </w:p>
        </w:tc>
      </w:tr>
      <w:tr>
        <w:tc>
          <w:tcPr>
            <w:tcW w:type="dxa" w:w="3744"/>
            <w:vAlign w:val="center"/>
            <w:tcBorders>
              <w:top w:val="single" w:sz="6" w:color="D4DCE5"/>
              <w:left w:val="single" w:sz="6" w:color="D4DCE5"/>
              <w:bottom w:val="single" w:sz="6" w:color="D4DCE5"/>
              <w:right w:val="single" w:sz="6" w:color="D4DCE5"/>
              <w:insideH w:val="single" w:sz="6" w:color="D4DCE5"/>
              <w:insideV w:val="single" w:sz="6" w:color="D4DCE5"/>
            </w:tcBorders>
          </w:tcPr>
          <w:p>
            <w:pPr>
              <w:spacing w:after="40" w:before="40" w:line="259" w:lineRule="auto"/>
            </w:pPr>
            <w:r>
              <w:rPr>
                <w:rFonts w:ascii="Microsoft YaHei" w:hAnsi="Microsoft YaHei" w:eastAsia="Microsoft YaHei"/>
                <w:b w:val="0"/>
                <w:color w:val="263445"/>
                <w:sz w:val="18"/>
              </w:rPr>
              <w:t>人格存储</w:t>
            </w:r>
          </w:p>
        </w:tc>
        <w:tc>
          <w:tcPr>
            <w:tcW w:type="dxa" w:w="10656"/>
            <w:vAlign w:val="center"/>
            <w:tcBorders>
              <w:top w:val="single" w:sz="6" w:color="D4DCE5"/>
              <w:left w:val="single" w:sz="6" w:color="D4DCE5"/>
              <w:bottom w:val="single" w:sz="6" w:color="D4DCE5"/>
              <w:right w:val="single" w:sz="6" w:color="D4DCE5"/>
              <w:insideH w:val="single" w:sz="6" w:color="D4DCE5"/>
              <w:insideV w:val="single" w:sz="6" w:color="D4DCE5"/>
            </w:tcBorders>
          </w:tcPr>
          <w:p>
            <w:pPr>
              <w:spacing w:after="40" w:before="40" w:line="259" w:lineRule="auto"/>
            </w:pPr>
            <w:r>
              <w:rPr>
                <w:rFonts w:ascii="Microsoft YaHei" w:hAnsi="Microsoft YaHei" w:eastAsia="Microsoft YaHei"/>
                <w:b w:val="0"/>
                <w:color w:val="263445"/>
                <w:sz w:val="18"/>
              </w:rPr>
              <w:t>校验人格 JSON、生成 Markdown 投影、提供受控读取和更新接口；不自主决定安全内核变化。</w:t>
            </w:r>
          </w:p>
        </w:tc>
      </w:tr>
      <w:tr>
        <w:tc>
          <w:tcPr>
            <w:tcW w:type="dxa" w:w="3744"/>
            <w:vAlign w:val="center"/>
            <w:tcBorders>
              <w:top w:val="single" w:sz="6" w:color="D4DCE5"/>
              <w:left w:val="single" w:sz="6" w:color="D4DCE5"/>
              <w:bottom w:val="single" w:sz="6" w:color="D4DCE5"/>
              <w:right w:val="single" w:sz="6" w:color="D4DCE5"/>
              <w:insideH w:val="single" w:sz="6" w:color="D4DCE5"/>
              <w:insideV w:val="single" w:sz="6" w:color="D4DCE5"/>
            </w:tcBorders>
            <w:shd w:fill="F1F5F9"/>
          </w:tcPr>
          <w:p>
            <w:pPr>
              <w:spacing w:after="40" w:before="40" w:line="259" w:lineRule="auto"/>
            </w:pPr>
            <w:r>
              <w:rPr>
                <w:rFonts w:ascii="Microsoft YaHei" w:hAnsi="Microsoft YaHei" w:eastAsia="Microsoft YaHei"/>
                <w:b w:val="0"/>
                <w:color w:val="263445"/>
                <w:sz w:val="18"/>
              </w:rPr>
              <w:t>SQLite 备份库</w:t>
            </w:r>
          </w:p>
        </w:tc>
        <w:tc>
          <w:tcPr>
            <w:tcW w:type="dxa" w:w="10656"/>
            <w:vAlign w:val="center"/>
            <w:tcBorders>
              <w:top w:val="single" w:sz="6" w:color="D4DCE5"/>
              <w:left w:val="single" w:sz="6" w:color="D4DCE5"/>
              <w:bottom w:val="single" w:sz="6" w:color="D4DCE5"/>
              <w:right w:val="single" w:sz="6" w:color="D4DCE5"/>
              <w:insideH w:val="single" w:sz="6" w:color="D4DCE5"/>
              <w:insideV w:val="single" w:sz="6" w:color="D4DCE5"/>
            </w:tcBorders>
            <w:shd w:fill="F1F5F9"/>
          </w:tcPr>
          <w:p>
            <w:pPr>
              <w:spacing w:after="40" w:before="40" w:line="259" w:lineRule="auto"/>
            </w:pPr>
            <w:r>
              <w:rPr>
                <w:rFonts w:ascii="Microsoft YaHei" w:hAnsi="Microsoft YaHei" w:eastAsia="Microsoft YaHei"/>
                <w:b w:val="0"/>
                <w:color w:val="263445"/>
                <w:sz w:val="18"/>
              </w:rPr>
              <w:t>保存导入版本、来源信息和索引，提供只读查询与转换数据接口；不接管原系统、不向外写回。</w:t>
            </w:r>
          </w:p>
        </w:tc>
      </w:tr>
      <w:tr>
        <w:tc>
          <w:tcPr>
            <w:tcW w:type="dxa" w:w="3744"/>
            <w:vAlign w:val="center"/>
            <w:tcBorders>
              <w:top w:val="single" w:sz="6" w:color="D4DCE5"/>
              <w:left w:val="single" w:sz="6" w:color="D4DCE5"/>
              <w:bottom w:val="single" w:sz="6" w:color="D4DCE5"/>
              <w:right w:val="single" w:sz="6" w:color="D4DCE5"/>
              <w:insideH w:val="single" w:sz="6" w:color="D4DCE5"/>
              <w:insideV w:val="single" w:sz="6" w:color="D4DCE5"/>
            </w:tcBorders>
          </w:tcPr>
          <w:p>
            <w:pPr>
              <w:spacing w:after="40" w:before="40" w:line="259" w:lineRule="auto"/>
            </w:pPr>
            <w:r>
              <w:rPr>
                <w:rFonts w:ascii="Microsoft YaHei" w:hAnsi="Microsoft YaHei" w:eastAsia="Microsoft YaHei"/>
                <w:b w:val="0"/>
                <w:color w:val="263445"/>
                <w:sz w:val="18"/>
              </w:rPr>
              <w:t>导入/转换适配器</w:t>
            </w:r>
          </w:p>
        </w:tc>
        <w:tc>
          <w:tcPr>
            <w:tcW w:type="dxa" w:w="10656"/>
            <w:vAlign w:val="center"/>
            <w:tcBorders>
              <w:top w:val="single" w:sz="6" w:color="D4DCE5"/>
              <w:left w:val="single" w:sz="6" w:color="D4DCE5"/>
              <w:bottom w:val="single" w:sz="6" w:color="D4DCE5"/>
              <w:right w:val="single" w:sz="6" w:color="D4DCE5"/>
              <w:insideH w:val="single" w:sz="6" w:color="D4DCE5"/>
              <w:insideV w:val="single" w:sz="6" w:color="D4DCE5"/>
            </w:tcBorders>
          </w:tcPr>
          <w:p>
            <w:pPr>
              <w:spacing w:after="40" w:before="40" w:line="259" w:lineRule="auto"/>
            </w:pPr>
            <w:r>
              <w:rPr>
                <w:rFonts w:ascii="Microsoft YaHei" w:hAnsi="Microsoft YaHei" w:eastAsia="Microsoft YaHei"/>
                <w:b w:val="0"/>
                <w:color w:val="263445"/>
                <w:sz w:val="18"/>
              </w:rPr>
              <w:t>解析源格式、映射字段、校验并生成目标数据包；不语义分析、不直接操作目标系统。</w:t>
            </w:r>
          </w:p>
        </w:tc>
      </w:tr>
      <w:tr>
        <w:tc>
          <w:tcPr>
            <w:tcW w:type="dxa" w:w="3744"/>
            <w:vAlign w:val="center"/>
            <w:tcBorders>
              <w:top w:val="single" w:sz="6" w:color="D4DCE5"/>
              <w:left w:val="single" w:sz="6" w:color="D4DCE5"/>
              <w:bottom w:val="single" w:sz="6" w:color="D4DCE5"/>
              <w:right w:val="single" w:sz="6" w:color="D4DCE5"/>
              <w:insideH w:val="single" w:sz="6" w:color="D4DCE5"/>
              <w:insideV w:val="single" w:sz="6" w:color="D4DCE5"/>
            </w:tcBorders>
            <w:shd w:fill="F1F5F9"/>
          </w:tcPr>
          <w:p>
            <w:pPr>
              <w:spacing w:after="40" w:before="40" w:line="259" w:lineRule="auto"/>
            </w:pPr>
            <w:r>
              <w:rPr>
                <w:rFonts w:ascii="Microsoft YaHei" w:hAnsi="Microsoft YaHei" w:eastAsia="Microsoft YaHei"/>
                <w:b w:val="0"/>
                <w:color w:val="263445"/>
                <w:sz w:val="18"/>
              </w:rPr>
              <w:t>个人资产库</w:t>
            </w:r>
          </w:p>
        </w:tc>
        <w:tc>
          <w:tcPr>
            <w:tcW w:type="dxa" w:w="10656"/>
            <w:vAlign w:val="center"/>
            <w:tcBorders>
              <w:top w:val="single" w:sz="6" w:color="D4DCE5"/>
              <w:left w:val="single" w:sz="6" w:color="D4DCE5"/>
              <w:bottom w:val="single" w:sz="6" w:color="D4DCE5"/>
              <w:right w:val="single" w:sz="6" w:color="D4DCE5"/>
              <w:insideH w:val="single" w:sz="6" w:color="D4DCE5"/>
              <w:insideV w:val="single" w:sz="6" w:color="D4DCE5"/>
            </w:tcBorders>
            <w:shd w:fill="F1F5F9"/>
          </w:tcPr>
          <w:p>
            <w:pPr>
              <w:spacing w:after="40" w:before="40" w:line="259" w:lineRule="auto"/>
            </w:pPr>
            <w:r>
              <w:rPr>
                <w:rFonts w:ascii="Microsoft YaHei" w:hAnsi="Microsoft YaHei" w:eastAsia="Microsoft YaHei"/>
                <w:b w:val="0"/>
                <w:color w:val="263445"/>
                <w:sz w:val="18"/>
              </w:rPr>
              <w:t>管理原件和 manifest，提供查询、校验、导出与按授权执行入口。</w:t>
            </w:r>
          </w:p>
        </w:tc>
      </w:tr>
      <w:tr>
        <w:tc>
          <w:tcPr>
            <w:tcW w:type="dxa" w:w="3744"/>
            <w:vAlign w:val="center"/>
            <w:tcBorders>
              <w:top w:val="single" w:sz="6" w:color="D4DCE5"/>
              <w:left w:val="single" w:sz="6" w:color="D4DCE5"/>
              <w:bottom w:val="single" w:sz="6" w:color="D4DCE5"/>
              <w:right w:val="single" w:sz="6" w:color="D4DCE5"/>
              <w:insideH w:val="single" w:sz="6" w:color="D4DCE5"/>
              <w:insideV w:val="single" w:sz="6" w:color="D4DCE5"/>
            </w:tcBorders>
          </w:tcPr>
          <w:p>
            <w:pPr>
              <w:spacing w:after="40" w:before="40" w:line="259" w:lineRule="auto"/>
            </w:pPr>
            <w:r>
              <w:rPr>
                <w:rFonts w:ascii="Microsoft YaHei" w:hAnsi="Microsoft YaHei" w:eastAsia="Microsoft YaHei"/>
                <w:b w:val="0"/>
                <w:color w:val="263445"/>
                <w:sz w:val="18"/>
              </w:rPr>
              <w:t>工作 Agent 与原记忆系统</w:t>
            </w:r>
          </w:p>
        </w:tc>
        <w:tc>
          <w:tcPr>
            <w:tcW w:type="dxa" w:w="10656"/>
            <w:vAlign w:val="center"/>
            <w:tcBorders>
              <w:top w:val="single" w:sz="6" w:color="D4DCE5"/>
              <w:left w:val="single" w:sz="6" w:color="D4DCE5"/>
              <w:bottom w:val="single" w:sz="6" w:color="D4DCE5"/>
              <w:right w:val="single" w:sz="6" w:color="D4DCE5"/>
              <w:insideH w:val="single" w:sz="6" w:color="D4DCE5"/>
              <w:insideV w:val="single" w:sz="6" w:color="D4DCE5"/>
            </w:tcBorders>
          </w:tcPr>
          <w:p>
            <w:pPr>
              <w:spacing w:after="40" w:before="40" w:line="259" w:lineRule="auto"/>
            </w:pPr>
            <w:r>
              <w:rPr>
                <w:rFonts w:ascii="Microsoft YaHei" w:hAnsi="Microsoft YaHei" w:eastAsia="Microsoft YaHei"/>
                <w:b w:val="0"/>
                <w:color w:val="263445"/>
                <w:sz w:val="18"/>
              </w:rPr>
              <w:t>Agent 按原流程访问原记忆系统并执行工作；原系统按授权提供备份/导出。</w:t>
            </w:r>
          </w:p>
        </w:tc>
      </w:tr>
    </w:tbl>
    <w:p>
      <w:pPr>
        <w:pStyle w:val="Heading1"/>
        <w:keepNext/>
      </w:pPr>
      <w:r>
        <w:rPr>
          <w:rFonts w:ascii="Microsoft YaHei" w:hAnsi="Microsoft YaHei" w:eastAsia="Microsoft YaHei"/>
          <w:b/>
          <w:color w:val="142238"/>
          <w:sz w:val="34"/>
        </w:rPr>
        <w:t>六  全量库搜索与核心不变量</w:t>
      </w:r>
    </w:p>
    <w:p>
      <w:pPr>
        <w:pStyle w:val="ListBullet"/>
        <w:spacing w:after="60"/>
        <w:ind w:left="360" w:hanging="202"/>
      </w:pPr>
      <w:r>
        <w:rPr>
          <w:rFonts w:ascii="Microsoft YaHei" w:hAnsi="Microsoft YaHei" w:eastAsia="Microsoft YaHei"/>
          <w:color w:val="263445"/>
          <w:sz w:val="20"/>
        </w:rPr>
        <w:t>全量数据完整保留；热度只调整召回顺序，不删除或隐藏冷数据。先按权限、来源、Agent、项目和时间过滤，再结合全文相关度、时效、明确反馈和使用热度排序。</w:t>
      </w:r>
    </w:p>
    <w:p>
      <w:pPr>
        <w:pStyle w:val="ListBullet"/>
        <w:spacing w:after="60"/>
        <w:ind w:left="360" w:hanging="202"/>
      </w:pPr>
      <w:r>
        <w:rPr>
          <w:rFonts w:ascii="Microsoft YaHei" w:hAnsi="Microsoft YaHei" w:eastAsia="Microsoft YaHei"/>
          <w:color w:val="263445"/>
          <w:sz w:val="20"/>
        </w:rPr>
        <w:t>热层命中不足时回退全量范围；答案说明备份覆盖时间和完整性。FTS5 可作为全文索引实现，索引与热度不是事实库。</w:t>
      </w:r>
    </w:p>
    <w:p>
      <w:pPr>
        <w:pStyle w:val="ListBullet"/>
        <w:spacing w:after="60"/>
        <w:ind w:left="360" w:hanging="202"/>
      </w:pPr>
      <w:r>
        <w:rPr>
          <w:rFonts w:ascii="Microsoft YaHei" w:hAnsi="Microsoft YaHei" w:eastAsia="Microsoft YaHei"/>
          <w:color w:val="263445"/>
          <w:sz w:val="20"/>
        </w:rPr>
        <w:t>三域严格分离；跨域仅传递必要 ID、证据引用和最小上下文。</w:t>
      </w:r>
    </w:p>
    <w:p>
      <w:pPr>
        <w:pStyle w:val="ListBullet"/>
        <w:spacing w:after="60"/>
        <w:ind w:left="360" w:hanging="202"/>
      </w:pPr>
      <w:r>
        <w:rPr>
          <w:rFonts w:ascii="Microsoft YaHei" w:hAnsi="Microsoft YaHei" w:eastAsia="Microsoft YaHei"/>
          <w:color w:val="263445"/>
          <w:sz w:val="20"/>
        </w:rPr>
        <w:t>纯记忆问答由照夜查询备份；工作执行由 Agent 查询原系统；只有明确缺口时才补查。</w:t>
      </w:r>
    </w:p>
    <w:p>
      <w:pPr>
        <w:pStyle w:val="ListBullet"/>
        <w:spacing w:after="60"/>
        <w:ind w:left="360" w:hanging="202"/>
      </w:pPr>
      <w:r>
        <w:rPr>
          <w:rFonts w:ascii="Microsoft YaHei" w:hAnsi="Microsoft YaHei" w:eastAsia="Microsoft YaHei"/>
          <w:color w:val="263445"/>
          <w:sz w:val="20"/>
        </w:rPr>
        <w:t>安全内核仅按用户明确请求修改；用户画像、助手性格和项目规划可在边界内迭代；工作踩坑留在工作 Agent 记忆中。</w:t>
      </w:r>
    </w:p>
    <w:p>
      <w:pPr>
        <w:pStyle w:val="ListBullet"/>
        <w:spacing w:after="60"/>
        <w:ind w:left="360" w:hanging="202"/>
      </w:pPr>
      <w:r>
        <w:rPr>
          <w:rFonts w:ascii="Microsoft YaHei" w:hAnsi="Microsoft YaHei" w:eastAsia="Microsoft YaHei"/>
          <w:color w:val="263445"/>
          <w:sz w:val="20"/>
        </w:rPr>
        <w:t>资产检索、校验和执行是不同步骤；备份与格式转换均不代表获得目标系统写入授权。</w:t>
      </w:r>
    </w:p>
    <w:p>
      <w:r>
        <w:rPr>
          <w:rFonts w:ascii="Microsoft YaHei" w:hAnsi="Microsoft YaHei" w:eastAsia="Microsoft YaHei"/>
          <w:color w:val="263445"/>
          <w:sz w:val="21"/>
        </w:rPr>
        <w:t>更完整的存储字段、恢复、安全与实施阶段见《外部管理框架与记忆核心设计》。本文为整体架构和功能边界总结。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62436"/>
          <w:sz w:val="34"/>
        </w:rPr>
        <w:t>七  关键交互时序图</w:t>
      </w:r>
    </w:p>
    <w:p>
      <w:pPr>
        <w:spacing w:after="80"/>
      </w:pPr>
      <w:r>
        <w:rPr>
          <w:rFonts w:ascii="Microsoft YaHei" w:hAnsi="Microsoft YaHei" w:eastAsia="Microsoft YaHei"/>
          <w:sz w:val="19"/>
        </w:rPr>
        <w:t>图中按请求类型分支。工作委托路径不预查照夜备份库；只有记忆问答走本地 SQLite。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8869680" cy="6333627"/>
            <wp:docPr id="2" name="Picture 2" descr="照夜任务时序图：记忆问答、Agent委托、资产操作、只读备份和格式转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.memory_sequ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633362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648" w:right="893" w:bottom="691" w:left="893" w:header="317" w:footer="33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718096"/>
        <w:sz w:val="16"/>
      </w:rPr>
      <w:t xml:space="preserve">照夜架构设计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5758A"/>
        <w:sz w:val="17"/>
      </w:rPr>
      <w:t>照夜  |  记忆核心架构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YaHei" w:hAnsi="Microsoft YaHei" w:eastAsia="Microsoft YaHei"/>
      <w:color w:val="16243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243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243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243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62436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记忆核心架构总结</dc:title>
  <dc:subject>照夜记忆核心与外部管理框架</dc:subject>
  <dc:creator>照夜项目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