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CF36D">
      <w:pPr>
        <w:pStyle w:val="2"/>
        <w:ind w:firstLine="723"/>
        <w:jc w:val="center"/>
        <w:rPr>
          <w:rFonts w:hint="eastAsia"/>
          <w:b/>
          <w:bCs/>
        </w:rPr>
      </w:pPr>
      <w:bookmarkStart w:id="47" w:name="_GoBack"/>
      <w:bookmarkEnd w:id="47"/>
      <w:r>
        <w:rPr>
          <w:b/>
          <w:bCs/>
        </w:rPr>
        <w:t>基于收益分布的多市场联动风险预测</w:t>
      </w:r>
    </w:p>
    <w:p w14:paraId="76CEA6E4">
      <w:pPr>
        <w:pStyle w:val="3"/>
        <w:ind w:firstLine="640"/>
        <w:jc w:val="center"/>
      </w:pPr>
      <w:r>
        <w:rPr>
          <w:rFonts w:hint="eastAsia"/>
        </w:rPr>
        <w:t>摘要</w:t>
      </w:r>
    </w:p>
    <w:p w14:paraId="672C0896">
      <w:pPr>
        <w:pStyle w:val="2"/>
        <w:rPr>
          <w:rFonts w:hint="eastAsia" w:ascii="黑体" w:hAnsi="黑体"/>
          <w:color w:val="auto"/>
          <w:sz w:val="32"/>
          <w:szCs w:val="32"/>
        </w:rPr>
      </w:pPr>
      <w:r>
        <w:rPr>
          <w:rFonts w:hint="eastAsia" w:ascii="黑体" w:hAnsi="黑体"/>
          <w:color w:val="auto"/>
          <w:sz w:val="32"/>
          <w:szCs w:val="32"/>
        </w:rPr>
        <w:t>1引言</w:t>
      </w:r>
    </w:p>
    <w:p w14:paraId="35634D25">
      <w:r>
        <w:t>问题背景与意义</w:t>
      </w:r>
    </w:p>
    <w:p w14:paraId="13918282">
      <w:pPr>
        <w:ind w:firstLine="560" w:firstLineChars="200"/>
      </w:pPr>
      <w:r>
        <w:rPr>
          <w:rFonts w:hint="eastAsia"/>
        </w:rPr>
        <w:t xml:space="preserve">在全球化与金融资产高度交叉传染的现代金融体系中，市场间的联动性呈现出非线性、厚尾分布以及时变不对称性等极端复杂的特征。无论是股票、外汇、贵金属、大宗商品，还是新兴的数字资产市场，在面临宏观经济冲击或突发性黑天鹅事件时，往往会表现出强烈的结构共振与波动传染现象 </w:t>
      </w:r>
      <w:r>
        <w:t>金融领域的分布预测至关重要，因为精准的风险评估不仅需要预期收益。金融机构、投资组合经理和监管机构需要完整的不确定性量化，以便在资本配置、对冲策略和监管合规方面做出明智决策。</w:t>
      </w:r>
      <w:r>
        <w:rPr>
          <w:rFonts w:hint="eastAsia"/>
        </w:rPr>
        <w:t>传统的金融计量经济学方法通常依赖于单个市场的历史收益信息，或者在多变量建模时过度依赖高斯分布与线性相关性假设。这种孤立且静态的视角在平稳市场环境中尚能维持一定的预测效力，但在面临系统性风险和极端市场条件时，难以充分刻画整体市场状态及跨市场的风险传染路径，常常导致风险价值（VaR）等关键指标的低估 .</w:t>
      </w:r>
    </w:p>
    <w:p w14:paraId="33B5F153">
      <w:pPr>
        <w:ind w:firstLine="560" w:firstLineChars="200"/>
      </w:pPr>
      <w:r>
        <w:rPr>
          <w:rFonts w:hint="eastAsia"/>
        </w:rPr>
        <w:t>为了突破这一理论瓶颈，定量风险管理与金融工程领域的核心范式已逐步从传统的点估计（如预测下一期的均值或方差）向更为全面的分布预测（Distributional Forecasting）发生转移 。在此理论转移的过程中，基于最优传输理论（Optimal Transport, OT）的几何度量方法，尤其是Wasserstein重心</w:t>
      </w:r>
      <w:r>
        <w:rPr>
          <w:vertAlign w:val="superscript"/>
        </w:rPr>
        <w:fldChar w:fldCharType="begin"/>
      </w:r>
      <w:r>
        <w:rPr>
          <w:vertAlign w:val="superscript"/>
        </w:rPr>
        <w:instrText xml:space="preserve"> </w:instrText>
      </w:r>
      <w:r>
        <w:rPr>
          <w:rFonts w:hint="eastAsia"/>
          <w:vertAlign w:val="superscript"/>
        </w:rPr>
        <w:instrText xml:space="preserve">REF _Ref230504768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（Wasserstein Barycenter）技术，提供了一种将多个市场的局部收益分布进行无损聚合的严谨数学框架 。通过在概率测度空间中计算几何中心，该方法能够有效地捕捉并融合多个市场的真实分布特征，进而重构出代表“综合市场状态”的全局分布。本报告旨在深度整合该方向的最新学术进展，系统梳理相关领域的代表性研究与核心摘要，详尽论证分布几何测度与量化投资（涵盖资产配置、市场状态识别及动态对冲）的内在逻辑联系，并全景式地解答如何利用前沿深度学习架构（如分位数神经网络、连续时空图神经网络及分布参数化序列模型）建立高效的多市场联动风险预测模型。</w:t>
      </w:r>
    </w:p>
    <w:p w14:paraId="51829BEF">
      <w:pPr>
        <w:pStyle w:val="3"/>
        <w:ind w:firstLine="199" w:firstLineChars="62"/>
      </w:pPr>
      <w:r>
        <w:rPr>
          <w:rFonts w:hint="eastAsia"/>
          <w:b/>
          <w:bCs/>
        </w:rPr>
        <w:t>2</w:t>
      </w:r>
      <w:r>
        <w:rPr>
          <w:rFonts w:hint="eastAsia"/>
        </w:rPr>
        <w:t>问题重述</w:t>
      </w:r>
    </w:p>
    <w:p w14:paraId="2CE8731B">
      <w:pPr>
        <w:ind w:firstLine="560"/>
      </w:pPr>
      <w:r>
        <w:rPr>
          <w:rFonts w:hint="eastAsia"/>
        </w:rPr>
        <w:t xml:space="preserve">数据要求 </w:t>
      </w:r>
    </w:p>
    <w:p w14:paraId="6C9496C4">
      <w:pPr>
        <w:ind w:firstLine="560" w:firstLineChars="200"/>
      </w:pPr>
      <w:r>
        <w:rPr>
          <w:rFonts w:hint="eastAsia"/>
        </w:rPr>
        <w:t>选取不少于三个具有较强经济联系或风险传导关系的市场作为</w:t>
      </w:r>
    </w:p>
    <w:p w14:paraId="0236B184">
      <w:r>
        <w:rPr>
          <w:rFonts w:hint="eastAsia"/>
        </w:rPr>
        <w:t xml:space="preserve">研究对象。市场类型不限，可为股票指数、汇率、黄金、原油、数字资产等。设第 </w:t>
      </w:r>
      <w:r>
        <w:rPr>
          <w:rFonts w:hint="eastAsia"/>
          <w:position w:val="-6"/>
        </w:rPr>
        <w:object>
          <v:shape id="_x0000_i1025" o:spt="75" type="#_x0000_t75" style="height:13.1pt;width:7.1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rPr>
        <w:t xml:space="preserve"> 个市场在时点 </w:t>
      </w:r>
      <w:r>
        <w:rPr>
          <w:rFonts w:hint="eastAsia"/>
          <w:position w:val="-6"/>
        </w:rPr>
        <w:object>
          <v:shape id="_x0000_i1026" o:spt="75" type="#_x0000_t75" style="height:12pt;width:7.1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rPr>
        <w:t xml:space="preserve"> 的收盘价为 </w:t>
      </w:r>
      <w:r>
        <w:rPr>
          <w:rFonts w:hint="eastAsia"/>
          <w:position w:val="-14"/>
        </w:rPr>
        <w:object>
          <v:shape id="_x0000_i1027" o:spt="75" type="#_x0000_t75" style="height:19.1pt;width:1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rPr>
        <w:t xml:space="preserve">，对应对数收益率为 </w:t>
      </w:r>
    </w:p>
    <w:p w14:paraId="6DC28F60">
      <w:pPr>
        <w:ind w:firstLine="560"/>
        <w:jc w:val="center"/>
      </w:pPr>
      <w:r>
        <w:rPr>
          <w:rFonts w:hint="eastAsia"/>
          <w:position w:val="-14"/>
        </w:rPr>
        <w:object>
          <v:shape id="_x0000_i1028" o:spt="75" type="#_x0000_t75" style="height:19.1pt;width:96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p>
    <w:p w14:paraId="367625F7">
      <w:pPr>
        <w:ind w:firstLine="198" w:firstLineChars="71"/>
      </w:pPr>
      <w:r>
        <w:rPr>
          <w:rFonts w:hint="eastAsia"/>
        </w:rPr>
        <w:t xml:space="preserve">参赛者应说明所选市场、样本区间、数据来源、数据预处理方法及样本划分方式。 </w:t>
      </w:r>
    </w:p>
    <w:p w14:paraId="6D9B432E">
      <w:r>
        <w:rPr>
          <w:rFonts w:hint="eastAsia"/>
          <w:b/>
          <w:bCs/>
        </w:rPr>
        <w:t>问题一</w:t>
      </w:r>
      <w:r>
        <w:rPr>
          <w:rFonts w:hint="eastAsia"/>
        </w:rPr>
        <w:t xml:space="preserve">：对每个市场 </w:t>
      </w:r>
      <w:r>
        <w:rPr>
          <w:rFonts w:hint="eastAsia"/>
          <w:position w:val="-6"/>
        </w:rPr>
        <w:object>
          <v:shape id="_x0000_i1029" o:spt="75" type="#_x0000_t75" style="height:13.1pt;width:7.1pt;" o:ole="t" filled="f" o:preferrelative="t" stroked="f" coordsize="21600,21600">
            <v:path/>
            <v:fill on="f" focussize="0,0"/>
            <v:stroke on="f" joinstyle="miter"/>
            <v:imagedata r:id="rId8" o:title=""/>
            <o:lock v:ext="edit" aspectratio="t"/>
            <w10:wrap type="none"/>
            <w10:anchorlock/>
          </v:shape>
          <o:OLEObject Type="Embed" ProgID="Equation.DSMT4" ShapeID="_x0000_i1029" DrawAspect="Content" ObjectID="_1468075729" r:id="rId15">
            <o:LockedField>false</o:LockedField>
          </o:OLEObject>
        </w:object>
      </w:r>
      <w:r>
        <w:rPr>
          <w:rFonts w:hint="eastAsia"/>
        </w:rPr>
        <w:t xml:space="preserve"> ，在每个时点 </w:t>
      </w:r>
      <w:r>
        <w:rPr>
          <w:rFonts w:hint="eastAsia"/>
          <w:position w:val="-6"/>
        </w:rPr>
        <w:object>
          <v:shape id="_x0000_i1030" o:spt="75" type="#_x0000_t75" style="height:12pt;width:7.1pt;" o:ole="t" filled="f" o:preferrelative="t" stroked="f" coordsize="21600,21600">
            <v:path/>
            <v:fill on="f" focussize="0,0"/>
            <v:stroke on="f" joinstyle="miter"/>
            <v:imagedata r:id="rId10" o:title=""/>
            <o:lock v:ext="edit" aspectratio="t"/>
            <w10:wrap type="none"/>
            <w10:anchorlock/>
          </v:shape>
          <o:OLEObject Type="Embed" ProgID="Equation.DSMT4" ShapeID="_x0000_i1030" DrawAspect="Content" ObjectID="_1468075730" r:id="rId16">
            <o:LockedField>false</o:LockedField>
          </o:OLEObject>
        </w:object>
      </w:r>
      <w:r>
        <w:rPr>
          <w:rFonts w:hint="eastAsia"/>
        </w:rPr>
        <w:t xml:space="preserve"> ，利用该市场前 </w:t>
      </w:r>
      <w:r>
        <w:rPr>
          <w:rFonts w:hint="eastAsia"/>
          <w:position w:val="-6"/>
        </w:rPr>
        <w:object>
          <v:shape id="_x0000_i1031" o:spt="75" type="#_x0000_t75" style="height:10.9pt;width:12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rPr>
        <w:t xml:space="preserve"> 个交</w:t>
      </w:r>
    </w:p>
    <w:p w14:paraId="786D335E">
      <w:r>
        <w:rPr>
          <w:rFonts w:hint="eastAsia"/>
        </w:rPr>
        <w:t xml:space="preserve">易日的收益样本构造局部收益分布，记为 </w:t>
      </w:r>
      <w:r>
        <w:rPr>
          <w:rFonts w:hint="eastAsia"/>
          <w:position w:val="-14"/>
        </w:rPr>
        <w:object>
          <v:shape id="_x0000_i1032" o:spt="75" type="#_x0000_t75" style="height:19.1pt;width:1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rPr>
        <w:t xml:space="preserve"> 。在同一时点 </w:t>
      </w:r>
      <w:r>
        <w:rPr>
          <w:rFonts w:hint="eastAsia"/>
          <w:position w:val="-6"/>
        </w:rPr>
        <w:object>
          <v:shape id="_x0000_i1033" o:spt="75" type="#_x0000_t75" style="height:12pt;width:7.1pt;" o:ole="t" filled="f" o:preferrelative="t" stroked="f" coordsize="21600,21600">
            <v:path/>
            <v:fill on="f" focussize="0,0"/>
            <v:stroke on="f" joinstyle="miter"/>
            <v:imagedata r:id="rId10" o:title=""/>
            <o:lock v:ext="edit" aspectratio="t"/>
            <w10:wrap type="none"/>
            <w10:anchorlock/>
          </v:shape>
          <o:OLEObject Type="Embed" ProgID="Equation.DSMT4" ShapeID="_x0000_i1033" DrawAspect="Content" ObjectID="_1468075733" r:id="rId21">
            <o:LockedField>false</o:LockedField>
          </o:OLEObject>
        </w:object>
      </w:r>
      <w:r>
        <w:rPr>
          <w:rFonts w:hint="eastAsia"/>
        </w:rPr>
        <w:t>，对多</w:t>
      </w:r>
    </w:p>
    <w:p w14:paraId="1058A080">
      <w:r>
        <w:rPr>
          <w:rFonts w:hint="eastAsia"/>
        </w:rPr>
        <w:t>个市场的局部收益分布</w:t>
      </w:r>
      <w:r>
        <w:rPr>
          <w:rFonts w:hint="eastAsia" w:ascii="Cambria Math" w:hAnsi="Cambria Math" w:cs="Cambria Math"/>
        </w:rPr>
        <w:t xml:space="preserve"> </w:t>
      </w:r>
      <w:r>
        <w:rPr>
          <w:rFonts w:hint="eastAsia"/>
          <w:position w:val="-14"/>
        </w:rPr>
        <w:object>
          <v:shape id="_x0000_i1034" o:spt="75" type="#_x0000_t75" style="height:19.1pt;width:75.2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rPr>
        <w:t xml:space="preserve"> 进行重心估计，得到综合市场</w:t>
      </w:r>
    </w:p>
    <w:p w14:paraId="33121203">
      <w:r>
        <w:rPr>
          <w:rFonts w:hint="eastAsia"/>
        </w:rPr>
        <w:t xml:space="preserve">状态分布 </w:t>
      </w:r>
      <w:r>
        <w:rPr>
          <w:rFonts w:hint="eastAsia"/>
          <w:position w:val="-12"/>
        </w:rPr>
        <w:object>
          <v:shape id="_x0000_i1035" o:spt="75" type="#_x0000_t75" style="height:20.2pt;width:13.1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t>。给出局部收益分布的构造方法、窗口长度</w:t>
      </w:r>
      <w:r>
        <w:rPr>
          <w:i/>
          <w:iCs/>
        </w:rPr>
        <w:t xml:space="preserve"> w </w:t>
      </w:r>
      <w:r>
        <w:t>的选取依</w:t>
      </w:r>
    </w:p>
    <w:p w14:paraId="5749C9D1">
      <w:r>
        <w:rPr>
          <w:rFonts w:hint="eastAsia"/>
        </w:rPr>
        <w:t>据、综合市场状态分布的估计方法及权重设定原则；分析综合市场状</w:t>
      </w:r>
    </w:p>
    <w:p w14:paraId="4CADDC85">
      <w:r>
        <w:rPr>
          <w:rFonts w:hint="eastAsia"/>
        </w:rPr>
        <w:t>态分布随时间的变化特征，并从中提取能够表征市场状态的统计特征。</w:t>
      </w:r>
    </w:p>
    <w:p w14:paraId="636B57AE">
      <w:r>
        <w:rPr>
          <w:rFonts w:hint="eastAsia"/>
          <w:b/>
          <w:bCs/>
        </w:rPr>
        <w:t>问题二</w:t>
      </w:r>
      <w:r>
        <w:rPr>
          <w:rFonts w:hint="eastAsia"/>
        </w:rPr>
        <w:t>：选取一个核心市场作为预测对象，自主构造未来 h 个交易日的风险度量，并建立基于综合市场状态分布的预测模型。所定</w:t>
      </w:r>
    </w:p>
    <w:p w14:paraId="280F8F3F">
      <w:r>
        <w:rPr>
          <w:rFonts w:hint="eastAsia"/>
        </w:rPr>
        <w:t>义的风险度量应具有明确的金融含义，并能够反映未来市场波动、下</w:t>
      </w:r>
    </w:p>
    <w:p w14:paraId="77F71FFA">
      <w:r>
        <w:rPr>
          <w:rFonts w:hint="eastAsia"/>
        </w:rPr>
        <w:t>行风险或极端风险。给出预测目标的数学定义及选取依据，构造以综</w:t>
      </w:r>
    </w:p>
    <w:p w14:paraId="5E92AD95">
      <w:r>
        <w:rPr>
          <w:rFonts w:hint="eastAsia"/>
        </w:rPr>
        <w:t>合市场状态分布特征为核心解释变量的预测模型，同时构造不使用综</w:t>
      </w:r>
    </w:p>
    <w:p w14:paraId="3C1A1F65">
      <w:r>
        <w:rPr>
          <w:rFonts w:hint="eastAsia"/>
        </w:rPr>
        <w:t xml:space="preserve">合市场状态分布信息的基准模型，并比较两类模型的样本外预测结果。 </w:t>
      </w:r>
    </w:p>
    <w:p w14:paraId="5C766933">
      <w:r>
        <w:rPr>
          <w:rFonts w:hint="eastAsia"/>
          <w:b/>
          <w:bCs/>
        </w:rPr>
        <w:t>问题三</w:t>
      </w:r>
      <w:r>
        <w:rPr>
          <w:rFonts w:hint="eastAsia"/>
        </w:rPr>
        <w:t>：根据历史样本划分市场的不同风险阶段，比较不同阶段下综合市场状态分布的差异；分析综合市场状态分布中哪些特征对未来风险最为敏感；比较不同市场组合、不同窗口长度和不同预测步长下的结果差异；讨论模型的适用范围、局限性及可能改进方向。</w:t>
      </w:r>
    </w:p>
    <w:p w14:paraId="43DAE676">
      <w:pPr>
        <w:pStyle w:val="4"/>
      </w:pPr>
      <w:r>
        <w:rPr>
          <w:rFonts w:hint="eastAsia"/>
          <w:b/>
          <w:bCs/>
        </w:rPr>
        <w:t>2.1</w:t>
      </w:r>
      <w:r>
        <w:rPr>
          <w:rFonts w:hint="eastAsia"/>
        </w:rPr>
        <w:t>问题的提出与分析</w:t>
      </w:r>
    </w:p>
    <w:p w14:paraId="6BE376D6">
      <w:pPr>
        <w:rPr>
          <w:b/>
          <w:bCs/>
        </w:rPr>
      </w:pPr>
      <w:r>
        <w:rPr>
          <w:b/>
          <w:bCs/>
        </w:rPr>
        <w:t>针对问题一</w:t>
      </w:r>
      <w:r>
        <w:rPr>
          <w:rFonts w:hint="eastAsia"/>
          <w:b/>
          <w:bCs/>
        </w:rPr>
        <w:t>：</w:t>
      </w:r>
    </w:p>
    <w:p w14:paraId="53E8C327">
      <w:pPr>
        <w:ind w:firstLine="560" w:firstLineChars="200"/>
      </w:pPr>
      <w:r>
        <w:rPr>
          <w:rFonts w:hint="eastAsia"/>
        </w:rPr>
        <w:t xml:space="preserve">本问题核心是用动态滑动窗口捕捉时变收益分布特征，解决传统静态分布无法反映市场阶段性变化的缺陷。以 </w:t>
      </w:r>
      <w:r>
        <w:rPr>
          <w:rFonts w:hint="eastAsia"/>
          <w:position w:val="-6"/>
        </w:rPr>
        <w:object>
          <v:shape id="_x0000_i1036" o:spt="75" type="#_x0000_t75" style="height:10.9pt;width:1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rPr>
        <w:t xml:space="preserve"> 天为滑动窗口，逐市场拟合局部收益分布，再通过加权或重心法将多市场局部分布合成综合收益分布，最终提取均值、方差、偏度、峰度、分位数等关键统计特征。</w:t>
      </w:r>
    </w:p>
    <w:p w14:paraId="6E5ABF21">
      <w:r>
        <w:rPr>
          <w:rFonts w:hint="eastAsia"/>
        </w:rPr>
        <w:t>(1)分析要点：</w:t>
      </w:r>
    </w:p>
    <w:p w14:paraId="2A633FD6">
      <w:pPr>
        <w:ind w:firstLine="560"/>
      </w:pPr>
      <w:r>
        <w:rPr>
          <w:rFonts w:hint="eastAsia"/>
        </w:rPr>
        <w:t>1.金融收益具有时变性、非正态、尖峰厚尾特征，固定窗口长度可稳定刻画局部分布形态，避免全样本拟合失真。</w:t>
      </w:r>
    </w:p>
    <w:p w14:paraId="3C94CF7B">
      <w:pPr>
        <w:ind w:firstLine="560"/>
      </w:pPr>
      <w:r>
        <w:rPr>
          <w:rFonts w:hint="eastAsia"/>
        </w:rPr>
        <w:t>2.单一市场分布难以反映整体风险，需通过加权/重心法融合多市场信息，形成能代表整体状态的综合分布。</w:t>
      </w:r>
    </w:p>
    <w:p w14:paraId="33E87A40">
      <w:pPr>
        <w:ind w:firstLine="560"/>
      </w:pPr>
      <w:r>
        <w:rPr>
          <w:rFonts w:hint="eastAsia"/>
        </w:rPr>
        <w:t>3.提取的高阶矩与分位数特征，可有效描述风险水平、波动聚集、不对称性、尾部风险，为后续风险建模提供基础输入。</w:t>
      </w:r>
    </w:p>
    <w:p w14:paraId="2EDC6EF2">
      <w:pPr>
        <w:ind w:firstLine="560"/>
      </w:pPr>
      <w:r>
        <w:rPr>
          <w:rFonts w:hint="eastAsia"/>
        </w:rPr>
        <w:t>4.需保证窗口选择合理、分布拟合稳健、特征提取可解释，确保输出特征能支撑风险指标计算与预测。</w:t>
      </w:r>
    </w:p>
    <w:p w14:paraId="624AB7B3">
      <w:r>
        <w:rPr>
          <w:rFonts w:hint="eastAsia"/>
        </w:rPr>
        <w:t>(2) 解题思路</w:t>
      </w:r>
    </w:p>
    <w:p w14:paraId="33BC36C9">
      <w:pPr>
        <w:ind w:firstLine="560" w:firstLineChars="200"/>
      </w:pPr>
      <w:r>
        <w:rPr>
          <w:rFonts w:hint="eastAsia"/>
        </w:rPr>
        <w:t>1.数据预处理：整理各市场每日收盘价，计算对数收益率，剔除异常数据，保证样本质量。</w:t>
      </w:r>
    </w:p>
    <w:p w14:paraId="568E9848">
      <w:pPr>
        <w:ind w:firstLine="560" w:firstLineChars="200"/>
      </w:pPr>
      <w:r>
        <w:rPr>
          <w:rFonts w:hint="eastAsia"/>
        </w:rPr>
        <w:t>2.滚动划分窗口：设定固定窗口天数W，按照时间顺序逐段截取样本，形成连续滑动样本集。</w:t>
      </w:r>
    </w:p>
    <w:p w14:paraId="3774E523">
      <w:pPr>
        <w:ind w:firstLine="560" w:firstLineChars="200"/>
      </w:pPr>
      <w:r>
        <w:rPr>
          <w:rFonts w:hint="eastAsia"/>
        </w:rPr>
        <w:t>3.单市场局部分布拟合：对每个窗口内各市场收益率，拟合对应概率分布，检验拟合效果，确定各市场当期局部收益分布形式。</w:t>
      </w:r>
    </w:p>
    <w:p w14:paraId="1A874789">
      <w:pPr>
        <w:ind w:firstLine="560" w:firstLineChars="200"/>
      </w:pPr>
      <w:r>
        <w:rPr>
          <w:rFonts w:hint="eastAsia"/>
        </w:rPr>
        <w:t>4.合成综合分布：采用加权法或重心法，依照设定权重规则，融合多个市场局部分布，得到能够反映整体行情的综合收益分布。</w:t>
      </w:r>
    </w:p>
    <w:p w14:paraId="10DFF852">
      <w:pPr>
        <w:ind w:firstLine="560" w:firstLineChars="200"/>
      </w:pPr>
      <w:r>
        <w:rPr>
          <w:rFonts w:hint="eastAsia"/>
        </w:rPr>
        <w:t>5.提取统计特征：基于合成分布，计算均值、方差、偏度、峰度、不同置信度分位数等核心特征指标，完成基础特征储备。</w:t>
      </w:r>
    </w:p>
    <w:p w14:paraId="52A7FE08">
      <w:r>
        <w:rPr>
          <w:rFonts w:hint="eastAsia"/>
          <w:b/>
          <w:bCs/>
        </w:rPr>
        <w:t>针对问题二</w:t>
      </w:r>
      <w:r>
        <w:rPr>
          <w:rFonts w:hint="eastAsia"/>
        </w:rPr>
        <w:t>：</w:t>
      </w:r>
    </w:p>
    <w:p w14:paraId="6A2135B4">
      <w:pPr>
        <w:ind w:firstLine="560" w:firstLineChars="200"/>
      </w:pPr>
      <w:r>
        <w:rPr>
          <w:rFonts w:hint="eastAsia"/>
        </w:rPr>
        <w:t>本问题以问题一提取的综合分布特征为核心解释变量，构建风险预测模型，实现VaR、CVaR、下行波动率等关键风险指标的预测，并与传统基准模型对比精度。</w:t>
      </w:r>
    </w:p>
    <w:p w14:paraId="48E44122">
      <w:r>
        <w:rPr>
          <w:rFonts w:hint="eastAsia"/>
        </w:rPr>
        <w:t>（1）分析要点：</w:t>
      </w:r>
    </w:p>
    <w:p w14:paraId="77A3A105">
      <w:pPr>
        <w:ind w:firstLine="560"/>
      </w:pPr>
      <w:r>
        <w:rPr>
          <w:rFonts w:hint="eastAsia"/>
        </w:rPr>
        <w:t>1.传统ARMA、GARCH主要依赖收益率与波动信息，未充分利用偏度、峰度、分位数等分布特征，对尾部风险与极端损失预测不足。</w:t>
      </w:r>
    </w:p>
    <w:p w14:paraId="5B653DB1">
      <w:pPr>
        <w:ind w:firstLine="560"/>
      </w:pPr>
      <w:r>
        <w:rPr>
          <w:rFonts w:hint="eastAsia"/>
        </w:rPr>
        <w:t>2.以综合分布特征驱动建模，能更精准捕捉非线性风险结构，提升极端风险下的预测可靠性。</w:t>
      </w:r>
    </w:p>
    <w:p w14:paraId="55FC9953">
      <w:pPr>
        <w:ind w:firstLine="560"/>
      </w:pPr>
      <w:r>
        <w:rPr>
          <w:rFonts w:hint="eastAsia"/>
        </w:rPr>
        <w:t>3.需通过回测、覆盖率检验、损失函数等方法量化精度差异，验证基于收益分布的模型优于基准模型。</w:t>
      </w:r>
    </w:p>
    <w:p w14:paraId="5BA12685">
      <w:pPr>
        <w:ind w:firstLine="560"/>
      </w:pPr>
      <w:r>
        <w:rPr>
          <w:rFonts w:hint="eastAsia"/>
        </w:rPr>
        <w:t>4.目标是建立高效、可解释、鲁棒的风险预测方案，为多市场联动风险提供量化依据。</w:t>
      </w:r>
    </w:p>
    <w:p w14:paraId="790BB306">
      <w:r>
        <w:rPr>
          <w:rFonts w:hint="eastAsia"/>
        </w:rPr>
        <w:t>（2）解决思路</w:t>
      </w:r>
    </w:p>
    <w:p w14:paraId="0DF18CB3">
      <w:pPr>
        <w:ind w:firstLine="560"/>
      </w:pPr>
      <w:r>
        <w:rPr>
          <w:rFonts w:hint="eastAsia"/>
        </w:rPr>
        <w:t>1.量化风险指标：依托问题一所得分布特征，测算</w:t>
      </w:r>
      <w:r>
        <w:rPr>
          <w:rFonts w:hint="eastAsia"/>
          <w:i/>
          <w:iCs/>
        </w:rPr>
        <w:t>VaR、CVaR、</w:t>
      </w:r>
      <w:r>
        <w:rPr>
          <w:rFonts w:hint="eastAsia"/>
        </w:rPr>
        <w:t>下行波动率三类核心风险指标，刻画市场风险水平。</w:t>
      </w:r>
    </w:p>
    <w:p w14:paraId="06AF7371">
      <w:pPr>
        <w:ind w:firstLine="560"/>
      </w:pPr>
      <w:r>
        <w:rPr>
          <w:rFonts w:hint="eastAsia"/>
        </w:rPr>
        <w:t>2.搭建预测模型：以提取的分布特征为自变量，风险指标为因变量，构建专属风险预测模型。</w:t>
      </w:r>
    </w:p>
    <w:p w14:paraId="13EC634F">
      <w:pPr>
        <w:ind w:firstLine="560"/>
      </w:pPr>
      <w:r>
        <w:rPr>
          <w:rFonts w:hint="eastAsia"/>
        </w:rPr>
        <w:t>3.设立对照基准：选取</w:t>
      </w:r>
      <w:r>
        <w:rPr>
          <w:rFonts w:hint="eastAsia"/>
          <w:i/>
          <w:iCs/>
        </w:rPr>
        <w:t>ARMA、GARCH</w:t>
      </w:r>
      <w:r>
        <w:rPr>
          <w:rFonts w:hint="eastAsia"/>
        </w:rPr>
        <w:t>经典时序模型作为参照模型，采用相同样本区间开展同步预测。</w:t>
      </w:r>
    </w:p>
    <w:p w14:paraId="6EAA9C72">
      <w:pPr>
        <w:ind w:firstLine="560"/>
      </w:pPr>
      <w:r>
        <w:rPr>
          <w:rFonts w:hint="eastAsia"/>
        </w:rPr>
        <w:t>4.多维度精度校验：运用误差指标、风险覆盖率等评判标准，分别测算两类模型预测结果。</w:t>
      </w:r>
    </w:p>
    <w:p w14:paraId="0AC48800">
      <w:pPr>
        <w:ind w:firstLine="560"/>
      </w:pPr>
      <w:r>
        <w:rPr>
          <w:rFonts w:hint="eastAsia"/>
        </w:rPr>
        <w:t>5.横向对比分析：对比预测准确度、极端风险捕捉能力，分析基于收益分布模型的优势与不足。</w:t>
      </w:r>
    </w:p>
    <w:p w14:paraId="7FE6A38E">
      <w:r>
        <w:rPr>
          <w:rFonts w:hint="eastAsia"/>
          <w:b/>
          <w:bCs/>
        </w:rPr>
        <w:t>针对问题三</w:t>
      </w:r>
      <w:r>
        <w:rPr>
          <w:rFonts w:hint="eastAsia"/>
        </w:rPr>
        <w:t>：</w:t>
      </w:r>
    </w:p>
    <w:p w14:paraId="0A1FCE21">
      <w:pPr>
        <w:ind w:firstLine="560" w:firstLineChars="200"/>
      </w:pPr>
      <w:r>
        <w:rPr>
          <w:rFonts w:hint="eastAsia"/>
        </w:rPr>
        <w:t>本问题通过分析牛市，熊市，震荡市划分，识别不同市场状态下收益分布与风险特征的差异，开展敏感性分析并总结模型局限与改进方向，完成全流程稳健性检验。</w:t>
      </w:r>
    </w:p>
    <w:p w14:paraId="2D794866">
      <w:r>
        <w:rPr>
          <w:rFonts w:hint="eastAsia"/>
        </w:rPr>
        <w:t>（1）分析要点：</w:t>
      </w:r>
    </w:p>
    <w:p w14:paraId="20DB31F2">
      <w:pPr>
        <w:ind w:firstLine="560"/>
      </w:pPr>
      <w:r>
        <w:rPr>
          <w:rFonts w:hint="eastAsia"/>
        </w:rPr>
        <w:t>1.市场状态不同，收益分布形态、联动强度、风险水平显著不同，必须分阶段对比才能揭示真实规律。</w:t>
      </w:r>
    </w:p>
    <w:p w14:paraId="1417DB6F">
      <w:pPr>
        <w:ind w:firstLine="560"/>
      </w:pPr>
      <w:r>
        <w:rPr>
          <w:rFonts w:hint="eastAsia"/>
        </w:rPr>
        <w:t>2.敏感性分析用于检验窗口长度、权重方法、分布假设、模型参数变化对结果的影响，判断模型稳定性与适用边界。</w:t>
      </w:r>
    </w:p>
    <w:p w14:paraId="7249EA3B">
      <w:pPr>
        <w:ind w:firstLine="560"/>
      </w:pPr>
      <w:r>
        <w:rPr>
          <w:rFonts w:hint="eastAsia"/>
        </w:rPr>
        <w:t>3.需从数据、方法、假设等角度总结局限，提出更高频数据、时变权重、深度学习融合、动态</w:t>
      </w:r>
      <w:r>
        <w:rPr>
          <w:rFonts w:hint="eastAsia" w:cs="Times New Roman"/>
          <w:i/>
          <w:iCs/>
        </w:rPr>
        <w:t>copula</w:t>
      </w:r>
      <w:r>
        <w:rPr>
          <w:rFonts w:hint="eastAsia"/>
        </w:rPr>
        <w:t>等改进方向。</w:t>
      </w:r>
    </w:p>
    <w:p w14:paraId="2BB61344">
      <w:pPr>
        <w:ind w:firstLine="560"/>
      </w:pPr>
      <w:r>
        <w:rPr>
          <w:rFonts w:hint="eastAsia"/>
        </w:rPr>
        <w:t>4.最终形成完整结论：不同市场环境下的风险规律、模型可靠性、实践应用建议，提升研究价值与落地性。</w:t>
      </w:r>
    </w:p>
    <w:p w14:paraId="10A88805">
      <w:r>
        <w:rPr>
          <w:rFonts w:hint="eastAsia"/>
        </w:rPr>
        <w:t xml:space="preserve">（2）解题思路: </w:t>
      </w:r>
    </w:p>
    <w:p w14:paraId="54EB8EE5">
      <w:pPr>
        <w:ind w:firstLine="560"/>
      </w:pPr>
      <w:r>
        <w:rPr>
          <w:rFonts w:hint="eastAsia"/>
        </w:rPr>
        <w:t>1.行情阶段划分：依据涨跌幅度、波动幅度等判定标准，将全样本时段划分为牛市、熊市、震荡市三类市场状态。</w:t>
      </w:r>
    </w:p>
    <w:p w14:paraId="6BD5BE2E">
      <w:pPr>
        <w:ind w:firstLine="560"/>
      </w:pPr>
      <w:r>
        <w:rPr>
          <w:rFonts w:hint="eastAsia"/>
        </w:rPr>
        <w:t>2.分阶段差异对比：分别统计不同行情下收益分布形态、特征数值、风险指标的变化规律，剖析各阶段风险差异化特点。</w:t>
      </w:r>
    </w:p>
    <w:p w14:paraId="01EDE67F">
      <w:pPr>
        <w:ind w:firstLine="560"/>
      </w:pPr>
      <w:r>
        <w:rPr>
          <w:rFonts w:hint="eastAsia"/>
        </w:rPr>
        <w:t>3.开展敏感性分析：调整窗口长度、合成权重、置信水平等关键参数，观察参数变动对分布结果、预测效果的影响，判定模型稳定性。</w:t>
      </w:r>
    </w:p>
    <w:p w14:paraId="1EB04C50">
      <w:pPr>
        <w:ind w:firstLine="560"/>
      </w:pPr>
      <w:r>
        <w:rPr>
          <w:rFonts w:hint="eastAsia"/>
        </w:rPr>
        <w:t>4.梳理研究局限性：从数据选取、分布假设、模型架构等层面，归纳现有研究存在的短板。</w:t>
      </w:r>
    </w:p>
    <w:p w14:paraId="62E62C98">
      <w:pPr>
        <w:ind w:firstLine="560"/>
      </w:pPr>
      <w:r>
        <w:rPr>
          <w:rFonts w:hint="eastAsia"/>
        </w:rPr>
        <w:t>5.提出改进方向：结合分析结论，针对性给出参数优化、模型升级、维度拓展等可行优化思路。</w:t>
      </w:r>
    </w:p>
    <w:p w14:paraId="5E5697AA">
      <w:pPr>
        <w:pStyle w:val="3"/>
      </w:pPr>
      <w:r>
        <w:rPr>
          <w:rFonts w:cs="Times New Roman"/>
        </w:rPr>
        <w:t>3</w:t>
      </w:r>
      <w:r>
        <w:t>模型假设与符号说明</w:t>
      </w:r>
    </w:p>
    <w:p w14:paraId="76B05DFE">
      <w:pPr>
        <w:pStyle w:val="5"/>
      </w:pPr>
      <w:r>
        <w:rPr>
          <w:rFonts w:hint="eastAsia"/>
        </w:rPr>
        <w:t>3.1</w:t>
      </w:r>
      <w:r>
        <w:t>基本假设</w:t>
      </w:r>
    </w:p>
    <w:p w14:paraId="55EF3484">
      <w:pPr>
        <w:rPr>
          <w:b/>
          <w:bCs/>
        </w:rPr>
      </w:pPr>
      <w:r>
        <w:rPr>
          <w:rFonts w:hint="eastAsia"/>
          <w:b/>
          <w:bCs/>
        </w:rPr>
        <w:t>问题一的相关假设</w:t>
      </w:r>
    </w:p>
    <w:p w14:paraId="54BE9500">
      <w:r>
        <w:rPr>
          <w:rFonts w:hint="eastAsia"/>
        </w:rPr>
        <w:t>1.设定固定时长W作为滑动窗口，假定窗口周期内市场收益分布形态具备局部稳定性，短期内不会发生剧烈突变，可依托窗口样本拟合有效局部分布。</w:t>
      </w:r>
    </w:p>
    <w:p w14:paraId="2E67142B">
      <w:r>
        <w:rPr>
          <w:rFonts w:hint="eastAsia"/>
        </w:rPr>
        <w:t>2.各市场收益数据真实有效，不存在系统性造假、异常错漏值，数据能够客观反映市场实际交易与收益波动情况。</w:t>
      </w:r>
    </w:p>
    <w:p w14:paraId="437D7011">
      <w:r>
        <w:rPr>
          <w:rFonts w:hint="eastAsia"/>
        </w:rPr>
        <w:t>3.加权法、重心法具备合理性，多市场局部分布按照既定规则融合后，得到的综合分布可以有效表征整体市场收益规律。</w:t>
      </w:r>
    </w:p>
    <w:p w14:paraId="601EFE55">
      <w:r>
        <w:rPr>
          <w:rFonts w:hint="eastAsia"/>
        </w:rPr>
        <w:t>4.均值、方差、偏度、峰度、分位数等统计特征，能够全面刻画收益分布的核心形态与风险属性。</w:t>
      </w:r>
    </w:p>
    <w:p w14:paraId="1F0E686D">
      <w:pPr>
        <w:rPr>
          <w:b/>
          <w:bCs/>
        </w:rPr>
      </w:pPr>
      <w:r>
        <w:rPr>
          <w:rFonts w:hint="eastAsia"/>
          <w:b/>
          <w:bCs/>
        </w:rPr>
        <w:t>问题二的相关假设</w:t>
      </w:r>
    </w:p>
    <w:p w14:paraId="06C8EB74">
      <w:r>
        <w:rPr>
          <w:rFonts w:hint="eastAsia"/>
        </w:rPr>
        <w:t>1.</w:t>
      </w:r>
      <w:r>
        <w:rPr>
          <w:rFonts w:hint="eastAsia"/>
          <w:i/>
          <w:iCs/>
        </w:rPr>
        <w:t>VaR、CVaR、</w:t>
      </w:r>
      <w:r>
        <w:rPr>
          <w:rFonts w:hint="eastAsia"/>
        </w:rPr>
        <w:t>下行波动率可作为衡量市场风险的核心指标，指标数值变化能够真实对应风险等级的升降。</w:t>
      </w:r>
    </w:p>
    <w:p w14:paraId="64FD6A0D">
      <w:r>
        <w:rPr>
          <w:rFonts w:hint="eastAsia"/>
        </w:rPr>
        <w:t>2.收益分布提取的各项特征与市场风险水平存在内在关联，特征变量可以作为有效因子构建预测模型。</w:t>
      </w:r>
    </w:p>
    <w:p w14:paraId="68DA554E">
      <w:r>
        <w:rPr>
          <w:rFonts w:hint="eastAsia"/>
        </w:rPr>
        <w:t>3.</w:t>
      </w:r>
      <w:r>
        <w:rPr>
          <w:rFonts w:hint="eastAsia"/>
          <w:i/>
          <w:iCs/>
        </w:rPr>
        <w:t>ARMA、GARCH</w:t>
      </w:r>
      <w:r>
        <w:rPr>
          <w:rFonts w:hint="eastAsia"/>
        </w:rPr>
        <w:t>模型可作为通用基准参照模型，其预测效果具备行业公认参考价值，能够用来评判新模型优劣。</w:t>
      </w:r>
    </w:p>
    <w:p w14:paraId="076DC61A">
      <w:r>
        <w:rPr>
          <w:rFonts w:hint="eastAsia"/>
        </w:rPr>
        <w:t>4.模型预测期间市场无突发政策性、黑天鹅类极端冲击，整体交易规则、市场运行机制保持不变。</w:t>
      </w:r>
    </w:p>
    <w:p w14:paraId="7EB61977">
      <w:pPr>
        <w:rPr>
          <w:b/>
          <w:bCs/>
        </w:rPr>
      </w:pPr>
      <w:r>
        <w:rPr>
          <w:rFonts w:hint="eastAsia"/>
          <w:b/>
          <w:bCs/>
        </w:rPr>
        <w:t>问题三的相关假设</w:t>
      </w:r>
    </w:p>
    <w:p w14:paraId="2AFBF5E6">
      <w:r>
        <w:rPr>
          <w:rFonts w:hint="eastAsia"/>
        </w:rPr>
        <w:t>1.依据通用划分标准，可以清晰区分牛市，熊市，震荡市三种市场状态，阶段边界划分具备科学性与区分度。</w:t>
      </w:r>
    </w:p>
    <w:p w14:paraId="1F154236">
      <w:r>
        <w:rPr>
          <w:rFonts w:hint="eastAsia"/>
        </w:rPr>
        <w:t>2.不同市场行情阶段，收益分布结构、风险传导逻辑存在显著差异性，分阶段分析能够挖掘差异化风险规律。</w:t>
      </w:r>
    </w:p>
    <w:p w14:paraId="0D99DA4D">
      <w:r>
        <w:rPr>
          <w:rFonts w:hint="eastAsia"/>
        </w:rPr>
        <w:t>3.调整窗口长度、权重配比、模型参数等变量时，参数变动仅影响结果数值，不会彻底颠覆整体分布与风险变化趋势。</w:t>
      </w:r>
    </w:p>
    <w:p w14:paraId="0DEC19D7">
      <w:r>
        <w:rPr>
          <w:rFonts w:hint="eastAsia"/>
        </w:rPr>
        <w:t>4.现有建模框架具备基础适用性，仅存在优化空间，不存在原理性缺陷，可通过调整方法、扩充维度实现模型改进。</w:t>
      </w:r>
    </w:p>
    <w:p w14:paraId="045B9FA6">
      <w:pPr>
        <w:pStyle w:val="5"/>
      </w:pPr>
      <w:r>
        <w:rPr>
          <w:rFonts w:hint="eastAsia"/>
        </w:rPr>
        <w:t>3.2 符号说明</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4955B4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4148" w:type="dxa"/>
            <w:tcBorders>
              <w:bottom w:val="single" w:color="auto" w:sz="6" w:space="0"/>
            </w:tcBorders>
          </w:tcPr>
          <w:p w14:paraId="59AEC5DF">
            <w:r>
              <w:rPr>
                <w:rFonts w:hint="eastAsia"/>
              </w:rPr>
              <w:t>t</w:t>
            </w:r>
          </w:p>
        </w:tc>
        <w:tc>
          <w:tcPr>
            <w:tcW w:w="4148" w:type="dxa"/>
            <w:tcBorders>
              <w:bottom w:val="single" w:color="auto" w:sz="6" w:space="0"/>
            </w:tcBorders>
          </w:tcPr>
          <w:p w14:paraId="20E9EDD4">
            <w:r>
              <w:rPr>
                <w:rFonts w:hint="eastAsia"/>
              </w:rPr>
              <w:t>时间序号，</w:t>
            </w:r>
            <w:r>
              <w:rPr>
                <w:position w:val="-10"/>
              </w:rPr>
              <w:object>
                <v:shape id="_x0000_i1037" o:spt="75" type="#_x0000_t75" style="height:15.8pt;width:57.8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rPr>
              <w:t>，代表第t个交易日</w:t>
            </w:r>
          </w:p>
        </w:tc>
      </w:tr>
      <w:tr w14:paraId="7593D1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single" w:color="auto" w:sz="6" w:space="0"/>
            </w:tcBorders>
          </w:tcPr>
          <w:p w14:paraId="77F9C40C">
            <w:r>
              <w:rPr>
                <w:rFonts w:hint="eastAsia"/>
              </w:rPr>
              <w:t>W</w:t>
            </w:r>
          </w:p>
        </w:tc>
        <w:tc>
          <w:tcPr>
            <w:tcW w:w="4148" w:type="dxa"/>
            <w:tcBorders>
              <w:top w:val="single" w:color="auto" w:sz="6" w:space="0"/>
            </w:tcBorders>
          </w:tcPr>
          <w:p w14:paraId="43E2F9BE">
            <w:r>
              <w:rPr>
                <w:rFonts w:hint="eastAsia"/>
              </w:rPr>
              <w:t>滑动窗口长度（天），用于构建局部收益分布的滚动样本窗口</w:t>
            </w:r>
          </w:p>
        </w:tc>
      </w:tr>
      <w:tr w14:paraId="60BAE5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2E2A9E3">
            <w:r>
              <w:rPr>
                <w:rFonts w:hint="eastAsia"/>
              </w:rPr>
              <w:t>i</w:t>
            </w:r>
          </w:p>
        </w:tc>
        <w:tc>
          <w:tcPr>
            <w:tcW w:w="4148" w:type="dxa"/>
          </w:tcPr>
          <w:p w14:paraId="0C9C3C1D">
            <w:r>
              <w:rPr>
                <w:rFonts w:hint="eastAsia"/>
              </w:rPr>
              <w:t>市场序号，</w:t>
            </w:r>
            <w:r>
              <w:rPr>
                <w:position w:val="-10"/>
              </w:rPr>
              <w:object>
                <v:shape id="_x0000_i1038" o:spt="75" type="#_x0000_t75" style="height:15.8pt;width:60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rPr>
              <w:t>，代表第i个金融市场</w:t>
            </w:r>
            <w:r>
              <w:t xml:space="preserve"> </w:t>
            </w:r>
          </w:p>
        </w:tc>
      </w:tr>
      <w:tr w14:paraId="2F6ADF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7D00459C">
            <w:r>
              <w:rPr>
                <w:position w:val="-14"/>
              </w:rPr>
              <w:object>
                <v:shape id="_x0000_i1039" o:spt="75" type="#_x0000_t75" style="height:19.1pt;width:14.2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p>
        </w:tc>
        <w:tc>
          <w:tcPr>
            <w:tcW w:w="4148" w:type="dxa"/>
          </w:tcPr>
          <w:p w14:paraId="0E7B68A9">
            <w:r>
              <w:rPr>
                <w:rFonts w:hint="eastAsia"/>
              </w:rPr>
              <w:t xml:space="preserve">第i个市场在第t日的对数收益率 </w:t>
            </w:r>
            <w:r>
              <w:rPr>
                <w:rFonts w:hint="eastAsia"/>
                <w:position w:val="-16"/>
              </w:rPr>
              <w:object>
                <v:shape id="_x0000_i1040" o:spt="75" type="#_x0000_t75" style="height:21.8pt;width:111.8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p>
        </w:tc>
      </w:tr>
      <w:tr w14:paraId="1AA5EC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21E7533">
            <w:bookmarkStart w:id="0" w:name="OLE_LINK1"/>
            <w:r>
              <w:rPr>
                <w:position w:val="-14"/>
              </w:rPr>
              <w:object>
                <v:shape id="_x0000_i1041" o:spt="75" type="#_x0000_t75" style="height:19.1pt;width:15.8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bookmarkEnd w:id="0"/>
          </w:p>
        </w:tc>
        <w:tc>
          <w:tcPr>
            <w:tcW w:w="4148" w:type="dxa"/>
          </w:tcPr>
          <w:p w14:paraId="5582EC09">
            <w:r>
              <w:rPr>
                <w:rFonts w:hint="eastAsia"/>
              </w:rPr>
              <w:t>第i个市场第t日的收盘价格</w:t>
            </w:r>
            <w:r>
              <w:t xml:space="preserve"> </w:t>
            </w:r>
          </w:p>
        </w:tc>
      </w:tr>
      <w:tr w14:paraId="61AC8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A62BBE3">
            <w:r>
              <w:rPr>
                <w:rFonts w:hint="eastAsia"/>
                <w:position w:val="-14"/>
              </w:rPr>
              <w:object>
                <v:shape id="_x0000_i1042" o:spt="75" type="#_x0000_t75" style="height:21.25pt;width:42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p>
        </w:tc>
        <w:tc>
          <w:tcPr>
            <w:tcW w:w="4148" w:type="dxa"/>
          </w:tcPr>
          <w:p w14:paraId="68CED41F">
            <w:r>
              <w:rPr>
                <w:rFonts w:hint="eastAsia"/>
              </w:rPr>
              <w:t>第i个市场在时刻t、窗口长度为W的局部收益概率密度函数</w:t>
            </w:r>
          </w:p>
        </w:tc>
      </w:tr>
      <w:tr w14:paraId="61B0DB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3FFF92B">
            <w:r>
              <w:rPr>
                <w:rFonts w:hint="eastAsia"/>
                <w:position w:val="-14"/>
              </w:rPr>
              <w:object>
                <v:shape id="_x0000_i1043" o:spt="75" type="#_x0000_t75" style="height:21.25pt;width:43.1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p>
        </w:tc>
        <w:tc>
          <w:tcPr>
            <w:tcW w:w="4148" w:type="dxa"/>
          </w:tcPr>
          <w:p w14:paraId="7E06B092">
            <w:r>
              <w:rPr>
                <w:rFonts w:hint="eastAsia"/>
              </w:rPr>
              <w:t>第i个市场在时刻t、窗口长度为W的局部收益累积分布函数</w:t>
            </w:r>
            <w:r>
              <w:t xml:space="preserve"> </w:t>
            </w:r>
          </w:p>
        </w:tc>
      </w:tr>
      <w:tr w14:paraId="746162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8F316DA">
            <w:bookmarkStart w:id="1" w:name="OLE_LINK2"/>
            <w:r>
              <w:rPr>
                <w:position w:val="-14"/>
              </w:rPr>
              <w:object>
                <v:shape id="_x0000_i1044" o:spt="75" type="#_x0000_t75" style="height:19.1pt;width:18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bookmarkEnd w:id="1"/>
          </w:p>
        </w:tc>
        <w:tc>
          <w:tcPr>
            <w:tcW w:w="4148" w:type="dxa"/>
          </w:tcPr>
          <w:p w14:paraId="00C082AA">
            <w:r>
              <w:rPr>
                <w:rFonts w:hint="eastAsia"/>
              </w:rPr>
              <w:t>第i个市场在时刻t的合成权重，满足</w:t>
            </w:r>
            <w:r>
              <w:rPr>
                <w:position w:val="-28"/>
              </w:rPr>
              <w:object>
                <v:shape id="_x0000_i1045" o:spt="75" type="#_x0000_t75" style="height:33.8pt;width:49.1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p>
        </w:tc>
      </w:tr>
      <w:tr w14:paraId="506E5F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4148" w:type="dxa"/>
          </w:tcPr>
          <w:p w14:paraId="5710027D">
            <w:r>
              <w:rPr>
                <w:position w:val="-14"/>
              </w:rPr>
              <w:object>
                <v:shape id="_x0000_i1046" o:spt="75" type="#_x0000_t75" style="height:20.2pt;width:30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p>
        </w:tc>
        <w:tc>
          <w:tcPr>
            <w:tcW w:w="4148" w:type="dxa"/>
          </w:tcPr>
          <w:p w14:paraId="1C3C4D4E">
            <w:r>
              <w:rPr>
                <w:rFonts w:hint="eastAsia"/>
              </w:rPr>
              <w:t>时刻t由多市场局部分布经加权/重心法合成的综合收益概率密度函数</w:t>
            </w:r>
          </w:p>
        </w:tc>
      </w:tr>
      <w:tr w14:paraId="4D1DE2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54A44F8">
            <w:r>
              <w:rPr>
                <w:position w:val="-14"/>
              </w:rPr>
              <w:object>
                <v:shape id="_x0000_i1047" o:spt="75" type="#_x0000_t75" style="height:20.2pt;width:31.1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p>
        </w:tc>
        <w:tc>
          <w:tcPr>
            <w:tcW w:w="4148" w:type="dxa"/>
          </w:tcPr>
          <w:p w14:paraId="7D44A293">
            <w:r>
              <w:rPr>
                <w:rFonts w:hint="eastAsia"/>
              </w:rPr>
              <w:t>时刻t的综合收益累积分布函数</w:t>
            </w:r>
          </w:p>
        </w:tc>
      </w:tr>
      <w:tr w14:paraId="760647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E8187C4">
            <w:r>
              <w:rPr>
                <w:position w:val="-12"/>
              </w:rPr>
              <w:object>
                <v:shape id="_x0000_i1048" o:spt="75" type="#_x0000_t75" style="height:18pt;width:14.2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p>
        </w:tc>
        <w:tc>
          <w:tcPr>
            <w:tcW w:w="4148" w:type="dxa"/>
          </w:tcPr>
          <w:p w14:paraId="1A42215A">
            <w:r>
              <w:rPr>
                <w:rFonts w:hint="eastAsia"/>
              </w:rPr>
              <w:t>时刻t综合收益分布的均值</w:t>
            </w:r>
          </w:p>
        </w:tc>
      </w:tr>
      <w:tr w14:paraId="4BCE84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9F39522">
            <w:r>
              <w:rPr>
                <w:position w:val="-12"/>
              </w:rPr>
              <w:object>
                <v:shape id="_x0000_i1049" o:spt="75" type="#_x0000_t75" style="height:19.1pt;width:15.8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p>
        </w:tc>
        <w:tc>
          <w:tcPr>
            <w:tcW w:w="4148" w:type="dxa"/>
          </w:tcPr>
          <w:p w14:paraId="40AD1A16">
            <w:r>
              <w:rPr>
                <w:rFonts w:hint="eastAsia"/>
              </w:rPr>
              <w:t>时刻t综合收益分布的方差</w:t>
            </w:r>
          </w:p>
        </w:tc>
      </w:tr>
      <w:tr w14:paraId="08C716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CC0D949">
            <w:r>
              <w:rPr>
                <w:position w:val="-12"/>
              </w:rPr>
              <w:object>
                <v:shape id="_x0000_i1050" o:spt="75" type="#_x0000_t75" style="height:18pt;width:7.1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p>
        </w:tc>
        <w:tc>
          <w:tcPr>
            <w:tcW w:w="4148" w:type="dxa"/>
          </w:tcPr>
          <w:p w14:paraId="1D5CB637">
            <w:r>
              <w:rPr>
                <w:rFonts w:hint="eastAsia"/>
              </w:rPr>
              <w:t>时刻t综合收益分布的偏度</w:t>
            </w:r>
          </w:p>
        </w:tc>
      </w:tr>
      <w:tr w14:paraId="7C310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8BCC0C2">
            <w:r>
              <w:rPr>
                <w:position w:val="-12"/>
              </w:rPr>
              <w:object>
                <v:shape id="_x0000_i1051" o:spt="75" type="#_x0000_t75" style="height:18pt;width:8.2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p>
        </w:tc>
        <w:tc>
          <w:tcPr>
            <w:tcW w:w="4148" w:type="dxa"/>
          </w:tcPr>
          <w:p w14:paraId="5C3BC63D">
            <w:r>
              <w:rPr>
                <w:rFonts w:hint="eastAsia"/>
              </w:rPr>
              <w:t>时刻t综合收益分布的峰度</w:t>
            </w:r>
          </w:p>
        </w:tc>
      </w:tr>
      <w:tr w14:paraId="2F6689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7F80C3A3">
            <w:r>
              <w:rPr>
                <w:position w:val="-14"/>
              </w:rPr>
              <w:object>
                <v:shape id="_x0000_i1052" o:spt="75" type="#_x0000_t75" style="height:19.1pt;width:19.1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p>
        </w:tc>
        <w:tc>
          <w:tcPr>
            <w:tcW w:w="4148" w:type="dxa"/>
          </w:tcPr>
          <w:p w14:paraId="09DE476B">
            <w:r>
              <w:rPr>
                <w:rFonts w:hint="eastAsia"/>
              </w:rPr>
              <w:t>时刻</w:t>
            </w:r>
            <w:r>
              <w:rPr>
                <w:rFonts w:hint="eastAsia"/>
                <w:iCs/>
              </w:rPr>
              <w:t>t</w:t>
            </w:r>
            <w:r>
              <w:rPr>
                <w:rFonts w:hint="eastAsia"/>
              </w:rPr>
              <w:t>综合收益分布下置信水平</w:t>
            </w:r>
            <w:bookmarkStart w:id="2" w:name="OLE_LINK3"/>
            <w:r>
              <w:rPr>
                <w:position w:val="-6"/>
              </w:rPr>
              <w:object>
                <v:shape id="_x0000_i1053" o:spt="75" type="#_x0000_t75" style="height:10.9pt;width:12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bookmarkEnd w:id="2"/>
            <w:r>
              <w:rPr>
                <w:rFonts w:hint="eastAsia"/>
              </w:rPr>
              <w:t>对应的分位数</w:t>
            </w:r>
          </w:p>
        </w:tc>
      </w:tr>
      <w:tr w14:paraId="739F2E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BB3AF63">
            <w:r>
              <w:rPr>
                <w:kern w:val="0"/>
                <w:position w:val="-6"/>
              </w:rPr>
              <w:object>
                <v:shape id="_x0000_i1054" o:spt="75" type="#_x0000_t75" style="height:10.9pt;width:12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2">
                  <o:LockedField>false</o:LockedField>
                </o:OLEObject>
              </w:object>
            </w:r>
          </w:p>
        </w:tc>
        <w:tc>
          <w:tcPr>
            <w:tcW w:w="4148" w:type="dxa"/>
          </w:tcPr>
          <w:p w14:paraId="075C1BB2">
            <w:r>
              <w:rPr>
                <w:rFonts w:hint="eastAsia"/>
              </w:rPr>
              <w:t>风险置信水平（如0.95、0.99）</w:t>
            </w:r>
          </w:p>
        </w:tc>
      </w:tr>
      <w:tr w14:paraId="4E537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CB52BB1">
            <w:pPr>
              <w:tabs>
                <w:tab w:val="center" w:pos="1970"/>
                <w:tab w:val="right" w:pos="3940"/>
              </w:tabs>
            </w:pPr>
            <w:bookmarkStart w:id="3" w:name="OLE_LINK4"/>
            <w:r>
              <w:rPr>
                <w:position w:val="-14"/>
              </w:rPr>
              <w:object>
                <v:shape id="_x0000_i1055" o:spt="75" type="#_x0000_t75" style="height:19.1pt;width:32.2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bookmarkEnd w:id="3"/>
          </w:p>
        </w:tc>
        <w:tc>
          <w:tcPr>
            <w:tcW w:w="4148" w:type="dxa"/>
          </w:tcPr>
          <w:p w14:paraId="0D59EFDC">
            <w:r>
              <w:rPr>
                <w:rFonts w:hint="eastAsia"/>
              </w:rPr>
              <w:t>时刻t置信水平</w:t>
            </w:r>
            <w:r>
              <w:rPr>
                <w:kern w:val="0"/>
                <w:position w:val="-6"/>
              </w:rPr>
              <w:object>
                <v:shape id="_x0000_i1056" o:spt="75" type="#_x0000_t75" style="height:10.9pt;width:12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5">
                  <o:LockedField>false</o:LockedField>
                </o:OLEObject>
              </w:object>
            </w:r>
            <w:r>
              <w:rPr>
                <w:rFonts w:hint="eastAsia"/>
              </w:rPr>
              <w:t>下的风险价值</w:t>
            </w:r>
          </w:p>
        </w:tc>
      </w:tr>
      <w:tr w14:paraId="4AC97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729B1271">
            <w:r>
              <w:rPr>
                <w:position w:val="-14"/>
              </w:rPr>
              <w:object>
                <v:shape id="_x0000_i1057" o:spt="75" type="#_x0000_t75" style="height:19.1pt;width:40.9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p>
        </w:tc>
        <w:tc>
          <w:tcPr>
            <w:tcW w:w="4148" w:type="dxa"/>
          </w:tcPr>
          <w:p w14:paraId="421F6DF0">
            <w:r>
              <w:rPr>
                <w:rFonts w:hint="eastAsia"/>
              </w:rPr>
              <w:t>时刻t置信水平</w:t>
            </w:r>
            <w:r>
              <w:rPr>
                <w:kern w:val="0"/>
                <w:position w:val="-6"/>
              </w:rPr>
              <w:object>
                <v:shape id="_x0000_i1058" o:spt="75" type="#_x0000_t75" style="height:10.9pt;width:12pt;" o:ole="t" filled="f" o:preferrelative="t" stroked="f" coordsize="21600,21600">
                  <v:path/>
                  <v:fill on="f" focussize="0,0"/>
                  <v:stroke on="f" joinstyle="miter"/>
                  <v:imagedata r:id="rId61" o:title=""/>
                  <o:lock v:ext="edit" aspectratio="t"/>
                  <w10:wrap type="none"/>
                  <w10:anchorlock/>
                </v:shape>
                <o:OLEObject Type="Embed" ProgID="Equation.DSMT4" ShapeID="_x0000_i1058" DrawAspect="Content" ObjectID="_1468075758" r:id="rId68">
                  <o:LockedField>false</o:LockedField>
                </o:OLEObject>
              </w:object>
            </w:r>
            <w:r>
              <w:rPr>
                <w:rFonts w:hint="eastAsia"/>
              </w:rPr>
              <w:t>下的条件风险价值（ES）</w:t>
            </w:r>
          </w:p>
        </w:tc>
      </w:tr>
      <w:tr w14:paraId="3D906B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2E06486C">
            <w:r>
              <w:rPr>
                <w:position w:val="-12"/>
              </w:rPr>
              <w:object>
                <v:shape id="_x0000_i1059" o:spt="75" type="#_x0000_t75" style="height:18pt;width:32.2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p>
        </w:tc>
        <w:tc>
          <w:tcPr>
            <w:tcW w:w="4148" w:type="dxa"/>
          </w:tcPr>
          <w:p w14:paraId="42151341">
            <w:r>
              <w:rPr>
                <w:rFonts w:hint="eastAsia"/>
              </w:rPr>
              <w:t>时刻t的下行波动率，刻画单边下行风险</w:t>
            </w:r>
          </w:p>
        </w:tc>
      </w:tr>
      <w:tr w14:paraId="39F25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8677B4E">
            <w:r>
              <w:rPr>
                <w:position w:val="-12"/>
              </w:rPr>
              <w:object>
                <v:shape id="_x0000_i1060" o:spt="75" type="#_x0000_t75" style="height:18pt;width:18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p>
        </w:tc>
        <w:tc>
          <w:tcPr>
            <w:tcW w:w="4148" w:type="dxa"/>
          </w:tcPr>
          <w:p w14:paraId="64F25845">
            <w:r>
              <w:rPr>
                <w:rFonts w:hint="eastAsia"/>
              </w:rPr>
              <w:t>时刻t的市场状态指示变量</w:t>
            </w:r>
          </w:p>
          <w:p w14:paraId="40312F59">
            <w:r>
              <w:rPr>
                <w:position w:val="-52"/>
              </w:rPr>
              <w:object>
                <v:shape id="_x0000_i1061" o:spt="75" type="#_x0000_t75" style="height:57.8pt;width:88.9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p>
        </w:tc>
      </w:tr>
      <w:tr w14:paraId="5AF465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206085A1">
            <w:r>
              <w:rPr>
                <w:position w:val="-12"/>
              </w:rPr>
              <w:object>
                <v:shape id="_x0000_i1062" o:spt="75" type="#_x0000_t75" style="height:18pt;width:33.8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p>
        </w:tc>
        <w:tc>
          <w:tcPr>
            <w:tcW w:w="4148" w:type="dxa"/>
          </w:tcPr>
          <w:p w14:paraId="31F33992">
            <w:r>
              <w:rPr>
                <w:rFonts w:hint="eastAsia"/>
              </w:rPr>
              <w:t>ARMA基准预测模型</w:t>
            </w:r>
          </w:p>
        </w:tc>
      </w:tr>
      <w:tr w14:paraId="1CDC37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6CF3ADBD">
            <w:r>
              <w:rPr>
                <w:position w:val="-12"/>
              </w:rPr>
              <w:object>
                <v:shape id="_x0000_i1063" o:spt="75" type="#_x0000_t75" style="height:18pt;width:39.25pt;" o:ole="t" filled="f" o:preferrelative="t" stroked="f" coordsize="21600,21600">
                  <v:path/>
                  <v:fill on="f" focussize="0,0"/>
                  <v:stroke on="f" joinstyle="miter"/>
                  <v:imagedata r:id="rId78" o:title=""/>
                  <o:lock v:ext="edit" aspectratio="t"/>
                  <w10:wrap type="none"/>
                  <w10:anchorlock/>
                </v:shape>
                <o:OLEObject Type="Embed" ProgID="Equation.DSMT4" ShapeID="_x0000_i1063" DrawAspect="Content" ObjectID="_1468075763" r:id="rId77">
                  <o:LockedField>false</o:LockedField>
                </o:OLEObject>
              </w:object>
            </w:r>
          </w:p>
        </w:tc>
        <w:tc>
          <w:tcPr>
            <w:tcW w:w="4148" w:type="dxa"/>
          </w:tcPr>
          <w:p w14:paraId="5B5D142F">
            <w:r>
              <w:rPr>
                <w:rFonts w:hint="eastAsia"/>
              </w:rPr>
              <w:t>GARCH基准预测模型</w:t>
            </w:r>
          </w:p>
        </w:tc>
      </w:tr>
      <w:tr w14:paraId="2AED80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75950D0">
            <w:r>
              <w:rPr>
                <w:kern w:val="0"/>
                <w:position w:val="-12"/>
              </w:rPr>
              <w:object>
                <v:shape id="_x0000_i1064" o:spt="75" type="#_x0000_t75" style="height:18pt;width:27.8pt;" o:ole="t" filled="f" o:preferrelative="t" stroked="f" coordsize="21600,21600">
                  <v:path/>
                  <v:fill on="f" focussize="0,0"/>
                  <v:stroke on="f" joinstyle="miter"/>
                  <v:imagedata r:id="rId80" o:title=""/>
                  <o:lock v:ext="edit" aspectratio="t"/>
                  <w10:wrap type="none"/>
                  <w10:anchorlock/>
                </v:shape>
                <o:OLEObject Type="Embed" ProgID="Equation.DSMT4" ShapeID="_x0000_i1064" DrawAspect="Content" ObjectID="_1468075764" r:id="rId79">
                  <o:LockedField>false</o:LockedField>
                </o:OLEObject>
              </w:object>
            </w:r>
          </w:p>
        </w:tc>
        <w:tc>
          <w:tcPr>
            <w:tcW w:w="4148" w:type="dxa"/>
          </w:tcPr>
          <w:p w14:paraId="487E28BC">
            <w:r>
              <w:rPr>
                <w:rFonts w:hint="eastAsia"/>
              </w:rPr>
              <w:t>基于综合收益分布特征构建的风险预测模型</w:t>
            </w:r>
          </w:p>
        </w:tc>
      </w:tr>
      <w:tr w14:paraId="405946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74701D88">
            <w:pPr>
              <w:tabs>
                <w:tab w:val="center" w:pos="1970"/>
                <w:tab w:val="right" w:pos="3940"/>
              </w:tabs>
            </w:pPr>
            <w:bookmarkStart w:id="4" w:name="OLE_LINK5"/>
            <w:r>
              <w:rPr>
                <w:position w:val="-14"/>
              </w:rPr>
              <w:object>
                <v:shape id="_x0000_i1065" o:spt="75" type="#_x0000_t75" style="height:20.2pt;width:24pt;" o:ole="t" filled="f" o:preferrelative="t" stroked="f" coordsize="21600,21600">
                  <v:path/>
                  <v:fill on="f" focussize="0,0"/>
                  <v:stroke on="f" joinstyle="miter"/>
                  <v:imagedata r:id="rId82" o:title=""/>
                  <o:lock v:ext="edit" aspectratio="t"/>
                  <w10:wrap type="none"/>
                  <w10:anchorlock/>
                </v:shape>
                <o:OLEObject Type="Embed" ProgID="Equation.DSMT4" ShapeID="_x0000_i1065" DrawAspect="Content" ObjectID="_1468075765" r:id="rId81">
                  <o:LockedField>false</o:LockedField>
                </o:OLEObject>
              </w:object>
            </w:r>
            <w:bookmarkEnd w:id="4"/>
          </w:p>
        </w:tc>
        <w:tc>
          <w:tcPr>
            <w:tcW w:w="4148" w:type="dxa"/>
          </w:tcPr>
          <w:p w14:paraId="0C29F2EE">
            <w:r>
              <w:rPr>
                <w:rFonts w:hint="eastAsia"/>
              </w:rPr>
              <w:t>模型损失函数，用于衡量预测误差与模型精度</w:t>
            </w:r>
          </w:p>
        </w:tc>
      </w:tr>
      <w:tr w14:paraId="13C79E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4148" w:type="dxa"/>
          </w:tcPr>
          <w:p w14:paraId="3BE496F7">
            <w:r>
              <w:rPr>
                <w:position w:val="-14"/>
              </w:rPr>
              <w:object>
                <v:shape id="_x0000_i1066" o:spt="75" type="#_x0000_t75" style="height:20.2pt;width:36pt;" o:ole="t" filled="f" o:preferrelative="t" stroked="f" coordsize="21600,21600">
                  <v:path/>
                  <v:fill on="f" focussize="0,0"/>
                  <v:stroke on="f" joinstyle="miter"/>
                  <v:imagedata r:id="rId84" o:title=""/>
                  <o:lock v:ext="edit" aspectratio="t"/>
                  <w10:wrap type="none"/>
                  <w10:anchorlock/>
                </v:shape>
                <o:OLEObject Type="Embed" ProgID="Equation.DSMT4" ShapeID="_x0000_i1066" DrawAspect="Content" ObjectID="_1468075766" r:id="rId83">
                  <o:LockedField>false</o:LockedField>
                </o:OLEObject>
              </w:object>
            </w:r>
          </w:p>
        </w:tc>
        <w:tc>
          <w:tcPr>
            <w:tcW w:w="4148" w:type="dxa"/>
          </w:tcPr>
          <w:p w14:paraId="4B804AEF">
            <w:r>
              <w:rPr>
                <w:rFonts w:hint="eastAsia"/>
              </w:rPr>
              <w:t>预测精度评价指标（覆盖率、绝对误差、相对误差等）</w:t>
            </w:r>
          </w:p>
        </w:tc>
      </w:tr>
    </w:tbl>
    <w:p w14:paraId="747A23DE"/>
    <w:p w14:paraId="3A6764BF">
      <w:pPr>
        <w:pStyle w:val="3"/>
      </w:pPr>
      <w:r>
        <w:t>4数据</w:t>
      </w:r>
      <w:r>
        <w:rPr>
          <w:rStyle w:val="23"/>
        </w:rPr>
        <w:t>获取</w:t>
      </w:r>
      <w:r>
        <w:t>与预处理</w:t>
      </w:r>
    </w:p>
    <w:p w14:paraId="2B90D8D7">
      <w:pPr>
        <w:pStyle w:val="4"/>
      </w:pPr>
      <w:r>
        <w:t>4.1数据来源与获取时间</w:t>
      </w:r>
    </w:p>
    <w:p w14:paraId="6EDB87B2">
      <w:pPr>
        <w:keepNext/>
        <w:keepLines/>
        <w:spacing w:before="80" w:after="40"/>
        <w:outlineLvl w:val="4"/>
        <w:rPr>
          <w:rFonts w:cstheme="majorBidi"/>
          <w:b/>
          <w:szCs w:val="24"/>
        </w:rPr>
      </w:pPr>
      <w:r>
        <w:rPr>
          <w:rFonts w:cstheme="majorBidi"/>
          <w:b/>
          <w:szCs w:val="24"/>
        </w:rPr>
        <w:t>4.1.1市场选择逻辑与来源</w:t>
      </w:r>
    </w:p>
    <w:p w14:paraId="76F19E76">
      <w:pPr>
        <w:ind w:firstLine="560" w:firstLineChars="200"/>
      </w:pPr>
      <w:r>
        <w:t>选取3个横跨不同资产类别的核心市场，覆盖股票、汇率、大宗商品三大领域，构成多市场联动分析的基础：</w:t>
      </w:r>
    </w:p>
    <w:tbl>
      <w:tblPr>
        <w:tblStyle w:val="18"/>
        <w:tblW w:w="8926"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9"/>
        <w:gridCol w:w="1450"/>
        <w:gridCol w:w="1480"/>
        <w:gridCol w:w="1496"/>
        <w:gridCol w:w="2268"/>
        <w:gridCol w:w="1413"/>
      </w:tblGrid>
      <w:tr w14:paraId="13260A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4" w:hRule="atLeast"/>
        </w:trPr>
        <w:tc>
          <w:tcPr>
            <w:tcW w:w="819" w:type="dxa"/>
            <w:tcBorders>
              <w:bottom w:val="single" w:color="auto" w:sz="6" w:space="0"/>
            </w:tcBorders>
            <w:vAlign w:val="center"/>
          </w:tcPr>
          <w:p w14:paraId="2E591D2A">
            <w:pPr>
              <w:spacing w:line="240" w:lineRule="auto"/>
              <w:jc w:val="center"/>
            </w:pPr>
            <w:r>
              <w:t>编号</w:t>
            </w:r>
          </w:p>
        </w:tc>
        <w:tc>
          <w:tcPr>
            <w:tcW w:w="1450" w:type="dxa"/>
            <w:tcBorders>
              <w:bottom w:val="single" w:color="auto" w:sz="6" w:space="0"/>
            </w:tcBorders>
            <w:vAlign w:val="center"/>
          </w:tcPr>
          <w:p w14:paraId="2BC09752">
            <w:pPr>
              <w:spacing w:line="240" w:lineRule="auto"/>
              <w:jc w:val="center"/>
            </w:pPr>
            <w:r>
              <w:t>市场名称(缩写)</w:t>
            </w:r>
          </w:p>
        </w:tc>
        <w:tc>
          <w:tcPr>
            <w:tcW w:w="1480" w:type="dxa"/>
            <w:tcBorders>
              <w:bottom w:val="single" w:color="auto" w:sz="6" w:space="0"/>
            </w:tcBorders>
            <w:vAlign w:val="center"/>
          </w:tcPr>
          <w:p w14:paraId="1679EE12">
            <w:pPr>
              <w:spacing w:line="240" w:lineRule="auto"/>
              <w:jc w:val="center"/>
            </w:pPr>
            <w:r>
              <w:t>标的资产</w:t>
            </w:r>
          </w:p>
        </w:tc>
        <w:tc>
          <w:tcPr>
            <w:tcW w:w="1496" w:type="dxa"/>
            <w:tcBorders>
              <w:bottom w:val="single" w:color="auto" w:sz="6" w:space="0"/>
            </w:tcBorders>
            <w:vAlign w:val="center"/>
          </w:tcPr>
          <w:p w14:paraId="5EAEF4BD">
            <w:pPr>
              <w:spacing w:line="240" w:lineRule="auto"/>
              <w:jc w:val="center"/>
            </w:pPr>
            <w:r>
              <w:t>资产类别</w:t>
            </w:r>
          </w:p>
        </w:tc>
        <w:tc>
          <w:tcPr>
            <w:tcW w:w="2268" w:type="dxa"/>
            <w:tcBorders>
              <w:bottom w:val="single" w:color="auto" w:sz="6" w:space="0"/>
            </w:tcBorders>
            <w:vAlign w:val="center"/>
          </w:tcPr>
          <w:p w14:paraId="78EFEC72">
            <w:pPr>
              <w:spacing w:line="240" w:lineRule="auto"/>
              <w:jc w:val="center"/>
            </w:pPr>
            <w:r>
              <w:t>经济含义</w:t>
            </w:r>
          </w:p>
        </w:tc>
        <w:tc>
          <w:tcPr>
            <w:tcW w:w="1413" w:type="dxa"/>
            <w:tcBorders>
              <w:bottom w:val="single" w:color="auto" w:sz="6" w:space="0"/>
            </w:tcBorders>
            <w:vAlign w:val="center"/>
          </w:tcPr>
          <w:p w14:paraId="274EBFEF">
            <w:pPr>
              <w:spacing w:line="240" w:lineRule="auto"/>
              <w:jc w:val="center"/>
            </w:pPr>
            <w:r>
              <w:t>数据源</w:t>
            </w:r>
          </w:p>
        </w:tc>
      </w:tr>
      <w:tr w14:paraId="7ED3D4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9" w:type="dxa"/>
            <w:tcBorders>
              <w:top w:val="single" w:color="auto" w:sz="6" w:space="0"/>
            </w:tcBorders>
            <w:vAlign w:val="center"/>
          </w:tcPr>
          <w:p w14:paraId="3574099B">
            <w:pPr>
              <w:spacing w:line="240" w:lineRule="auto"/>
              <w:jc w:val="center"/>
            </w:pPr>
            <w:r>
              <w:t>1</w:t>
            </w:r>
          </w:p>
        </w:tc>
        <w:tc>
          <w:tcPr>
            <w:tcW w:w="1450" w:type="dxa"/>
            <w:tcBorders>
              <w:top w:val="single" w:color="auto" w:sz="6" w:space="0"/>
            </w:tcBorders>
            <w:vAlign w:val="center"/>
          </w:tcPr>
          <w:p w14:paraId="3FA13DB9">
            <w:pPr>
              <w:spacing w:line="240" w:lineRule="auto"/>
              <w:jc w:val="center"/>
            </w:pPr>
            <w:r>
              <w:t>CSI300</w:t>
            </w:r>
          </w:p>
        </w:tc>
        <w:tc>
          <w:tcPr>
            <w:tcW w:w="1480" w:type="dxa"/>
            <w:tcBorders>
              <w:top w:val="single" w:color="auto" w:sz="6" w:space="0"/>
            </w:tcBorders>
            <w:vAlign w:val="center"/>
          </w:tcPr>
          <w:p w14:paraId="27C9C7D0">
            <w:pPr>
              <w:spacing w:line="240" w:lineRule="auto"/>
              <w:jc w:val="center"/>
            </w:pPr>
            <w:r>
              <w:t>沪深300指数</w:t>
            </w:r>
          </w:p>
        </w:tc>
        <w:tc>
          <w:tcPr>
            <w:tcW w:w="1496" w:type="dxa"/>
            <w:tcBorders>
              <w:top w:val="single" w:color="auto" w:sz="6" w:space="0"/>
            </w:tcBorders>
            <w:vAlign w:val="center"/>
          </w:tcPr>
          <w:p w14:paraId="030335BB">
            <w:pPr>
              <w:spacing w:line="240" w:lineRule="auto"/>
              <w:jc w:val="center"/>
            </w:pPr>
            <w:r>
              <w:t>权益(中国)</w:t>
            </w:r>
          </w:p>
        </w:tc>
        <w:tc>
          <w:tcPr>
            <w:tcW w:w="2268" w:type="dxa"/>
            <w:tcBorders>
              <w:top w:val="single" w:color="auto" w:sz="6" w:space="0"/>
            </w:tcBorders>
            <w:vAlign w:val="center"/>
          </w:tcPr>
          <w:p w14:paraId="2D30FF22">
            <w:pPr>
              <w:spacing w:line="240" w:lineRule="auto"/>
              <w:jc w:val="center"/>
            </w:pPr>
            <w:r>
              <w:t>A股核心大盘，代表中国市场整体走势</w:t>
            </w:r>
          </w:p>
        </w:tc>
        <w:tc>
          <w:tcPr>
            <w:tcW w:w="1413" w:type="dxa"/>
            <w:tcBorders>
              <w:top w:val="single" w:color="auto" w:sz="6" w:space="0"/>
            </w:tcBorders>
            <w:vAlign w:val="center"/>
          </w:tcPr>
          <w:p w14:paraId="4BB877AC">
            <w:pPr>
              <w:spacing w:line="240" w:lineRule="auto"/>
              <w:jc w:val="center"/>
            </w:pPr>
            <w:r>
              <w:t>AKShare</w:t>
            </w:r>
          </w:p>
        </w:tc>
      </w:tr>
      <w:tr w14:paraId="3442C9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9" w:type="dxa"/>
            <w:vAlign w:val="center"/>
          </w:tcPr>
          <w:p w14:paraId="1F895CB9">
            <w:pPr>
              <w:spacing w:line="240" w:lineRule="auto"/>
              <w:jc w:val="center"/>
            </w:pPr>
            <w:r>
              <w:t>2</w:t>
            </w:r>
          </w:p>
        </w:tc>
        <w:tc>
          <w:tcPr>
            <w:tcW w:w="1450" w:type="dxa"/>
            <w:vAlign w:val="center"/>
          </w:tcPr>
          <w:p w14:paraId="73B6FA3F">
            <w:pPr>
              <w:spacing w:line="240" w:lineRule="auto"/>
              <w:jc w:val="center"/>
            </w:pPr>
            <w:r>
              <w:t>Gold</w:t>
            </w:r>
          </w:p>
        </w:tc>
        <w:tc>
          <w:tcPr>
            <w:tcW w:w="1480" w:type="dxa"/>
            <w:vAlign w:val="center"/>
          </w:tcPr>
          <w:p w14:paraId="4DAB494F">
            <w:pPr>
              <w:spacing w:line="240" w:lineRule="auto"/>
              <w:jc w:val="center"/>
            </w:pPr>
            <w:r>
              <w:t>COMEX黄金期货</w:t>
            </w:r>
          </w:p>
        </w:tc>
        <w:tc>
          <w:tcPr>
            <w:tcW w:w="1496" w:type="dxa"/>
            <w:vAlign w:val="center"/>
          </w:tcPr>
          <w:p w14:paraId="3F283072">
            <w:pPr>
              <w:spacing w:line="240" w:lineRule="auto"/>
              <w:jc w:val="center"/>
            </w:pPr>
            <w:r>
              <w:t>贵金属</w:t>
            </w:r>
          </w:p>
        </w:tc>
        <w:tc>
          <w:tcPr>
            <w:tcW w:w="2268" w:type="dxa"/>
            <w:vAlign w:val="center"/>
          </w:tcPr>
          <w:p w14:paraId="03D7499A">
            <w:pPr>
              <w:spacing w:line="240" w:lineRule="auto"/>
              <w:jc w:val="center"/>
            </w:pPr>
            <w:r>
              <w:t>避险资产，危机期的资金避风港</w:t>
            </w:r>
          </w:p>
        </w:tc>
        <w:tc>
          <w:tcPr>
            <w:tcW w:w="1413" w:type="dxa"/>
            <w:vAlign w:val="center"/>
          </w:tcPr>
          <w:p w14:paraId="752F57A8">
            <w:pPr>
              <w:spacing w:line="240" w:lineRule="auto"/>
              <w:jc w:val="center"/>
            </w:pPr>
            <w:r>
              <w:t>AKShare</w:t>
            </w:r>
          </w:p>
        </w:tc>
      </w:tr>
      <w:tr w14:paraId="2F832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19" w:type="dxa"/>
            <w:vAlign w:val="center"/>
          </w:tcPr>
          <w:p w14:paraId="01395546">
            <w:pPr>
              <w:spacing w:line="240" w:lineRule="auto"/>
              <w:jc w:val="center"/>
            </w:pPr>
            <w:r>
              <w:t>3</w:t>
            </w:r>
          </w:p>
        </w:tc>
        <w:tc>
          <w:tcPr>
            <w:tcW w:w="1450" w:type="dxa"/>
            <w:vAlign w:val="center"/>
          </w:tcPr>
          <w:p w14:paraId="0F891821">
            <w:pPr>
              <w:spacing w:line="240" w:lineRule="auto"/>
              <w:jc w:val="center"/>
            </w:pPr>
            <w:r>
              <w:t>CrudeOil</w:t>
            </w:r>
          </w:p>
        </w:tc>
        <w:tc>
          <w:tcPr>
            <w:tcW w:w="1480" w:type="dxa"/>
            <w:vAlign w:val="center"/>
          </w:tcPr>
          <w:p w14:paraId="196F5839">
            <w:pPr>
              <w:spacing w:line="240" w:lineRule="auto"/>
              <w:jc w:val="center"/>
            </w:pPr>
            <w:r>
              <w:t>WTI原油期货</w:t>
            </w:r>
          </w:p>
        </w:tc>
        <w:tc>
          <w:tcPr>
            <w:tcW w:w="1496" w:type="dxa"/>
            <w:vAlign w:val="center"/>
          </w:tcPr>
          <w:p w14:paraId="5F984474">
            <w:pPr>
              <w:spacing w:line="240" w:lineRule="auto"/>
              <w:jc w:val="center"/>
            </w:pPr>
            <w:r>
              <w:t>能源</w:t>
            </w:r>
          </w:p>
        </w:tc>
        <w:tc>
          <w:tcPr>
            <w:tcW w:w="2268" w:type="dxa"/>
            <w:vAlign w:val="center"/>
          </w:tcPr>
          <w:p w14:paraId="6F87121B">
            <w:pPr>
              <w:spacing w:line="240" w:lineRule="auto"/>
              <w:jc w:val="center"/>
            </w:pPr>
            <w:r>
              <w:t>通胀核心驱动，影响全球产业链成本</w:t>
            </w:r>
          </w:p>
        </w:tc>
        <w:tc>
          <w:tcPr>
            <w:tcW w:w="1413" w:type="dxa"/>
            <w:vAlign w:val="center"/>
          </w:tcPr>
          <w:p w14:paraId="2BCE96FD">
            <w:pPr>
              <w:spacing w:line="240" w:lineRule="auto"/>
              <w:jc w:val="center"/>
            </w:pPr>
            <w:r>
              <w:t xml:space="preserve"> AKShare </w:t>
            </w:r>
          </w:p>
        </w:tc>
      </w:tr>
    </w:tbl>
    <w:p w14:paraId="5498ECCF"/>
    <w:p w14:paraId="09C1944C">
      <w:pPr>
        <w:keepNext/>
        <w:keepLines/>
        <w:spacing w:before="160" w:after="80"/>
        <w:outlineLvl w:val="2"/>
      </w:pPr>
      <w:r>
        <w:t>选取依据：本次标的选取有着清晰的经济传导逻辑，能够完整映射宏观经济整体风险。沪深300可以体现国内股市的风险偏好变化，黄金属于主流避险品类，行情走势和风险资产形成反向联动；原油价格依托通胀预期产生传导效应，广泛作用于各类资产价格，各类市场相互关联影响，整体可以全面反映宏观层面的风险变化情况。</w:t>
      </w:r>
    </w:p>
    <w:p w14:paraId="6256A3C7">
      <w:pPr>
        <w:widowControl/>
        <w:spacing w:before="100" w:beforeAutospacing="1" w:after="100" w:afterAutospacing="1" w:line="240" w:lineRule="auto"/>
        <w:jc w:val="left"/>
        <w:outlineLvl w:val="2"/>
        <w:rPr>
          <w:rFonts w:hint="eastAsia" w:ascii="宋体" w:hAnsi="宋体" w:cs="宋体"/>
          <w:b/>
          <w:bCs/>
          <w:color w:val="auto"/>
          <w:kern w:val="0"/>
          <w:sz w:val="27"/>
          <w:szCs w:val="27"/>
        </w:rPr>
      </w:pPr>
      <w:r>
        <w:rPr>
          <w:rFonts w:hint="eastAsia" w:ascii="宋体" w:hAnsi="宋体" w:cs="宋体"/>
          <w:b/>
          <w:bCs/>
          <w:color w:val="auto"/>
          <w:kern w:val="0"/>
          <w:sz w:val="27"/>
          <w:szCs w:val="27"/>
        </w:rPr>
        <w:t>4.</w:t>
      </w:r>
      <w:r>
        <w:rPr>
          <w:rFonts w:ascii="宋体" w:hAnsi="宋体" w:cs="宋体"/>
          <w:b/>
          <w:bCs/>
          <w:color w:val="auto"/>
          <w:kern w:val="0"/>
          <w:sz w:val="27"/>
          <w:szCs w:val="27"/>
        </w:rPr>
        <w:t>1.2 数据来源与时间范围</w:t>
      </w:r>
    </w:p>
    <w:p w14:paraId="149E9735">
      <w:pPr>
        <w:ind w:firstLine="560" w:firstLineChars="200"/>
      </w:pPr>
      <w:r>
        <w:t>数据源选择说明：全部使用 AKShare（AKShare 是一个开源的中国金融数据接口库，提供了沪深股票、期货、外汇等丰富的金融数据 API），统一数据源可避免跨库日期对齐、时区转换等复杂问题。</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6"/>
        <w:gridCol w:w="2616"/>
        <w:gridCol w:w="1176"/>
        <w:gridCol w:w="2313"/>
        <w:gridCol w:w="1025"/>
      </w:tblGrid>
      <w:tr w14:paraId="44E1E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tcPr>
          <w:p w14:paraId="188000A3">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市场</w:t>
            </w:r>
          </w:p>
        </w:tc>
        <w:tc>
          <w:tcPr>
            <w:tcW w:w="0" w:type="auto"/>
            <w:tcBorders>
              <w:bottom w:val="single" w:color="auto" w:sz="6" w:space="0"/>
            </w:tcBorders>
          </w:tcPr>
          <w:p w14:paraId="01A53A3F">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AKShare API</w:t>
            </w:r>
          </w:p>
        </w:tc>
        <w:tc>
          <w:tcPr>
            <w:tcW w:w="0" w:type="auto"/>
            <w:tcBorders>
              <w:bottom w:val="single" w:color="auto" w:sz="6" w:space="0"/>
            </w:tcBorders>
          </w:tcPr>
          <w:p w14:paraId="3AB82BE0">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symbol</w:t>
            </w:r>
          </w:p>
        </w:tc>
        <w:tc>
          <w:tcPr>
            <w:tcW w:w="0" w:type="auto"/>
            <w:tcBorders>
              <w:bottom w:val="single" w:color="auto" w:sz="6" w:space="0"/>
            </w:tcBorders>
          </w:tcPr>
          <w:p w14:paraId="4677F190">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原始时间范围</w:t>
            </w:r>
          </w:p>
        </w:tc>
        <w:tc>
          <w:tcPr>
            <w:tcW w:w="0" w:type="auto"/>
            <w:tcBorders>
              <w:bottom w:val="single" w:color="auto" w:sz="6" w:space="0"/>
            </w:tcBorders>
          </w:tcPr>
          <w:p w14:paraId="027B07AB">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原始行数</w:t>
            </w:r>
          </w:p>
        </w:tc>
      </w:tr>
      <w:tr w14:paraId="2C6A4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tcPr>
          <w:p w14:paraId="28D79D3D">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CSI300</w:t>
            </w:r>
          </w:p>
        </w:tc>
        <w:tc>
          <w:tcPr>
            <w:tcW w:w="0" w:type="auto"/>
            <w:tcBorders>
              <w:top w:val="single" w:color="auto" w:sz="6" w:space="0"/>
            </w:tcBorders>
          </w:tcPr>
          <w:p w14:paraId="72B80439">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stock_zh_index_daily</w:t>
            </w:r>
          </w:p>
        </w:tc>
        <w:tc>
          <w:tcPr>
            <w:tcW w:w="0" w:type="auto"/>
            <w:tcBorders>
              <w:top w:val="single" w:color="auto" w:sz="6" w:space="0"/>
            </w:tcBorders>
          </w:tcPr>
          <w:p w14:paraId="18870176">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sh000300</w:t>
            </w:r>
          </w:p>
        </w:tc>
        <w:tc>
          <w:tcPr>
            <w:tcW w:w="0" w:type="auto"/>
            <w:tcBorders>
              <w:top w:val="single" w:color="auto" w:sz="6" w:space="0"/>
            </w:tcBorders>
          </w:tcPr>
          <w:p w14:paraId="0E4FBDFF">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2015-01-05 ~ 2025-12-31</w:t>
            </w:r>
          </w:p>
        </w:tc>
        <w:tc>
          <w:tcPr>
            <w:tcW w:w="0" w:type="auto"/>
            <w:tcBorders>
              <w:top w:val="single" w:color="auto" w:sz="6" w:space="0"/>
            </w:tcBorders>
          </w:tcPr>
          <w:p w14:paraId="2438A6F8">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2,674</w:t>
            </w:r>
          </w:p>
        </w:tc>
      </w:tr>
      <w:tr w14:paraId="2EB712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56314AC">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Gold</w:t>
            </w:r>
          </w:p>
        </w:tc>
        <w:tc>
          <w:tcPr>
            <w:tcW w:w="0" w:type="auto"/>
          </w:tcPr>
          <w:p w14:paraId="451CC8E6">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futures_foreign_hist</w:t>
            </w:r>
          </w:p>
        </w:tc>
        <w:tc>
          <w:tcPr>
            <w:tcW w:w="0" w:type="auto"/>
          </w:tcPr>
          <w:p w14:paraId="7C540527">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GC</w:t>
            </w:r>
          </w:p>
        </w:tc>
        <w:tc>
          <w:tcPr>
            <w:tcW w:w="0" w:type="auto"/>
          </w:tcPr>
          <w:p w14:paraId="3E56B50F">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2016-05-23 ~ 2025-12-31</w:t>
            </w:r>
          </w:p>
        </w:tc>
        <w:tc>
          <w:tcPr>
            <w:tcW w:w="0" w:type="auto"/>
          </w:tcPr>
          <w:p w14:paraId="1F6CDF16">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2,490</w:t>
            </w:r>
          </w:p>
        </w:tc>
      </w:tr>
      <w:tr w14:paraId="48262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40450BFA">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CrudeOil</w:t>
            </w:r>
          </w:p>
        </w:tc>
        <w:tc>
          <w:tcPr>
            <w:tcW w:w="0" w:type="auto"/>
          </w:tcPr>
          <w:p w14:paraId="33E95C06">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futures_foreign_hist</w:t>
            </w:r>
          </w:p>
        </w:tc>
        <w:tc>
          <w:tcPr>
            <w:tcW w:w="0" w:type="auto"/>
          </w:tcPr>
          <w:p w14:paraId="1A7C22BB">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CL</w:t>
            </w:r>
          </w:p>
        </w:tc>
        <w:tc>
          <w:tcPr>
            <w:tcW w:w="0" w:type="auto"/>
          </w:tcPr>
          <w:p w14:paraId="274D1D87">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2015-01-02 ~ 2025-12-31</w:t>
            </w:r>
          </w:p>
        </w:tc>
        <w:tc>
          <w:tcPr>
            <w:tcW w:w="0" w:type="auto"/>
          </w:tcPr>
          <w:p w14:paraId="5472835B">
            <w:pPr>
              <w:widowControl/>
              <w:spacing w:line="240" w:lineRule="auto"/>
              <w:jc w:val="left"/>
              <w:rPr>
                <w:rFonts w:hint="eastAsia" w:ascii="宋体" w:hAnsi="宋体" w:cs="宋体"/>
                <w:color w:val="auto"/>
                <w:kern w:val="0"/>
                <w:sz w:val="24"/>
                <w:szCs w:val="24"/>
              </w:rPr>
            </w:pPr>
            <w:r>
              <w:rPr>
                <w:rFonts w:ascii="宋体" w:hAnsi="宋体" w:cs="宋体"/>
                <w:color w:val="auto"/>
                <w:kern w:val="0"/>
                <w:sz w:val="24"/>
                <w:szCs w:val="24"/>
              </w:rPr>
              <w:t>2,849</w:t>
            </w:r>
          </w:p>
        </w:tc>
      </w:tr>
    </w:tbl>
    <w:p w14:paraId="6D52711C">
      <w:pPr>
        <w:keepNext/>
        <w:keepLines/>
        <w:spacing w:before="80" w:after="40"/>
        <w:outlineLvl w:val="4"/>
        <w:rPr>
          <w:rFonts w:cstheme="majorBidi"/>
          <w:b/>
          <w:szCs w:val="24"/>
        </w:rPr>
      </w:pPr>
      <w:r>
        <w:rPr>
          <w:rFonts w:cstheme="majorBidi"/>
          <w:b/>
          <w:szCs w:val="24"/>
        </w:rPr>
        <w:t>4.</w:t>
      </w:r>
      <w:r>
        <w:rPr>
          <w:rFonts w:hint="eastAsia" w:cstheme="majorBidi"/>
          <w:b/>
          <w:szCs w:val="24"/>
        </w:rPr>
        <w:t>1.3 样本划分详情</w:t>
      </w:r>
    </w:p>
    <w:tbl>
      <w:tblPr>
        <w:tblStyle w:val="4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0"/>
        <w:gridCol w:w="3436"/>
        <w:gridCol w:w="916"/>
        <w:gridCol w:w="916"/>
      </w:tblGrid>
      <w:tr w14:paraId="3A83C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6" w:space="0"/>
            </w:tcBorders>
            <w:noWrap/>
          </w:tcPr>
          <w:p w14:paraId="0ECA39AF">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子集</w:t>
            </w:r>
          </w:p>
        </w:tc>
        <w:tc>
          <w:tcPr>
            <w:tcW w:w="0" w:type="auto"/>
            <w:tcBorders>
              <w:bottom w:val="single" w:color="auto" w:sz="6" w:space="0"/>
            </w:tcBorders>
            <w:noWrap/>
          </w:tcPr>
          <w:p w14:paraId="7F13A172">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时间范围</w:t>
            </w:r>
          </w:p>
        </w:tc>
        <w:tc>
          <w:tcPr>
            <w:tcW w:w="0" w:type="auto"/>
            <w:tcBorders>
              <w:bottom w:val="single" w:color="auto" w:sz="6" w:space="0"/>
            </w:tcBorders>
            <w:noWrap/>
          </w:tcPr>
          <w:p w14:paraId="2F259F6E">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天数</w:t>
            </w:r>
          </w:p>
        </w:tc>
        <w:tc>
          <w:tcPr>
            <w:tcW w:w="0" w:type="auto"/>
            <w:tcBorders>
              <w:bottom w:val="single" w:color="auto" w:sz="6" w:space="0"/>
            </w:tcBorders>
            <w:noWrap/>
          </w:tcPr>
          <w:p w14:paraId="5162131B">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占比</w:t>
            </w:r>
          </w:p>
        </w:tc>
      </w:tr>
      <w:tr w14:paraId="06E5F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6" w:space="0"/>
            </w:tcBorders>
          </w:tcPr>
          <w:p w14:paraId="6D34EF23">
            <w:pPr>
              <w:spacing w:line="278" w:lineRule="auto"/>
              <w:jc w:val="left"/>
              <w:rPr>
                <w:rFonts w:hint="eastAsia" w:ascii="宋体" w:hAnsi="宋体" w:cs="宋体"/>
                <w:color w:val="auto"/>
                <w:szCs w:val="28"/>
                <w14:ligatures w14:val="standardContextual"/>
              </w:rPr>
            </w:pPr>
            <w:r>
              <w:rPr>
                <w:rFonts w:ascii="宋体" w:hAnsi="宋体" w:cs="宋体"/>
                <w:b/>
                <w:bCs/>
                <w:color w:val="auto"/>
                <w:szCs w:val="28"/>
                <w14:ligatures w14:val="standardContextual"/>
              </w:rPr>
              <w:t>训练集</w:t>
            </w:r>
          </w:p>
        </w:tc>
        <w:tc>
          <w:tcPr>
            <w:tcW w:w="0" w:type="auto"/>
            <w:tcBorders>
              <w:top w:val="single" w:color="auto" w:sz="6" w:space="0"/>
            </w:tcBorders>
          </w:tcPr>
          <w:p w14:paraId="22C71032">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2016-05-24 ~ 2022-12-30</w:t>
            </w:r>
          </w:p>
        </w:tc>
        <w:tc>
          <w:tcPr>
            <w:tcW w:w="0" w:type="auto"/>
            <w:tcBorders>
              <w:top w:val="single" w:color="auto" w:sz="6" w:space="0"/>
            </w:tcBorders>
          </w:tcPr>
          <w:p w14:paraId="49C51904">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1,601</w:t>
            </w:r>
          </w:p>
        </w:tc>
        <w:tc>
          <w:tcPr>
            <w:tcW w:w="0" w:type="auto"/>
            <w:tcBorders>
              <w:top w:val="single" w:color="auto" w:sz="6" w:space="0"/>
            </w:tcBorders>
          </w:tcPr>
          <w:p w14:paraId="295D99E7">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68.9%</w:t>
            </w:r>
          </w:p>
        </w:tc>
      </w:tr>
      <w:tr w14:paraId="43B5AB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F7C2311">
            <w:pPr>
              <w:spacing w:line="278" w:lineRule="auto"/>
              <w:jc w:val="left"/>
              <w:rPr>
                <w:rFonts w:hint="eastAsia" w:ascii="宋体" w:hAnsi="宋体" w:cs="宋体"/>
                <w:color w:val="auto"/>
                <w:szCs w:val="28"/>
                <w14:ligatures w14:val="standardContextual"/>
              </w:rPr>
            </w:pPr>
            <w:r>
              <w:rPr>
                <w:rFonts w:ascii="宋体" w:hAnsi="宋体" w:cs="宋体"/>
                <w:b/>
                <w:bCs/>
                <w:color w:val="auto"/>
                <w:szCs w:val="28"/>
                <w14:ligatures w14:val="standardContextual"/>
              </w:rPr>
              <w:t>验证集</w:t>
            </w:r>
          </w:p>
        </w:tc>
        <w:tc>
          <w:tcPr>
            <w:tcW w:w="0" w:type="auto"/>
          </w:tcPr>
          <w:p w14:paraId="185A1CB8">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2023-01-03 ~ 2024-06-28</w:t>
            </w:r>
          </w:p>
        </w:tc>
        <w:tc>
          <w:tcPr>
            <w:tcW w:w="0" w:type="auto"/>
          </w:tcPr>
          <w:p w14:paraId="540C74A4">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356</w:t>
            </w:r>
          </w:p>
        </w:tc>
        <w:tc>
          <w:tcPr>
            <w:tcW w:w="0" w:type="auto"/>
          </w:tcPr>
          <w:p w14:paraId="7CE3A173">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15.3%</w:t>
            </w:r>
          </w:p>
        </w:tc>
      </w:tr>
      <w:tr w14:paraId="7822CC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2B8F3D7D">
            <w:pPr>
              <w:spacing w:line="278" w:lineRule="auto"/>
              <w:jc w:val="left"/>
              <w:rPr>
                <w:rFonts w:hint="eastAsia" w:ascii="宋体" w:hAnsi="宋体" w:cs="宋体"/>
                <w:color w:val="auto"/>
                <w:szCs w:val="28"/>
                <w14:ligatures w14:val="standardContextual"/>
              </w:rPr>
            </w:pPr>
            <w:r>
              <w:rPr>
                <w:rFonts w:ascii="宋体" w:hAnsi="宋体" w:cs="宋体"/>
                <w:b/>
                <w:bCs/>
                <w:color w:val="auto"/>
                <w:szCs w:val="28"/>
                <w14:ligatures w14:val="standardContextual"/>
              </w:rPr>
              <w:t>测试集</w:t>
            </w:r>
          </w:p>
        </w:tc>
        <w:tc>
          <w:tcPr>
            <w:tcW w:w="0" w:type="auto"/>
          </w:tcPr>
          <w:p w14:paraId="3136B615">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2024-07-01 ~ 2025-12-31</w:t>
            </w:r>
          </w:p>
        </w:tc>
        <w:tc>
          <w:tcPr>
            <w:tcW w:w="0" w:type="auto"/>
          </w:tcPr>
          <w:p w14:paraId="1AF41D05">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365</w:t>
            </w:r>
          </w:p>
        </w:tc>
        <w:tc>
          <w:tcPr>
            <w:tcW w:w="0" w:type="auto"/>
          </w:tcPr>
          <w:p w14:paraId="220A170B">
            <w:p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15.7%</w:t>
            </w:r>
          </w:p>
        </w:tc>
      </w:tr>
    </w:tbl>
    <w:p w14:paraId="6A15ADBA">
      <w:pPr>
        <w:spacing w:line="278" w:lineRule="auto"/>
        <w:jc w:val="left"/>
        <w:rPr>
          <w:rFonts w:hint="eastAsia" w:ascii="宋体" w:hAnsi="宋体" w:cs="宋体"/>
          <w:color w:val="auto"/>
          <w:szCs w:val="28"/>
          <w14:ligatures w14:val="standardContextual"/>
        </w:rPr>
      </w:pPr>
      <w:r>
        <w:rPr>
          <w:rFonts w:hint="eastAsia" w:ascii="宋体" w:hAnsi="宋体" w:cs="宋体"/>
          <w:color w:val="auto"/>
          <w:szCs w:val="28"/>
          <w14:ligatures w14:val="standardContextual"/>
        </w:rPr>
        <w:t>划分理由：</w:t>
      </w:r>
    </w:p>
    <w:p w14:paraId="5CB6999A">
      <w:pPr>
        <w:pStyle w:val="34"/>
        <w:numPr>
          <w:ilvl w:val="0"/>
          <w:numId w:val="1"/>
        </w:numPr>
        <w:spacing w:line="278" w:lineRule="auto"/>
        <w:jc w:val="left"/>
        <w:rPr>
          <w:rFonts w:hint="eastAsia" w:ascii="宋体" w:hAnsi="宋体" w:cs="宋体"/>
          <w:color w:val="auto"/>
          <w:szCs w:val="28"/>
          <w14:ligatures w14:val="standardContextual"/>
        </w:rPr>
      </w:pPr>
      <w:r>
        <w:rPr>
          <w:rFonts w:hint="eastAsia" w:ascii="宋体" w:hAnsi="宋体" w:cs="宋体"/>
          <w:color w:val="auto"/>
          <w:szCs w:val="28"/>
          <w14:ligatures w14:val="standardContextual"/>
        </w:rPr>
        <w:t>时间顺序划分（非随机），保持时间因果关系</w:t>
      </w:r>
    </w:p>
    <w:p w14:paraId="642F8B66">
      <w:pPr>
        <w:pStyle w:val="34"/>
        <w:numPr>
          <w:ilvl w:val="0"/>
          <w:numId w:val="1"/>
        </w:numPr>
        <w:spacing w:line="278" w:lineRule="auto"/>
        <w:jc w:val="left"/>
        <w:rPr>
          <w:rFonts w:hint="eastAsia" w:ascii="宋体" w:hAnsi="宋体" w:cs="宋体"/>
          <w:color w:val="auto"/>
          <w:szCs w:val="28"/>
          <w14:ligatures w14:val="standardContextual"/>
        </w:rPr>
      </w:pPr>
      <w:r>
        <w:rPr>
          <w:rFonts w:hint="eastAsia" w:ascii="宋体" w:hAnsi="宋体" w:cs="宋体"/>
          <w:color w:val="auto"/>
          <w:szCs w:val="28"/>
          <w14:ligatures w14:val="standardContextual"/>
        </w:rPr>
        <w:t>训练集包含完整经济周期：2016 修复、2018 贸易战、2020 疫情、2021 复苏、2022 加息周期</w:t>
      </w:r>
    </w:p>
    <w:p w14:paraId="0F03BBD2">
      <w:pPr>
        <w:pStyle w:val="34"/>
        <w:numPr>
          <w:ilvl w:val="0"/>
          <w:numId w:val="1"/>
        </w:numPr>
        <w:spacing w:line="278" w:lineRule="auto"/>
        <w:jc w:val="left"/>
        <w:rPr>
          <w:rFonts w:hint="eastAsia" w:ascii="宋体" w:hAnsi="宋体" w:cs="宋体"/>
          <w:color w:val="auto"/>
          <w:szCs w:val="28"/>
          <w14:ligatures w14:val="standardContextual"/>
        </w:rPr>
      </w:pPr>
      <w:r>
        <w:rPr>
          <w:rFonts w:hint="eastAsia" w:ascii="宋体" w:hAnsi="宋体" w:cs="宋体"/>
          <w:color w:val="auto"/>
          <w:szCs w:val="28"/>
          <w14:ligatures w14:val="standardContextual"/>
        </w:rPr>
        <w:t>验证期（2023-2024H1）为低波动震荡市，用于模型选择和超参数调优</w:t>
      </w:r>
    </w:p>
    <w:p w14:paraId="1D49331E">
      <w:pPr>
        <w:pStyle w:val="34"/>
        <w:numPr>
          <w:ilvl w:val="0"/>
          <w:numId w:val="1"/>
        </w:numPr>
        <w:spacing w:line="278" w:lineRule="auto"/>
        <w:jc w:val="left"/>
        <w:rPr>
          <w:rFonts w:hint="eastAsia" w:ascii="宋体" w:hAnsi="宋体" w:cs="宋体"/>
          <w:color w:val="auto"/>
          <w:szCs w:val="28"/>
          <w14:ligatures w14:val="standardContextual"/>
        </w:rPr>
      </w:pPr>
      <w:r>
        <w:rPr>
          <w:rFonts w:hint="eastAsia" w:ascii="宋体" w:hAnsi="宋体" w:cs="宋体"/>
          <w:color w:val="auto"/>
          <w:szCs w:val="28"/>
          <w14:ligatures w14:val="standardContextual"/>
        </w:rPr>
        <w:t>测试期（2024H2-2025）包含政策驱动的高波动阶段，用于评估模型在极端环境下的表现</w:t>
      </w:r>
    </w:p>
    <w:p w14:paraId="1C3AD8D9">
      <w:pPr>
        <w:pStyle w:val="34"/>
        <w:keepNext/>
        <w:keepLines/>
        <w:numPr>
          <w:ilvl w:val="0"/>
          <w:numId w:val="1"/>
        </w:numPr>
        <w:spacing w:before="80" w:after="40"/>
        <w:outlineLvl w:val="4"/>
        <w:rPr>
          <w:rFonts w:cstheme="majorBidi"/>
          <w:b/>
          <w:szCs w:val="24"/>
        </w:rPr>
      </w:pPr>
      <w:r>
        <w:rPr>
          <w:rFonts w:cstheme="majorBidi"/>
          <w:b/>
          <w:szCs w:val="24"/>
        </w:rPr>
        <w:t>4.1.</w:t>
      </w:r>
      <w:r>
        <w:rPr>
          <w:rFonts w:hint="eastAsia" w:cstheme="majorBidi"/>
          <w:b/>
          <w:szCs w:val="24"/>
        </w:rPr>
        <w:t>4</w:t>
      </w:r>
      <w:r>
        <w:rPr>
          <w:rFonts w:cstheme="majorBidi"/>
          <w:b/>
          <w:szCs w:val="24"/>
        </w:rPr>
        <w:t>处理流程概览</w:t>
      </w:r>
    </w:p>
    <w:p w14:paraId="3F209F28">
      <w:pPr>
        <w:spacing w:after="160" w:line="278" w:lineRule="auto"/>
        <w:ind w:firstLine="1120" w:firstLineChars="400"/>
        <w:jc w:val="left"/>
        <w:rPr>
          <w:rFonts w:hint="eastAsia" w:ascii="宋体" w:hAnsi="宋体" w:cs="宋体"/>
          <w:color w:val="auto"/>
          <w:szCs w:val="28"/>
          <w14:ligatures w14:val="standardContextual"/>
        </w:rPr>
      </w:pPr>
      <w:r>
        <w:rPr>
          <w:rFonts w:hint="eastAsia"/>
        </w:rPr>
        <w:drawing>
          <wp:inline distT="0" distB="0" distL="0" distR="0">
            <wp:extent cx="4091305" cy="2004060"/>
            <wp:effectExtent l="38100" t="0" r="80645" b="0"/>
            <wp:docPr id="1165215344"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5" r:lo="rId86" r:qs="rId87" r:cs="rId88"/>
              </a:graphicData>
            </a:graphic>
          </wp:inline>
        </w:drawing>
      </w:r>
      <w:r>
        <w:rPr>
          <w:rFonts w:hint="eastAsia" w:ascii="宋体" w:hAnsi="宋体" w:cs="宋体"/>
          <w:color w:val="auto"/>
          <w:szCs w:val="28"/>
          <w14:ligatures w14:val="standardContextual"/>
        </w:rPr>
        <w:t xml:space="preserve">   </w:t>
      </w:r>
    </w:p>
    <w:p w14:paraId="74F1B353">
      <w:r>
        <w:t>最终对齐后的数据集：</w:t>
      </w:r>
    </w:p>
    <w:p w14:paraId="77796FA2">
      <w:pPr>
        <w:pStyle w:val="34"/>
        <w:numPr>
          <w:ilvl w:val="0"/>
          <w:numId w:val="1"/>
        </w:numPr>
        <w:spacing w:after="160"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共同交易日数：2,323天</w:t>
      </w:r>
    </w:p>
    <w:p w14:paraId="08BC9D0E">
      <w:pPr>
        <w:pStyle w:val="34"/>
        <w:numPr>
          <w:ilvl w:val="0"/>
          <w:numId w:val="1"/>
        </w:numPr>
        <w:spacing w:after="160"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时间范围：2016-05-23~2025-12-31（约9.6年）</w:t>
      </w:r>
    </w:p>
    <w:p w14:paraId="46E1D7A9">
      <w:pPr>
        <w:pStyle w:val="34"/>
        <w:numPr>
          <w:ilvl w:val="0"/>
          <w:numId w:val="1"/>
        </w:numPr>
        <w:spacing w:after="160"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对齐价格文件：`data/processed/aligned_prices.csv`（2,323×3）</w:t>
      </w:r>
    </w:p>
    <w:p w14:paraId="7F1F42CB">
      <w:pPr>
        <w:pStyle w:val="34"/>
        <w:numPr>
          <w:ilvl w:val="0"/>
          <w:numId w:val="1"/>
        </w:numPr>
        <w:spacing w:line="278" w:lineRule="auto"/>
        <w:jc w:val="left"/>
        <w:rPr>
          <w:rFonts w:hint="eastAsia" w:ascii="宋体" w:hAnsi="宋体" w:cs="宋体"/>
          <w:color w:val="auto"/>
          <w:szCs w:val="28"/>
          <w14:ligatures w14:val="standardContextual"/>
        </w:rPr>
      </w:pPr>
      <w:r>
        <w:rPr>
          <w:rFonts w:ascii="宋体" w:hAnsi="宋体" w:cs="宋体"/>
          <w:color w:val="auto"/>
          <w:szCs w:val="28"/>
          <w14:ligatures w14:val="standardContextual"/>
        </w:rPr>
        <w:t>对数收益率文件：`data/processed/log_returns.csv`（2,322×3）</w:t>
      </w:r>
    </w:p>
    <w:p w14:paraId="47C27566">
      <w:pPr>
        <w:keepNext/>
        <w:keepLines/>
        <w:spacing w:before="80" w:after="40"/>
        <w:outlineLvl w:val="4"/>
        <w:rPr>
          <w:rFonts w:cstheme="majorBidi"/>
          <w:b/>
          <w:szCs w:val="24"/>
        </w:rPr>
      </w:pPr>
      <w:bookmarkStart w:id="5" w:name="OLE_LINK13"/>
      <w:r>
        <w:rPr>
          <w:rFonts w:cstheme="majorBidi"/>
          <w:b/>
          <w:szCs w:val="24"/>
        </w:rPr>
        <w:t>4.</w:t>
      </w:r>
      <w:r>
        <w:rPr>
          <w:rFonts w:hint="eastAsia" w:cstheme="majorBidi"/>
          <w:b/>
          <w:szCs w:val="24"/>
        </w:rPr>
        <w:t>2各市场价格水平分析</w:t>
      </w:r>
    </w:p>
    <w:bookmarkEnd w:id="5"/>
    <w:p w14:paraId="0A1EB2E2">
      <w:pPr>
        <w:ind w:firstLine="560" w:firstLineChars="200"/>
      </w:pPr>
      <w:r>
        <w:rPr>
          <w:rFonts w:hint="eastAsia"/>
        </w:rPr>
        <w:t>为便于正文分析，将数据预处理的繁杂过程归入附录，文中仅选取单个代表性变量（沪深300指数（CSI300））展开研究。</w:t>
      </w:r>
    </w:p>
    <w:p w14:paraId="56C13FFF">
      <w:pPr>
        <w:keepNext/>
        <w:keepLines/>
        <w:spacing w:before="80" w:after="40"/>
        <w:outlineLvl w:val="4"/>
        <w:rPr>
          <w:rFonts w:cstheme="majorBidi"/>
          <w:b/>
          <w:szCs w:val="24"/>
        </w:rPr>
      </w:pPr>
      <w:bookmarkStart w:id="6" w:name="_Hlk230373221"/>
      <w:r>
        <w:rPr>
          <w:rFonts w:cstheme="majorBidi"/>
          <w:b/>
          <w:szCs w:val="24"/>
        </w:rPr>
        <w:t>4.</w:t>
      </w:r>
      <w:r>
        <w:rPr>
          <w:rFonts w:hint="eastAsia" w:cstheme="majorBidi"/>
          <w:b/>
          <w:szCs w:val="24"/>
        </w:rPr>
        <w:t>2</w:t>
      </w:r>
      <w:r>
        <w:rPr>
          <w:rFonts w:cstheme="majorBidi"/>
          <w:b/>
          <w:szCs w:val="24"/>
        </w:rPr>
        <w:t>.</w:t>
      </w:r>
      <w:r>
        <w:rPr>
          <w:rFonts w:hint="eastAsia" w:cstheme="majorBidi"/>
          <w:b/>
          <w:szCs w:val="24"/>
        </w:rPr>
        <w:t>1</w:t>
      </w:r>
      <w:bookmarkStart w:id="7" w:name="_Hlk230372676"/>
      <w:r>
        <w:rPr>
          <w:rFonts w:hint="eastAsia" w:cstheme="majorBidi"/>
          <w:b/>
          <w:szCs w:val="24"/>
        </w:rPr>
        <w:t>沪深300指数（CSI300）</w:t>
      </w:r>
      <w:bookmarkEnd w:id="7"/>
    </w:p>
    <w:bookmarkEnd w:id="6"/>
    <w:tbl>
      <w:tblPr>
        <w:tblStyle w:val="4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3693"/>
      </w:tblGrid>
      <w:tr w14:paraId="4C1181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6" w:space="0"/>
            </w:tcBorders>
            <w:noWrap/>
          </w:tcPr>
          <w:p w14:paraId="4EC106CF">
            <w:r>
              <w:t>统计量</w:t>
            </w:r>
          </w:p>
        </w:tc>
        <w:tc>
          <w:tcPr>
            <w:tcW w:w="0" w:type="auto"/>
            <w:tcBorders>
              <w:bottom w:val="single" w:color="auto" w:sz="6" w:space="0"/>
            </w:tcBorders>
            <w:noWrap/>
          </w:tcPr>
          <w:p w14:paraId="5E2EFFA0">
            <w:r>
              <w:t>数值</w:t>
            </w:r>
          </w:p>
        </w:tc>
      </w:tr>
      <w:tr w14:paraId="66C662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6" w:space="0"/>
            </w:tcBorders>
          </w:tcPr>
          <w:p w14:paraId="56A0214C">
            <w:r>
              <w:t>最小值</w:t>
            </w:r>
          </w:p>
        </w:tc>
        <w:tc>
          <w:tcPr>
            <w:tcW w:w="0" w:type="auto"/>
            <w:tcBorders>
              <w:top w:val="single" w:color="auto" w:sz="6" w:space="0"/>
            </w:tcBorders>
          </w:tcPr>
          <w:p w14:paraId="582A3880">
            <w:r>
              <w:t>2,964.84（2022-10-31附近）</w:t>
            </w:r>
          </w:p>
        </w:tc>
      </w:tr>
      <w:tr w14:paraId="3BDC6B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0" w:type="auto"/>
          </w:tcPr>
          <w:p w14:paraId="63C99702">
            <w:r>
              <w:t>最大值</w:t>
            </w:r>
          </w:p>
        </w:tc>
        <w:tc>
          <w:tcPr>
            <w:tcW w:w="0" w:type="auto"/>
          </w:tcPr>
          <w:p w14:paraId="47B31293">
            <w:r>
              <w:t>5,807.72（2021-02-18附近）</w:t>
            </w:r>
          </w:p>
        </w:tc>
      </w:tr>
      <w:tr w14:paraId="2258E5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227B9E8">
            <w:r>
              <w:t>均值</w:t>
            </w:r>
          </w:p>
        </w:tc>
        <w:tc>
          <w:tcPr>
            <w:tcW w:w="0" w:type="auto"/>
          </w:tcPr>
          <w:p w14:paraId="1913A976">
            <w:r>
              <w:t>3,975.84</w:t>
            </w:r>
          </w:p>
        </w:tc>
      </w:tr>
      <w:tr w14:paraId="098162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47763801">
            <w:r>
              <w:t>标准差</w:t>
            </w:r>
          </w:p>
        </w:tc>
        <w:tc>
          <w:tcPr>
            <w:tcW w:w="0" w:type="auto"/>
          </w:tcPr>
          <w:p w14:paraId="1D4F6278">
            <w:r>
              <w:t>564.21</w:t>
            </w:r>
          </w:p>
        </w:tc>
      </w:tr>
    </w:tbl>
    <w:p w14:paraId="43B9DCB9">
      <w:r>
        <w:rPr>
          <w:b/>
          <w:bCs/>
        </w:rPr>
        <w:t>市场特征</w:t>
      </w:r>
      <w:r>
        <w:t>：</w:t>
      </w:r>
    </w:p>
    <w:p w14:paraId="4C558065">
      <w:pPr>
        <w:numPr>
          <w:ilvl w:val="0"/>
          <w:numId w:val="2"/>
        </w:numPr>
      </w:pPr>
      <w:r>
        <w:t>样本期内经历了完整的市场周期：2016年熔断后修复、2018年贸易战下跌、2019-2020年修复上涨、2020年疫情冲击、2021年结构性牛市、2022年调整、2023-2024年震荡、2024年9月政策驱动大幅反弹</w:t>
      </w:r>
    </w:p>
    <w:p w14:paraId="072B7EB5">
      <w:pPr>
        <w:numPr>
          <w:ilvl w:val="0"/>
          <w:numId w:val="2"/>
        </w:numPr>
      </w:pPr>
      <w:r>
        <w:t>2024年9月出现历史级单日涨幅（+8.14%），对应中国大规模经济刺激政策出台</w:t>
      </w:r>
    </w:p>
    <w:p w14:paraId="2AA89B54">
      <w:pPr>
        <w:numPr>
          <w:ilvl w:val="0"/>
          <w:numId w:val="2"/>
        </w:numPr>
      </w:pPr>
      <w:r>
        <w:t>整体波动适中，尾部风险以</w:t>
      </w:r>
      <w:r>
        <w:rPr>
          <w:b/>
          <w:bCs/>
        </w:rPr>
        <w:t>下行跳变</w:t>
      </w:r>
      <w:r>
        <w:t>为主（偏度负值）</w:t>
      </w:r>
    </w:p>
    <w:p w14:paraId="047A6942">
      <w:pPr>
        <w:widowControl/>
        <w:spacing w:before="100" w:beforeAutospacing="1" w:after="100" w:afterAutospacing="1" w:line="240" w:lineRule="auto"/>
        <w:jc w:val="left"/>
        <w:outlineLvl w:val="2"/>
        <w:rPr>
          <w:rFonts w:cstheme="majorBidi"/>
          <w:b/>
          <w:szCs w:val="24"/>
        </w:rPr>
      </w:pPr>
      <w:r>
        <w:rPr>
          <w:rFonts w:hint="eastAsia" w:cstheme="majorBidi"/>
          <w:b/>
          <w:szCs w:val="24"/>
        </w:rPr>
        <w:t>4</w:t>
      </w:r>
      <w:r>
        <w:rPr>
          <w:rFonts w:cstheme="majorBidi"/>
          <w:b/>
          <w:szCs w:val="24"/>
        </w:rPr>
        <w:t>.</w:t>
      </w:r>
      <w:r>
        <w:rPr>
          <w:rFonts w:hint="eastAsia" w:cstheme="majorBidi"/>
          <w:b/>
          <w:szCs w:val="24"/>
        </w:rPr>
        <w:t>3</w:t>
      </w:r>
      <w:r>
        <w:rPr>
          <w:rFonts w:cstheme="majorBidi"/>
          <w:b/>
          <w:szCs w:val="24"/>
        </w:rPr>
        <w:t xml:space="preserve"> 对数收益率</w:t>
      </w:r>
      <w:r>
        <w:rPr>
          <w:rFonts w:ascii="宋体" w:hAnsi="宋体" w:cs="宋体"/>
          <w:b/>
          <w:bCs/>
          <w:color w:val="auto"/>
          <w:kern w:val="0"/>
          <w:szCs w:val="28"/>
        </w:rPr>
        <w:t>统计分析</w:t>
      </w:r>
    </w:p>
    <w:p w14:paraId="6724BE40">
      <w:pPr>
        <w:keepNext/>
        <w:keepLines/>
        <w:spacing w:before="80" w:after="40"/>
        <w:outlineLvl w:val="4"/>
        <w:rPr>
          <w:rFonts w:cstheme="majorBidi"/>
          <w:b/>
          <w:szCs w:val="24"/>
        </w:rPr>
      </w:pPr>
      <w:r>
        <w:rPr>
          <w:rFonts w:hint="eastAsia" w:cstheme="majorBidi"/>
          <w:b/>
          <w:szCs w:val="24"/>
        </w:rPr>
        <w:t>4.3</w:t>
      </w:r>
      <w:r>
        <w:rPr>
          <w:rFonts w:cstheme="majorBidi"/>
          <w:b/>
          <w:szCs w:val="24"/>
        </w:rPr>
        <w:t>.1 全样本统计</w:t>
      </w:r>
    </w:p>
    <w:tbl>
      <w:tblPr>
        <w:tblStyle w:val="41"/>
        <w:tblW w:w="835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2126"/>
        <w:gridCol w:w="2037"/>
        <w:gridCol w:w="1638"/>
      </w:tblGrid>
      <w:tr w14:paraId="2931E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Borders>
              <w:bottom w:val="single" w:color="auto" w:sz="6" w:space="0"/>
            </w:tcBorders>
            <w:noWrap/>
          </w:tcPr>
          <w:p w14:paraId="07A37CB6">
            <w:pPr>
              <w:spacing w:before="180" w:after="120"/>
              <w:jc w:val="center"/>
              <w:rPr>
                <w:rFonts w:cs="宋体"/>
                <w:color w:val="auto"/>
                <w:sz w:val="24"/>
                <w:szCs w:val="24"/>
              </w:rPr>
            </w:pPr>
            <w:r>
              <w:rPr>
                <w:sz w:val="24"/>
                <w:szCs w:val="24"/>
              </w:rPr>
              <w:t>统计量</w:t>
            </w:r>
          </w:p>
        </w:tc>
        <w:tc>
          <w:tcPr>
            <w:tcW w:w="2126" w:type="dxa"/>
            <w:tcBorders>
              <w:bottom w:val="single" w:color="auto" w:sz="6" w:space="0"/>
            </w:tcBorders>
            <w:noWrap/>
          </w:tcPr>
          <w:p w14:paraId="25F41554">
            <w:pPr>
              <w:spacing w:before="180" w:after="120"/>
              <w:jc w:val="center"/>
              <w:rPr>
                <w:sz w:val="24"/>
                <w:szCs w:val="24"/>
              </w:rPr>
            </w:pPr>
            <w:r>
              <w:rPr>
                <w:sz w:val="24"/>
                <w:szCs w:val="24"/>
              </w:rPr>
              <w:t>r_CSI300</w:t>
            </w:r>
          </w:p>
        </w:tc>
        <w:tc>
          <w:tcPr>
            <w:tcW w:w="2037" w:type="dxa"/>
            <w:tcBorders>
              <w:bottom w:val="single" w:color="auto" w:sz="6" w:space="0"/>
            </w:tcBorders>
            <w:noWrap/>
          </w:tcPr>
          <w:p w14:paraId="1FE30EBC">
            <w:pPr>
              <w:spacing w:before="180" w:after="120"/>
              <w:jc w:val="center"/>
              <w:rPr>
                <w:sz w:val="24"/>
                <w:szCs w:val="24"/>
              </w:rPr>
            </w:pPr>
            <w:r>
              <w:rPr>
                <w:sz w:val="24"/>
                <w:szCs w:val="24"/>
              </w:rPr>
              <w:t>r_Gold</w:t>
            </w:r>
          </w:p>
        </w:tc>
        <w:tc>
          <w:tcPr>
            <w:tcW w:w="0" w:type="auto"/>
            <w:tcBorders>
              <w:bottom w:val="single" w:color="auto" w:sz="6" w:space="0"/>
            </w:tcBorders>
            <w:noWrap/>
          </w:tcPr>
          <w:p w14:paraId="64B90641">
            <w:pPr>
              <w:spacing w:before="180" w:after="120"/>
              <w:jc w:val="center"/>
              <w:rPr>
                <w:sz w:val="24"/>
                <w:szCs w:val="24"/>
              </w:rPr>
            </w:pPr>
            <w:r>
              <w:rPr>
                <w:sz w:val="24"/>
                <w:szCs w:val="24"/>
              </w:rPr>
              <w:t>r_CrudeOil</w:t>
            </w:r>
          </w:p>
        </w:tc>
      </w:tr>
      <w:tr w14:paraId="0749EA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552" w:type="dxa"/>
            <w:tcBorders>
              <w:top w:val="single" w:color="auto" w:sz="6" w:space="0"/>
            </w:tcBorders>
          </w:tcPr>
          <w:p w14:paraId="79BDB347">
            <w:pPr>
              <w:spacing w:before="180" w:after="120"/>
              <w:jc w:val="center"/>
              <w:rPr>
                <w:sz w:val="24"/>
                <w:szCs w:val="24"/>
              </w:rPr>
            </w:pPr>
            <w:r>
              <w:rPr>
                <w:sz w:val="24"/>
                <w:szCs w:val="24"/>
              </w:rPr>
              <w:t>样本量</w:t>
            </w:r>
          </w:p>
        </w:tc>
        <w:tc>
          <w:tcPr>
            <w:tcW w:w="2126" w:type="dxa"/>
            <w:tcBorders>
              <w:top w:val="single" w:color="auto" w:sz="6" w:space="0"/>
            </w:tcBorders>
          </w:tcPr>
          <w:p w14:paraId="7D93A513">
            <w:pPr>
              <w:spacing w:before="180" w:after="120"/>
              <w:jc w:val="center"/>
              <w:rPr>
                <w:sz w:val="24"/>
                <w:szCs w:val="24"/>
              </w:rPr>
            </w:pPr>
            <w:r>
              <w:rPr>
                <w:sz w:val="24"/>
                <w:szCs w:val="24"/>
              </w:rPr>
              <w:t>2,322</w:t>
            </w:r>
          </w:p>
        </w:tc>
        <w:tc>
          <w:tcPr>
            <w:tcW w:w="2037" w:type="dxa"/>
            <w:tcBorders>
              <w:top w:val="single" w:color="auto" w:sz="6" w:space="0"/>
            </w:tcBorders>
          </w:tcPr>
          <w:p w14:paraId="2430B487">
            <w:pPr>
              <w:spacing w:before="180" w:after="120"/>
              <w:jc w:val="center"/>
              <w:rPr>
                <w:sz w:val="24"/>
                <w:szCs w:val="24"/>
              </w:rPr>
            </w:pPr>
            <w:r>
              <w:rPr>
                <w:sz w:val="24"/>
                <w:szCs w:val="24"/>
              </w:rPr>
              <w:t>2,322</w:t>
            </w:r>
          </w:p>
        </w:tc>
        <w:tc>
          <w:tcPr>
            <w:tcW w:w="0" w:type="auto"/>
            <w:tcBorders>
              <w:top w:val="single" w:color="auto" w:sz="6" w:space="0"/>
            </w:tcBorders>
          </w:tcPr>
          <w:p w14:paraId="7B8A64CC">
            <w:pPr>
              <w:spacing w:before="180" w:after="120"/>
              <w:jc w:val="center"/>
              <w:rPr>
                <w:sz w:val="24"/>
                <w:szCs w:val="24"/>
              </w:rPr>
            </w:pPr>
            <w:r>
              <w:rPr>
                <w:sz w:val="24"/>
                <w:szCs w:val="24"/>
              </w:rPr>
              <w:t>2,322</w:t>
            </w:r>
          </w:p>
        </w:tc>
      </w:tr>
      <w:tr w14:paraId="5782FB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39B375C6">
            <w:pPr>
              <w:spacing w:before="180" w:after="120"/>
              <w:jc w:val="center"/>
              <w:rPr>
                <w:sz w:val="24"/>
                <w:szCs w:val="24"/>
              </w:rPr>
            </w:pPr>
            <w:r>
              <w:rPr>
                <w:sz w:val="24"/>
                <w:szCs w:val="24"/>
              </w:rPr>
              <w:t>均值</w:t>
            </w:r>
          </w:p>
        </w:tc>
        <w:tc>
          <w:tcPr>
            <w:tcW w:w="2126" w:type="dxa"/>
          </w:tcPr>
          <w:p w14:paraId="34B9F16A">
            <w:pPr>
              <w:spacing w:before="180" w:after="120"/>
              <w:jc w:val="center"/>
              <w:rPr>
                <w:sz w:val="24"/>
                <w:szCs w:val="24"/>
              </w:rPr>
            </w:pPr>
            <w:r>
              <w:rPr>
                <w:rStyle w:val="20"/>
                <w:sz w:val="24"/>
                <w:szCs w:val="24"/>
              </w:rPr>
              <w:t>+0.000175</w:t>
            </w:r>
          </w:p>
        </w:tc>
        <w:tc>
          <w:tcPr>
            <w:tcW w:w="2037" w:type="dxa"/>
          </w:tcPr>
          <w:p w14:paraId="5C6F4A18">
            <w:pPr>
              <w:spacing w:before="180" w:after="120"/>
              <w:jc w:val="center"/>
              <w:rPr>
                <w:sz w:val="24"/>
                <w:szCs w:val="24"/>
              </w:rPr>
            </w:pPr>
            <w:r>
              <w:rPr>
                <w:rStyle w:val="20"/>
                <w:sz w:val="24"/>
                <w:szCs w:val="24"/>
              </w:rPr>
              <w:t>+0.000536</w:t>
            </w:r>
          </w:p>
        </w:tc>
        <w:tc>
          <w:tcPr>
            <w:tcW w:w="0" w:type="auto"/>
          </w:tcPr>
          <w:p w14:paraId="347A6BB6">
            <w:pPr>
              <w:spacing w:before="180" w:after="120"/>
              <w:jc w:val="center"/>
              <w:rPr>
                <w:sz w:val="24"/>
                <w:szCs w:val="24"/>
              </w:rPr>
            </w:pPr>
            <w:r>
              <w:rPr>
                <w:rStyle w:val="20"/>
                <w:sz w:val="24"/>
                <w:szCs w:val="24"/>
              </w:rPr>
              <w:t>+0.000076</w:t>
            </w:r>
          </w:p>
        </w:tc>
      </w:tr>
      <w:tr w14:paraId="22D06A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552" w:type="dxa"/>
          </w:tcPr>
          <w:p w14:paraId="56FD545D">
            <w:pPr>
              <w:spacing w:before="180" w:after="120"/>
              <w:jc w:val="center"/>
              <w:rPr>
                <w:sz w:val="24"/>
                <w:szCs w:val="24"/>
              </w:rPr>
            </w:pPr>
            <w:r>
              <w:rPr>
                <w:sz w:val="24"/>
                <w:szCs w:val="24"/>
              </w:rPr>
              <w:t>标准差</w:t>
            </w:r>
          </w:p>
        </w:tc>
        <w:tc>
          <w:tcPr>
            <w:tcW w:w="2126" w:type="dxa"/>
          </w:tcPr>
          <w:p w14:paraId="4F9A690C">
            <w:pPr>
              <w:spacing w:before="180" w:after="120"/>
              <w:jc w:val="center"/>
              <w:rPr>
                <w:sz w:val="24"/>
                <w:szCs w:val="24"/>
              </w:rPr>
            </w:pPr>
            <w:r>
              <w:rPr>
                <w:sz w:val="24"/>
                <w:szCs w:val="24"/>
              </w:rPr>
              <w:t>0.011572</w:t>
            </w:r>
          </w:p>
        </w:tc>
        <w:tc>
          <w:tcPr>
            <w:tcW w:w="2037" w:type="dxa"/>
          </w:tcPr>
          <w:p w14:paraId="71BCD576">
            <w:pPr>
              <w:spacing w:before="180" w:after="120"/>
              <w:jc w:val="center"/>
              <w:rPr>
                <w:sz w:val="24"/>
                <w:szCs w:val="24"/>
              </w:rPr>
            </w:pPr>
            <w:r>
              <w:rPr>
                <w:sz w:val="24"/>
                <w:szCs w:val="24"/>
              </w:rPr>
              <w:t>0.009698</w:t>
            </w:r>
          </w:p>
        </w:tc>
        <w:tc>
          <w:tcPr>
            <w:tcW w:w="0" w:type="auto"/>
          </w:tcPr>
          <w:p w14:paraId="7456037B">
            <w:pPr>
              <w:spacing w:before="180" w:after="120"/>
              <w:jc w:val="center"/>
              <w:rPr>
                <w:sz w:val="24"/>
                <w:szCs w:val="24"/>
              </w:rPr>
            </w:pPr>
            <w:r>
              <w:rPr>
                <w:rStyle w:val="20"/>
                <w:sz w:val="24"/>
                <w:szCs w:val="24"/>
              </w:rPr>
              <w:t>0.029811</w:t>
            </w:r>
          </w:p>
        </w:tc>
      </w:tr>
      <w:tr w14:paraId="300C3A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307FD752">
            <w:pPr>
              <w:spacing w:before="180" w:after="120"/>
              <w:jc w:val="center"/>
              <w:rPr>
                <w:sz w:val="24"/>
                <w:szCs w:val="24"/>
              </w:rPr>
            </w:pPr>
            <w:r>
              <w:rPr>
                <w:sz w:val="24"/>
                <w:szCs w:val="24"/>
              </w:rPr>
              <w:t>年化波动率</w:t>
            </w:r>
          </w:p>
        </w:tc>
        <w:tc>
          <w:tcPr>
            <w:tcW w:w="2126" w:type="dxa"/>
          </w:tcPr>
          <w:p w14:paraId="337443A6">
            <w:pPr>
              <w:spacing w:before="180" w:after="120"/>
              <w:jc w:val="center"/>
              <w:rPr>
                <w:sz w:val="24"/>
                <w:szCs w:val="24"/>
              </w:rPr>
            </w:pPr>
            <w:r>
              <w:rPr>
                <w:sz w:val="24"/>
                <w:szCs w:val="24"/>
              </w:rPr>
              <w:t>~18.4%</w:t>
            </w:r>
          </w:p>
        </w:tc>
        <w:tc>
          <w:tcPr>
            <w:tcW w:w="2037" w:type="dxa"/>
          </w:tcPr>
          <w:p w14:paraId="0E540F80">
            <w:pPr>
              <w:spacing w:before="180" w:after="120"/>
              <w:jc w:val="center"/>
              <w:rPr>
                <w:sz w:val="24"/>
                <w:szCs w:val="24"/>
              </w:rPr>
            </w:pPr>
            <w:r>
              <w:rPr>
                <w:sz w:val="24"/>
                <w:szCs w:val="24"/>
              </w:rPr>
              <w:t>~15.4%</w:t>
            </w:r>
          </w:p>
        </w:tc>
        <w:tc>
          <w:tcPr>
            <w:tcW w:w="0" w:type="auto"/>
          </w:tcPr>
          <w:p w14:paraId="49E34CF5">
            <w:pPr>
              <w:spacing w:before="180" w:after="120"/>
              <w:jc w:val="center"/>
              <w:rPr>
                <w:sz w:val="24"/>
                <w:szCs w:val="24"/>
              </w:rPr>
            </w:pPr>
            <w:r>
              <w:rPr>
                <w:sz w:val="24"/>
                <w:szCs w:val="24"/>
              </w:rPr>
              <w:t>~47.3%</w:t>
            </w:r>
          </w:p>
        </w:tc>
      </w:tr>
      <w:tr w14:paraId="044724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552" w:type="dxa"/>
          </w:tcPr>
          <w:p w14:paraId="602694DC">
            <w:pPr>
              <w:spacing w:before="180" w:after="120"/>
              <w:jc w:val="center"/>
              <w:rPr>
                <w:sz w:val="24"/>
                <w:szCs w:val="24"/>
              </w:rPr>
            </w:pPr>
            <w:r>
              <w:rPr>
                <w:sz w:val="24"/>
                <w:szCs w:val="24"/>
              </w:rPr>
              <w:t>偏度 (Skewness)</w:t>
            </w:r>
          </w:p>
        </w:tc>
        <w:tc>
          <w:tcPr>
            <w:tcW w:w="2126" w:type="dxa"/>
          </w:tcPr>
          <w:p w14:paraId="4329AEC9">
            <w:pPr>
              <w:spacing w:before="180" w:after="120"/>
              <w:jc w:val="center"/>
              <w:rPr>
                <w:sz w:val="24"/>
                <w:szCs w:val="24"/>
              </w:rPr>
            </w:pPr>
            <w:r>
              <w:rPr>
                <w:sz w:val="24"/>
                <w:szCs w:val="24"/>
              </w:rPr>
              <w:t>-0.238</w:t>
            </w:r>
          </w:p>
        </w:tc>
        <w:tc>
          <w:tcPr>
            <w:tcW w:w="2037" w:type="dxa"/>
          </w:tcPr>
          <w:p w14:paraId="31234051">
            <w:pPr>
              <w:spacing w:before="180" w:after="120"/>
              <w:jc w:val="center"/>
              <w:rPr>
                <w:sz w:val="24"/>
                <w:szCs w:val="24"/>
              </w:rPr>
            </w:pPr>
            <w:r>
              <w:rPr>
                <w:sz w:val="24"/>
                <w:szCs w:val="24"/>
              </w:rPr>
              <w:t>-0.185</w:t>
            </w:r>
          </w:p>
        </w:tc>
        <w:tc>
          <w:tcPr>
            <w:tcW w:w="0" w:type="auto"/>
          </w:tcPr>
          <w:p w14:paraId="30674176">
            <w:pPr>
              <w:spacing w:before="180" w:after="120"/>
              <w:jc w:val="center"/>
              <w:rPr>
                <w:sz w:val="24"/>
                <w:szCs w:val="24"/>
              </w:rPr>
            </w:pPr>
            <w:r>
              <w:rPr>
                <w:rStyle w:val="20"/>
                <w:sz w:val="24"/>
                <w:szCs w:val="24"/>
              </w:rPr>
              <w:t>-2.031</w:t>
            </w:r>
          </w:p>
        </w:tc>
      </w:tr>
      <w:tr w14:paraId="388D4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38420524">
            <w:pPr>
              <w:spacing w:before="180" w:after="120"/>
              <w:jc w:val="center"/>
              <w:rPr>
                <w:sz w:val="24"/>
                <w:szCs w:val="24"/>
              </w:rPr>
            </w:pPr>
            <w:r>
              <w:rPr>
                <w:sz w:val="24"/>
                <w:szCs w:val="24"/>
              </w:rPr>
              <w:t>超额峰度 (Kurtosis)</w:t>
            </w:r>
          </w:p>
        </w:tc>
        <w:tc>
          <w:tcPr>
            <w:tcW w:w="2126" w:type="dxa"/>
          </w:tcPr>
          <w:p w14:paraId="57CC1948">
            <w:pPr>
              <w:spacing w:before="180" w:after="120"/>
              <w:jc w:val="center"/>
              <w:rPr>
                <w:sz w:val="24"/>
                <w:szCs w:val="24"/>
              </w:rPr>
            </w:pPr>
            <w:r>
              <w:rPr>
                <w:rStyle w:val="20"/>
                <w:sz w:val="24"/>
                <w:szCs w:val="24"/>
              </w:rPr>
              <w:t>+5.58</w:t>
            </w:r>
          </w:p>
        </w:tc>
        <w:tc>
          <w:tcPr>
            <w:tcW w:w="2037" w:type="dxa"/>
          </w:tcPr>
          <w:p w14:paraId="4BF2CBE0">
            <w:pPr>
              <w:spacing w:before="180" w:after="120"/>
              <w:jc w:val="center"/>
              <w:rPr>
                <w:sz w:val="24"/>
                <w:szCs w:val="24"/>
              </w:rPr>
            </w:pPr>
            <w:r>
              <w:rPr>
                <w:rStyle w:val="20"/>
                <w:sz w:val="24"/>
                <w:szCs w:val="24"/>
              </w:rPr>
              <w:t>+4.18</w:t>
            </w:r>
          </w:p>
        </w:tc>
        <w:tc>
          <w:tcPr>
            <w:tcW w:w="0" w:type="auto"/>
          </w:tcPr>
          <w:p w14:paraId="3C843FB8">
            <w:pPr>
              <w:spacing w:before="180" w:after="120"/>
              <w:jc w:val="center"/>
              <w:rPr>
                <w:sz w:val="24"/>
                <w:szCs w:val="24"/>
              </w:rPr>
            </w:pPr>
            <w:r>
              <w:rPr>
                <w:rStyle w:val="20"/>
                <w:sz w:val="24"/>
                <w:szCs w:val="24"/>
              </w:rPr>
              <w:t>+48.80</w:t>
            </w:r>
          </w:p>
        </w:tc>
      </w:tr>
      <w:tr w14:paraId="35DE43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1FBE03AE">
            <w:pPr>
              <w:spacing w:before="180" w:after="120"/>
              <w:jc w:val="center"/>
              <w:rPr>
                <w:sz w:val="24"/>
                <w:szCs w:val="24"/>
              </w:rPr>
            </w:pPr>
            <w:r>
              <w:rPr>
                <w:sz w:val="24"/>
                <w:szCs w:val="24"/>
              </w:rPr>
              <w:t>VaR_5%</w:t>
            </w:r>
          </w:p>
        </w:tc>
        <w:tc>
          <w:tcPr>
            <w:tcW w:w="2126" w:type="dxa"/>
          </w:tcPr>
          <w:p w14:paraId="579FF0DE">
            <w:pPr>
              <w:spacing w:before="180" w:after="120"/>
              <w:jc w:val="center"/>
              <w:rPr>
                <w:sz w:val="24"/>
                <w:szCs w:val="24"/>
              </w:rPr>
            </w:pPr>
            <w:r>
              <w:rPr>
                <w:sz w:val="24"/>
                <w:szCs w:val="24"/>
              </w:rPr>
              <w:t>-0.017162</w:t>
            </w:r>
          </w:p>
        </w:tc>
        <w:tc>
          <w:tcPr>
            <w:tcW w:w="2037" w:type="dxa"/>
          </w:tcPr>
          <w:p w14:paraId="2DE85981">
            <w:pPr>
              <w:spacing w:before="180" w:after="120"/>
              <w:jc w:val="center"/>
              <w:rPr>
                <w:sz w:val="24"/>
                <w:szCs w:val="24"/>
              </w:rPr>
            </w:pPr>
            <w:r>
              <w:rPr>
                <w:sz w:val="24"/>
                <w:szCs w:val="24"/>
              </w:rPr>
              <w:t>-0.015195</w:t>
            </w:r>
          </w:p>
        </w:tc>
        <w:tc>
          <w:tcPr>
            <w:tcW w:w="0" w:type="auto"/>
          </w:tcPr>
          <w:p w14:paraId="45BE7012">
            <w:pPr>
              <w:spacing w:before="180" w:after="120"/>
              <w:jc w:val="center"/>
              <w:rPr>
                <w:sz w:val="24"/>
                <w:szCs w:val="24"/>
              </w:rPr>
            </w:pPr>
            <w:r>
              <w:rPr>
                <w:sz w:val="24"/>
                <w:szCs w:val="24"/>
              </w:rPr>
              <w:t>-0.037957</w:t>
            </w:r>
          </w:p>
        </w:tc>
      </w:tr>
      <w:tr w14:paraId="2BB77C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552" w:type="dxa"/>
          </w:tcPr>
          <w:p w14:paraId="2AE179DA">
            <w:pPr>
              <w:spacing w:before="180" w:after="120"/>
              <w:jc w:val="center"/>
              <w:rPr>
                <w:sz w:val="24"/>
                <w:szCs w:val="24"/>
              </w:rPr>
            </w:pPr>
            <w:r>
              <w:rPr>
                <w:sz w:val="24"/>
                <w:szCs w:val="24"/>
              </w:rPr>
              <w:t>CVaR_5%</w:t>
            </w:r>
          </w:p>
        </w:tc>
        <w:tc>
          <w:tcPr>
            <w:tcW w:w="2126" w:type="dxa"/>
          </w:tcPr>
          <w:p w14:paraId="270C58FE">
            <w:pPr>
              <w:spacing w:before="180" w:after="120"/>
              <w:jc w:val="center"/>
              <w:rPr>
                <w:sz w:val="24"/>
                <w:szCs w:val="24"/>
              </w:rPr>
            </w:pPr>
            <w:r>
              <w:rPr>
                <w:sz w:val="24"/>
                <w:szCs w:val="24"/>
              </w:rPr>
              <w:t>-0.027088</w:t>
            </w:r>
          </w:p>
        </w:tc>
        <w:tc>
          <w:tcPr>
            <w:tcW w:w="2037" w:type="dxa"/>
          </w:tcPr>
          <w:p w14:paraId="1FBED5FA">
            <w:pPr>
              <w:spacing w:before="180" w:after="120"/>
              <w:jc w:val="center"/>
              <w:rPr>
                <w:sz w:val="24"/>
                <w:szCs w:val="24"/>
              </w:rPr>
            </w:pPr>
            <w:r>
              <w:rPr>
                <w:sz w:val="24"/>
                <w:szCs w:val="24"/>
              </w:rPr>
              <w:t>-0.022311</w:t>
            </w:r>
          </w:p>
        </w:tc>
        <w:tc>
          <w:tcPr>
            <w:tcW w:w="0" w:type="auto"/>
          </w:tcPr>
          <w:p w14:paraId="77239928">
            <w:pPr>
              <w:spacing w:before="180" w:after="120"/>
              <w:jc w:val="center"/>
              <w:rPr>
                <w:sz w:val="24"/>
                <w:szCs w:val="24"/>
              </w:rPr>
            </w:pPr>
            <w:r>
              <w:rPr>
                <w:rStyle w:val="20"/>
                <w:sz w:val="24"/>
                <w:szCs w:val="24"/>
              </w:rPr>
              <w:t>-0.068270</w:t>
            </w:r>
          </w:p>
        </w:tc>
      </w:tr>
      <w:tr w14:paraId="169516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392A8D65">
            <w:pPr>
              <w:spacing w:before="180" w:after="120"/>
              <w:jc w:val="center"/>
              <w:rPr>
                <w:sz w:val="24"/>
                <w:szCs w:val="24"/>
              </w:rPr>
            </w:pPr>
            <w:r>
              <w:rPr>
                <w:sz w:val="24"/>
                <w:szCs w:val="24"/>
              </w:rPr>
              <w:t>正值占比</w:t>
            </w:r>
          </w:p>
        </w:tc>
        <w:tc>
          <w:tcPr>
            <w:tcW w:w="2126" w:type="dxa"/>
          </w:tcPr>
          <w:p w14:paraId="307F2978">
            <w:pPr>
              <w:spacing w:before="180" w:after="120"/>
              <w:jc w:val="center"/>
              <w:rPr>
                <w:sz w:val="24"/>
                <w:szCs w:val="24"/>
              </w:rPr>
            </w:pPr>
            <w:r>
              <w:rPr>
                <w:sz w:val="24"/>
                <w:szCs w:val="24"/>
              </w:rPr>
              <w:t>51.0%</w:t>
            </w:r>
          </w:p>
        </w:tc>
        <w:tc>
          <w:tcPr>
            <w:tcW w:w="2037" w:type="dxa"/>
          </w:tcPr>
          <w:p w14:paraId="1966A8E7">
            <w:pPr>
              <w:spacing w:before="180" w:after="120"/>
              <w:jc w:val="center"/>
              <w:rPr>
                <w:sz w:val="24"/>
                <w:szCs w:val="24"/>
              </w:rPr>
            </w:pPr>
            <w:r>
              <w:rPr>
                <w:sz w:val="24"/>
                <w:szCs w:val="24"/>
              </w:rPr>
              <w:t>53.2%</w:t>
            </w:r>
          </w:p>
        </w:tc>
        <w:tc>
          <w:tcPr>
            <w:tcW w:w="0" w:type="auto"/>
          </w:tcPr>
          <w:p w14:paraId="126A6443">
            <w:pPr>
              <w:spacing w:before="180" w:after="120"/>
              <w:jc w:val="center"/>
              <w:rPr>
                <w:sz w:val="24"/>
                <w:szCs w:val="24"/>
              </w:rPr>
            </w:pPr>
            <w:r>
              <w:rPr>
                <w:sz w:val="24"/>
                <w:szCs w:val="24"/>
              </w:rPr>
              <w:t>52.8%</w:t>
            </w:r>
          </w:p>
        </w:tc>
      </w:tr>
      <w:tr w14:paraId="735813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2552" w:type="dxa"/>
          </w:tcPr>
          <w:p w14:paraId="70914851">
            <w:pPr>
              <w:spacing w:before="180" w:after="120"/>
              <w:jc w:val="center"/>
              <w:rPr>
                <w:sz w:val="24"/>
                <w:szCs w:val="24"/>
              </w:rPr>
            </w:pPr>
            <w:r>
              <w:rPr>
                <w:sz w:val="24"/>
                <w:szCs w:val="24"/>
              </w:rPr>
              <w:t>一阶自相关 ACF(1)</w:t>
            </w:r>
          </w:p>
        </w:tc>
        <w:tc>
          <w:tcPr>
            <w:tcW w:w="2126" w:type="dxa"/>
          </w:tcPr>
          <w:p w14:paraId="10904FFA">
            <w:pPr>
              <w:spacing w:before="180" w:after="120"/>
              <w:jc w:val="center"/>
              <w:rPr>
                <w:sz w:val="24"/>
                <w:szCs w:val="24"/>
              </w:rPr>
            </w:pPr>
            <w:r>
              <w:rPr>
                <w:sz w:val="24"/>
                <w:szCs w:val="24"/>
              </w:rPr>
              <w:t>0.0121</w:t>
            </w:r>
          </w:p>
        </w:tc>
        <w:tc>
          <w:tcPr>
            <w:tcW w:w="2037" w:type="dxa"/>
          </w:tcPr>
          <w:p w14:paraId="0B58E9BD">
            <w:pPr>
              <w:spacing w:before="180" w:after="120"/>
              <w:jc w:val="center"/>
              <w:rPr>
                <w:sz w:val="24"/>
                <w:szCs w:val="24"/>
              </w:rPr>
            </w:pPr>
            <w:r>
              <w:rPr>
                <w:sz w:val="24"/>
                <w:szCs w:val="24"/>
              </w:rPr>
              <w:t>-0.0018</w:t>
            </w:r>
          </w:p>
        </w:tc>
        <w:tc>
          <w:tcPr>
            <w:tcW w:w="0" w:type="auto"/>
          </w:tcPr>
          <w:p w14:paraId="6D0BA8D0">
            <w:pPr>
              <w:spacing w:before="180" w:after="120"/>
              <w:jc w:val="center"/>
              <w:rPr>
                <w:sz w:val="24"/>
                <w:szCs w:val="24"/>
              </w:rPr>
            </w:pPr>
            <w:r>
              <w:rPr>
                <w:sz w:val="24"/>
                <w:szCs w:val="24"/>
              </w:rPr>
              <w:t>0.0292</w:t>
            </w:r>
          </w:p>
        </w:tc>
      </w:tr>
      <w:tr w14:paraId="3C9C11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trPr>
        <w:tc>
          <w:tcPr>
            <w:tcW w:w="2552" w:type="dxa"/>
          </w:tcPr>
          <w:p w14:paraId="14ECEFD2">
            <w:pPr>
              <w:spacing w:before="180" w:after="120"/>
              <w:jc w:val="center"/>
              <w:rPr>
                <w:sz w:val="24"/>
                <w:szCs w:val="24"/>
              </w:rPr>
            </w:pPr>
            <w:r>
              <w:rPr>
                <w:sz w:val="24"/>
                <w:szCs w:val="24"/>
              </w:rPr>
              <w:t>尾比 (Q99-Q1)/(Q75-Q25)</w:t>
            </w:r>
          </w:p>
        </w:tc>
        <w:tc>
          <w:tcPr>
            <w:tcW w:w="2126" w:type="dxa"/>
          </w:tcPr>
          <w:p w14:paraId="60B914F1">
            <w:pPr>
              <w:spacing w:before="180" w:after="120"/>
              <w:jc w:val="center"/>
              <w:rPr>
                <w:sz w:val="24"/>
                <w:szCs w:val="24"/>
              </w:rPr>
            </w:pPr>
            <w:r>
              <w:rPr>
                <w:sz w:val="24"/>
                <w:szCs w:val="24"/>
              </w:rPr>
              <w:t>5.22</w:t>
            </w:r>
          </w:p>
        </w:tc>
        <w:tc>
          <w:tcPr>
            <w:tcW w:w="2037" w:type="dxa"/>
          </w:tcPr>
          <w:p w14:paraId="37655098">
            <w:pPr>
              <w:spacing w:before="180" w:after="120"/>
              <w:jc w:val="center"/>
              <w:rPr>
                <w:sz w:val="24"/>
                <w:szCs w:val="24"/>
              </w:rPr>
            </w:pPr>
            <w:r>
              <w:rPr>
                <w:sz w:val="24"/>
                <w:szCs w:val="24"/>
              </w:rPr>
              <w:t>5.27</w:t>
            </w:r>
          </w:p>
        </w:tc>
        <w:tc>
          <w:tcPr>
            <w:tcW w:w="0" w:type="auto"/>
          </w:tcPr>
          <w:p w14:paraId="44D1B867">
            <w:pPr>
              <w:spacing w:before="180" w:after="120"/>
              <w:jc w:val="center"/>
              <w:rPr>
                <w:sz w:val="24"/>
                <w:szCs w:val="24"/>
              </w:rPr>
            </w:pPr>
            <w:r>
              <w:rPr>
                <w:sz w:val="24"/>
                <w:szCs w:val="24"/>
              </w:rPr>
              <w:t>5.52</w:t>
            </w:r>
          </w:p>
        </w:tc>
      </w:tr>
    </w:tbl>
    <w:p w14:paraId="4A562DF0">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hint="eastAsia" w:ascii="宋体" w:hAnsi="宋体" w:cs="宋体"/>
          <w:b/>
          <w:bCs/>
          <w:color w:val="auto"/>
          <w:kern w:val="0"/>
          <w:szCs w:val="28"/>
        </w:rPr>
        <w:t>4.3</w:t>
      </w:r>
      <w:r>
        <w:rPr>
          <w:rFonts w:ascii="宋体" w:hAnsi="宋体" w:cs="宋体"/>
          <w:b/>
          <w:bCs/>
          <w:color w:val="auto"/>
          <w:kern w:val="0"/>
          <w:szCs w:val="28"/>
        </w:rPr>
        <w:t>.2 关键发现</w:t>
      </w:r>
    </w:p>
    <w:p w14:paraId="672D1CC3">
      <w:r>
        <w:rPr>
          <w:b/>
          <w:bCs/>
        </w:rPr>
        <w:t>（1）收益率的厚尾特征</w:t>
      </w:r>
    </w:p>
    <w:p w14:paraId="48B5571B">
      <w:pPr>
        <w:ind w:firstLine="560" w:firstLineChars="200"/>
      </w:pPr>
      <w:r>
        <w:t>三个市场的超额峰度均显著大于 0，验证了金融资产收益率典型的</w:t>
      </w:r>
      <w:r>
        <w:rPr>
          <w:b/>
          <w:bCs/>
        </w:rPr>
        <w:t>尖峰厚尾</w:t>
      </w:r>
      <w:r>
        <w:t>特征：</w:t>
      </w:r>
    </w:p>
    <w:p w14:paraId="6FDB80B8">
      <w:pPr>
        <w:numPr>
          <w:ilvl w:val="0"/>
          <w:numId w:val="3"/>
        </w:numPr>
      </w:pPr>
      <w:r>
        <w:t>CrudeOil 的超额峰度最高（</w:t>
      </w:r>
      <w:r>
        <w:rPr>
          <w:b/>
          <w:bCs/>
        </w:rPr>
        <w:t>+48.80</w:t>
      </w:r>
      <w:r>
        <w:t>），尾部极端事件密度远高于正态分布假设</w:t>
      </w:r>
    </w:p>
    <w:p w14:paraId="52E611D9">
      <w:pPr>
        <w:numPr>
          <w:ilvl w:val="0"/>
          <w:numId w:val="3"/>
        </w:numPr>
      </w:pPr>
      <w:r>
        <w:t>CSI300（+5.58）和 Gold（+4.18）也呈现显著厚尾</w:t>
      </w:r>
    </w:p>
    <w:p w14:paraId="5F47872C">
      <w:pPr>
        <w:numPr>
          <w:ilvl w:val="0"/>
          <w:numId w:val="3"/>
        </w:numPr>
      </w:pPr>
      <w:r>
        <w:t>这一特征直接支持使用**核密度估计（KDE）**而非正态分布来建模收益分布</w:t>
      </w:r>
    </w:p>
    <w:p w14:paraId="56199EEA">
      <w:r>
        <w:rPr>
          <w:b/>
          <w:bCs/>
        </w:rPr>
        <w:t>（2）偏度特征</w:t>
      </w:r>
    </w:p>
    <w:p w14:paraId="2FF2617B">
      <w:pPr>
        <w:numPr>
          <w:ilvl w:val="0"/>
          <w:numId w:val="4"/>
        </w:numPr>
      </w:pPr>
      <w:r>
        <w:t>三个市场全样本偏度均为</w:t>
      </w:r>
      <w:r>
        <w:rPr>
          <w:b/>
          <w:bCs/>
        </w:rPr>
        <w:t>负值</w:t>
      </w:r>
      <w:r>
        <w:t>，指示下行风险大于上行潜力</w:t>
      </w:r>
    </w:p>
    <w:p w14:paraId="009289CC">
      <w:pPr>
        <w:numPr>
          <w:ilvl w:val="0"/>
          <w:numId w:val="4"/>
        </w:numPr>
      </w:pPr>
      <w:r>
        <w:t>CrudeOil 的负偏度最为严重（</w:t>
      </w:r>
      <w:r>
        <w:rPr>
          <w:b/>
          <w:bCs/>
        </w:rPr>
        <w:t>-2.031</w:t>
      </w:r>
      <w:r>
        <w:t>），主要受 2020 年原油危机极端负收益率拖累</w:t>
      </w:r>
    </w:p>
    <w:p w14:paraId="10BD0FFC">
      <w:pPr>
        <w:numPr>
          <w:ilvl w:val="0"/>
          <w:numId w:val="4"/>
        </w:numPr>
      </w:pPr>
      <w:r>
        <w:t>但在**验证集（2023-2024）**中，CSI300 和 Gold 偏度转正，反映该时期市场整体处于温和上行环境</w:t>
      </w:r>
    </w:p>
    <w:p w14:paraId="401AE4DB">
      <w:r>
        <w:rPr>
          <w:b/>
          <w:bCs/>
        </w:rPr>
        <w:t>（3）波动率分层</w:t>
      </w:r>
    </w:p>
    <w:p w14:paraId="62CA6E46">
      <w:pPr>
        <w:numPr>
          <w:ilvl w:val="0"/>
          <w:numId w:val="5"/>
        </w:numPr>
      </w:pPr>
      <w:r>
        <w:t>CrudeOil 的年化波动率（~47.3%）远高于 CSI300（~18.4%）和 Gold（~15.4%）</w:t>
      </w:r>
    </w:p>
    <w:p w14:paraId="0AF56B52">
      <w:pPr>
        <w:numPr>
          <w:ilvl w:val="0"/>
          <w:numId w:val="5"/>
        </w:numPr>
      </w:pPr>
      <w:r>
        <w:t>原油波动率约为权益市场的 </w:t>
      </w:r>
      <w:r>
        <w:rPr>
          <w:b/>
          <w:bCs/>
        </w:rPr>
        <w:t>2.5 倍</w:t>
      </w:r>
      <w:r>
        <w:t>，约为黄金市场的 </w:t>
      </w:r>
      <w:r>
        <w:rPr>
          <w:b/>
          <w:bCs/>
        </w:rPr>
        <w:t>3 倍</w:t>
      </w:r>
    </w:p>
    <w:p w14:paraId="0422CDE2">
      <w:pPr>
        <w:numPr>
          <w:ilvl w:val="0"/>
          <w:numId w:val="5"/>
        </w:numPr>
      </w:pPr>
      <w:r>
        <w:t>滚动 60 天波动率分析显示，原油在 2020 年 4 月达到波动率峰值 </w:t>
      </w:r>
      <w:r>
        <w:rPr>
          <w:b/>
          <w:bCs/>
        </w:rPr>
        <w:t>12.81%</w:t>
      </w:r>
      <w:r>
        <w:t>（日度），为正常水平的 5 倍以上</w:t>
      </w:r>
    </w:p>
    <w:p w14:paraId="46410735">
      <w:r>
        <w:rPr>
          <w:b/>
          <w:bCs/>
        </w:rPr>
        <w:t>（4）VaR 与 CVaR</w:t>
      </w:r>
    </w:p>
    <w:p w14:paraId="47BE4742">
      <w:pPr>
        <w:numPr>
          <w:ilvl w:val="0"/>
          <w:numId w:val="6"/>
        </w:numPr>
      </w:pPr>
      <w:r>
        <w:t>原油 5% VaR（-3.80%）和 CVaR（-6.83%）约为 CSI300 的 2.2 倍和 2.5 倍</w:t>
      </w:r>
    </w:p>
    <w:p w14:paraId="69C081FF">
      <w:pPr>
        <w:numPr>
          <w:ilvl w:val="0"/>
          <w:numId w:val="6"/>
        </w:numPr>
      </w:pPr>
      <w:r>
        <w:t>CVaR/VaR 比率：CSI300=1.58, Gold=1.47, CrudeOil=1.80</w:t>
      </w:r>
    </w:p>
    <w:p w14:paraId="1947F75E">
      <w:pPr>
        <w:numPr>
          <w:ilvl w:val="0"/>
          <w:numId w:val="6"/>
        </w:numPr>
      </w:pPr>
      <w:r>
        <w:t>原油的 CVaR/VaR 比率最高，说明尾部极端损失的严重程度远超 VaR 阈值所指示的水平</w:t>
      </w:r>
    </w:p>
    <w:p w14:paraId="78E9A1EB">
      <w:r>
        <w:rPr>
          <w:b/>
          <w:bCs/>
        </w:rPr>
        <w:t>（5）无显著自相关</w:t>
      </w:r>
    </w:p>
    <w:p w14:paraId="35F5AD3B">
      <w:pPr>
        <w:numPr>
          <w:ilvl w:val="0"/>
          <w:numId w:val="7"/>
        </w:numPr>
      </w:pPr>
      <w:r>
        <w:t>三个市场的一阶自相关系数均接近于 0（最高为原油的 0.0292）</w:t>
      </w:r>
    </w:p>
    <w:p w14:paraId="2D0389D3">
      <w:pPr>
        <w:numPr>
          <w:ilvl w:val="0"/>
          <w:numId w:val="7"/>
        </w:numPr>
      </w:pPr>
      <w:r>
        <w:t>表明收益率序列近似白噪声，支持使用独立同分布假设进行建模</w:t>
      </w:r>
    </w:p>
    <w:p w14:paraId="7BCB31E0">
      <w:pPr>
        <w:widowControl/>
        <w:spacing w:before="100" w:beforeAutospacing="1" w:after="100" w:afterAutospacing="1" w:line="240" w:lineRule="auto"/>
        <w:jc w:val="left"/>
        <w:outlineLvl w:val="2"/>
        <w:rPr>
          <w:rFonts w:cstheme="majorBidi"/>
          <w:b/>
          <w:szCs w:val="24"/>
        </w:rPr>
      </w:pPr>
      <w:r>
        <w:rPr>
          <w:rFonts w:hint="eastAsia" w:cstheme="majorBidi"/>
          <w:b/>
          <w:szCs w:val="24"/>
        </w:rPr>
        <w:t>4.3</w:t>
      </w:r>
      <w:r>
        <w:rPr>
          <w:rFonts w:cstheme="majorBidi"/>
          <w:b/>
          <w:szCs w:val="24"/>
        </w:rPr>
        <w:t>.3 各样本子集统计</w:t>
      </w:r>
    </w:p>
    <w:p w14:paraId="3D45507E">
      <w:r>
        <w:t>训练集（2016-05 ~ 2022-12, 1,601 天）</w:t>
      </w:r>
    </w:p>
    <w:tbl>
      <w:tblPr>
        <w:tblStyle w:val="41"/>
        <w:tblW w:w="850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4"/>
        <w:gridCol w:w="2133"/>
        <w:gridCol w:w="2133"/>
        <w:gridCol w:w="2233"/>
      </w:tblGrid>
      <w:tr w14:paraId="4028E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0" w:type="auto"/>
            <w:tcBorders>
              <w:bottom w:val="single" w:color="auto" w:sz="6" w:space="0"/>
            </w:tcBorders>
            <w:noWrap/>
            <w:vAlign w:val="center"/>
          </w:tcPr>
          <w:p w14:paraId="272DBDD4">
            <w:pPr>
              <w:pStyle w:val="43"/>
              <w:jc w:val="center"/>
            </w:pPr>
            <w:r>
              <w:t>统计量</w:t>
            </w:r>
          </w:p>
        </w:tc>
        <w:tc>
          <w:tcPr>
            <w:tcW w:w="0" w:type="auto"/>
            <w:tcBorders>
              <w:bottom w:val="single" w:color="auto" w:sz="6" w:space="0"/>
            </w:tcBorders>
            <w:noWrap/>
            <w:vAlign w:val="center"/>
          </w:tcPr>
          <w:p w14:paraId="20D82F81">
            <w:pPr>
              <w:pStyle w:val="43"/>
              <w:jc w:val="center"/>
            </w:pPr>
            <w:r>
              <w:t>r_CSI300</w:t>
            </w:r>
          </w:p>
        </w:tc>
        <w:tc>
          <w:tcPr>
            <w:tcW w:w="0" w:type="auto"/>
            <w:tcBorders>
              <w:bottom w:val="single" w:color="auto" w:sz="6" w:space="0"/>
            </w:tcBorders>
            <w:noWrap/>
            <w:vAlign w:val="center"/>
          </w:tcPr>
          <w:p w14:paraId="20A33843">
            <w:pPr>
              <w:pStyle w:val="43"/>
              <w:jc w:val="center"/>
            </w:pPr>
            <w:r>
              <w:t>r_Gold</w:t>
            </w:r>
          </w:p>
        </w:tc>
        <w:tc>
          <w:tcPr>
            <w:tcW w:w="0" w:type="auto"/>
            <w:tcBorders>
              <w:bottom w:val="single" w:color="auto" w:sz="6" w:space="0"/>
            </w:tcBorders>
            <w:noWrap/>
            <w:vAlign w:val="center"/>
          </w:tcPr>
          <w:p w14:paraId="30B2385C">
            <w:pPr>
              <w:pStyle w:val="43"/>
              <w:jc w:val="center"/>
            </w:pPr>
            <w:r>
              <w:t>r_CrudeOil</w:t>
            </w:r>
          </w:p>
        </w:tc>
      </w:tr>
      <w:tr w14:paraId="132A6A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0" w:type="auto"/>
            <w:tcBorders>
              <w:top w:val="single" w:color="auto" w:sz="6" w:space="0"/>
            </w:tcBorders>
            <w:vAlign w:val="center"/>
          </w:tcPr>
          <w:p w14:paraId="7C7EAA90">
            <w:pPr>
              <w:pStyle w:val="43"/>
              <w:jc w:val="center"/>
            </w:pPr>
            <w:r>
              <w:t>均值</w:t>
            </w:r>
          </w:p>
        </w:tc>
        <w:tc>
          <w:tcPr>
            <w:tcW w:w="0" w:type="auto"/>
            <w:tcBorders>
              <w:top w:val="single" w:color="auto" w:sz="6" w:space="0"/>
            </w:tcBorders>
            <w:vAlign w:val="center"/>
          </w:tcPr>
          <w:p w14:paraId="22625E29">
            <w:pPr>
              <w:pStyle w:val="43"/>
              <w:jc w:val="center"/>
            </w:pPr>
            <w:r>
              <w:t>+0.000141</w:t>
            </w:r>
          </w:p>
        </w:tc>
        <w:tc>
          <w:tcPr>
            <w:tcW w:w="0" w:type="auto"/>
            <w:tcBorders>
              <w:top w:val="single" w:color="auto" w:sz="6" w:space="0"/>
            </w:tcBorders>
            <w:vAlign w:val="center"/>
          </w:tcPr>
          <w:p w14:paraId="32C30A83">
            <w:pPr>
              <w:pStyle w:val="43"/>
              <w:jc w:val="center"/>
            </w:pPr>
            <w:r>
              <w:t>+0.000238</w:t>
            </w:r>
          </w:p>
        </w:tc>
        <w:tc>
          <w:tcPr>
            <w:tcW w:w="0" w:type="auto"/>
            <w:tcBorders>
              <w:top w:val="single" w:color="auto" w:sz="6" w:space="0"/>
            </w:tcBorders>
            <w:vAlign w:val="center"/>
          </w:tcPr>
          <w:p w14:paraId="7F76FF3B">
            <w:pPr>
              <w:pStyle w:val="43"/>
              <w:jc w:val="center"/>
            </w:pPr>
            <w:r>
              <w:t>+0.000321</w:t>
            </w:r>
          </w:p>
        </w:tc>
      </w:tr>
      <w:tr w14:paraId="1D7AA1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0" w:type="auto"/>
            <w:vAlign w:val="center"/>
          </w:tcPr>
          <w:p w14:paraId="5D4E2C61">
            <w:pPr>
              <w:pStyle w:val="43"/>
              <w:jc w:val="center"/>
            </w:pPr>
            <w:r>
              <w:t>标准差</w:t>
            </w:r>
          </w:p>
        </w:tc>
        <w:tc>
          <w:tcPr>
            <w:tcW w:w="0" w:type="auto"/>
            <w:vAlign w:val="center"/>
          </w:tcPr>
          <w:p w14:paraId="1B095CE8">
            <w:pPr>
              <w:pStyle w:val="43"/>
              <w:jc w:val="center"/>
            </w:pPr>
            <w:r>
              <w:t>0.011920</w:t>
            </w:r>
          </w:p>
        </w:tc>
        <w:tc>
          <w:tcPr>
            <w:tcW w:w="0" w:type="auto"/>
            <w:vAlign w:val="center"/>
          </w:tcPr>
          <w:p w14:paraId="513DF7B0">
            <w:pPr>
              <w:pStyle w:val="43"/>
              <w:jc w:val="center"/>
            </w:pPr>
            <w:r>
              <w:t>0.009140</w:t>
            </w:r>
          </w:p>
        </w:tc>
        <w:tc>
          <w:tcPr>
            <w:tcW w:w="0" w:type="auto"/>
            <w:vAlign w:val="center"/>
          </w:tcPr>
          <w:p w14:paraId="5153F8BF">
            <w:pPr>
              <w:pStyle w:val="43"/>
              <w:jc w:val="center"/>
            </w:pPr>
            <w:r>
              <w:rPr>
                <w:b/>
                <w:bCs/>
              </w:rPr>
              <w:t>0.033265</w:t>
            </w:r>
          </w:p>
        </w:tc>
      </w:tr>
      <w:tr w14:paraId="0E9667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0" w:type="auto"/>
            <w:vAlign w:val="center"/>
          </w:tcPr>
          <w:p w14:paraId="04839454">
            <w:pPr>
              <w:pStyle w:val="43"/>
              <w:jc w:val="center"/>
            </w:pPr>
            <w:r>
              <w:t>偏度</w:t>
            </w:r>
          </w:p>
        </w:tc>
        <w:tc>
          <w:tcPr>
            <w:tcW w:w="0" w:type="auto"/>
            <w:vAlign w:val="center"/>
          </w:tcPr>
          <w:p w14:paraId="46DE163C">
            <w:pPr>
              <w:pStyle w:val="43"/>
              <w:jc w:val="center"/>
            </w:pPr>
            <w:r>
              <w:t>-0.398</w:t>
            </w:r>
          </w:p>
        </w:tc>
        <w:tc>
          <w:tcPr>
            <w:tcW w:w="0" w:type="auto"/>
            <w:vAlign w:val="center"/>
          </w:tcPr>
          <w:p w14:paraId="5107CCB8">
            <w:pPr>
              <w:pStyle w:val="43"/>
              <w:jc w:val="center"/>
            </w:pPr>
            <w:r>
              <w:t>-0.153</w:t>
            </w:r>
          </w:p>
        </w:tc>
        <w:tc>
          <w:tcPr>
            <w:tcW w:w="0" w:type="auto"/>
            <w:vAlign w:val="center"/>
          </w:tcPr>
          <w:p w14:paraId="33458F47">
            <w:pPr>
              <w:pStyle w:val="43"/>
              <w:jc w:val="center"/>
            </w:pPr>
            <w:r>
              <w:rPr>
                <w:b/>
                <w:bCs/>
              </w:rPr>
              <w:t>-2.084</w:t>
            </w:r>
          </w:p>
        </w:tc>
      </w:tr>
      <w:tr w14:paraId="72B89E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0" w:type="auto"/>
            <w:vAlign w:val="center"/>
          </w:tcPr>
          <w:p w14:paraId="3B1B77A8">
            <w:pPr>
              <w:pStyle w:val="43"/>
              <w:jc w:val="center"/>
            </w:pPr>
            <w:r>
              <w:t>超额峰度</w:t>
            </w:r>
          </w:p>
        </w:tc>
        <w:tc>
          <w:tcPr>
            <w:tcW w:w="0" w:type="auto"/>
            <w:vAlign w:val="center"/>
          </w:tcPr>
          <w:p w14:paraId="27CA30DD">
            <w:pPr>
              <w:pStyle w:val="43"/>
              <w:jc w:val="center"/>
            </w:pPr>
            <w:r>
              <w:t>+3.69</w:t>
            </w:r>
          </w:p>
        </w:tc>
        <w:tc>
          <w:tcPr>
            <w:tcW w:w="0" w:type="auto"/>
            <w:vAlign w:val="center"/>
          </w:tcPr>
          <w:p w14:paraId="12C1570B">
            <w:pPr>
              <w:pStyle w:val="43"/>
              <w:jc w:val="center"/>
            </w:pPr>
            <w:r>
              <w:t>+5.18</w:t>
            </w:r>
          </w:p>
        </w:tc>
        <w:tc>
          <w:tcPr>
            <w:tcW w:w="0" w:type="auto"/>
            <w:vAlign w:val="center"/>
          </w:tcPr>
          <w:p w14:paraId="1E3502C9">
            <w:pPr>
              <w:pStyle w:val="43"/>
              <w:jc w:val="center"/>
            </w:pPr>
            <w:r>
              <w:rPr>
                <w:b/>
                <w:bCs/>
              </w:rPr>
              <w:t>+45.24</w:t>
            </w:r>
          </w:p>
        </w:tc>
      </w:tr>
    </w:tbl>
    <w:p w14:paraId="2FB5D5FF">
      <w:pPr>
        <w:ind w:firstLine="560" w:firstLineChars="200"/>
      </w:pPr>
      <w:r>
        <w:t>训练集包含最多极端事件（2018年贸易战、2020年疫情、2020年负油价、2022年俄乌冲突），峰度和偏度特征最突出。</w:t>
      </w:r>
    </w:p>
    <w:p w14:paraId="6DDF60B0">
      <w:r>
        <w:t>验证集（2023-01 ~ 2024-06, 356 天）</w:t>
      </w:r>
    </w:p>
    <w:tbl>
      <w:tblPr>
        <w:tblStyle w:val="41"/>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8"/>
        <w:gridCol w:w="2001"/>
        <w:gridCol w:w="2552"/>
        <w:gridCol w:w="1984"/>
      </w:tblGrid>
      <w:tr w14:paraId="7497B0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0" w:type="auto"/>
            <w:tcBorders>
              <w:bottom w:val="single" w:color="auto" w:sz="6" w:space="0"/>
            </w:tcBorders>
            <w:noWrap/>
            <w:vAlign w:val="center"/>
          </w:tcPr>
          <w:p w14:paraId="2D8D43F6">
            <w:pPr>
              <w:pStyle w:val="43"/>
              <w:jc w:val="center"/>
            </w:pPr>
            <w:r>
              <w:t>统计量</w:t>
            </w:r>
          </w:p>
        </w:tc>
        <w:tc>
          <w:tcPr>
            <w:tcW w:w="0" w:type="auto"/>
            <w:tcBorders>
              <w:bottom w:val="single" w:color="auto" w:sz="6" w:space="0"/>
            </w:tcBorders>
            <w:noWrap/>
            <w:vAlign w:val="center"/>
          </w:tcPr>
          <w:p w14:paraId="1F75104E">
            <w:pPr>
              <w:pStyle w:val="43"/>
              <w:jc w:val="center"/>
            </w:pPr>
            <w:r>
              <w:t>r_CSI300</w:t>
            </w:r>
          </w:p>
        </w:tc>
        <w:tc>
          <w:tcPr>
            <w:tcW w:w="2552" w:type="dxa"/>
            <w:tcBorders>
              <w:bottom w:val="single" w:color="auto" w:sz="6" w:space="0"/>
            </w:tcBorders>
            <w:noWrap/>
            <w:vAlign w:val="center"/>
          </w:tcPr>
          <w:p w14:paraId="68FF554D">
            <w:pPr>
              <w:pStyle w:val="43"/>
              <w:jc w:val="center"/>
            </w:pPr>
            <w:r>
              <w:t>r_Gold</w:t>
            </w:r>
          </w:p>
        </w:tc>
        <w:tc>
          <w:tcPr>
            <w:tcW w:w="1984" w:type="dxa"/>
            <w:tcBorders>
              <w:bottom w:val="single" w:color="auto" w:sz="6" w:space="0"/>
            </w:tcBorders>
            <w:noWrap/>
            <w:vAlign w:val="center"/>
          </w:tcPr>
          <w:p w14:paraId="26786A6D">
            <w:pPr>
              <w:pStyle w:val="43"/>
              <w:jc w:val="center"/>
            </w:pPr>
            <w:r>
              <w:t>r_CrudeOil</w:t>
            </w:r>
          </w:p>
        </w:tc>
      </w:tr>
      <w:tr w14:paraId="71D128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jc w:val="center"/>
        </w:trPr>
        <w:tc>
          <w:tcPr>
            <w:tcW w:w="0" w:type="auto"/>
            <w:tcBorders>
              <w:top w:val="single" w:color="auto" w:sz="6" w:space="0"/>
            </w:tcBorders>
            <w:vAlign w:val="center"/>
          </w:tcPr>
          <w:p w14:paraId="7A53C94C">
            <w:pPr>
              <w:pStyle w:val="43"/>
              <w:jc w:val="center"/>
            </w:pPr>
            <w:r>
              <w:t>均值</w:t>
            </w:r>
          </w:p>
        </w:tc>
        <w:tc>
          <w:tcPr>
            <w:tcW w:w="0" w:type="auto"/>
            <w:tcBorders>
              <w:top w:val="single" w:color="auto" w:sz="6" w:space="0"/>
            </w:tcBorders>
            <w:vAlign w:val="center"/>
          </w:tcPr>
          <w:p w14:paraId="7B5E5986">
            <w:pPr>
              <w:pStyle w:val="43"/>
              <w:jc w:val="center"/>
            </w:pPr>
            <w:r>
              <w:t>-0.000314</w:t>
            </w:r>
          </w:p>
        </w:tc>
        <w:tc>
          <w:tcPr>
            <w:tcW w:w="2552" w:type="dxa"/>
            <w:tcBorders>
              <w:top w:val="single" w:color="auto" w:sz="6" w:space="0"/>
            </w:tcBorders>
            <w:vAlign w:val="center"/>
          </w:tcPr>
          <w:p w14:paraId="6D9D5FB0">
            <w:pPr>
              <w:pStyle w:val="43"/>
              <w:jc w:val="center"/>
            </w:pPr>
            <w:r>
              <w:t>+0.000687</w:t>
            </w:r>
          </w:p>
        </w:tc>
        <w:tc>
          <w:tcPr>
            <w:tcW w:w="1984" w:type="dxa"/>
            <w:tcBorders>
              <w:top w:val="single" w:color="auto" w:sz="6" w:space="0"/>
            </w:tcBorders>
            <w:vAlign w:val="center"/>
          </w:tcPr>
          <w:p w14:paraId="496CE670">
            <w:pPr>
              <w:pStyle w:val="43"/>
              <w:jc w:val="center"/>
            </w:pPr>
            <w:r>
              <w:t>+0.000036</w:t>
            </w:r>
          </w:p>
        </w:tc>
      </w:tr>
      <w:tr w14:paraId="668CC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0" w:type="auto"/>
            <w:vAlign w:val="center"/>
          </w:tcPr>
          <w:p w14:paraId="7FFD8B32">
            <w:pPr>
              <w:pStyle w:val="43"/>
              <w:jc w:val="center"/>
            </w:pPr>
            <w:r>
              <w:t>标准差</w:t>
            </w:r>
          </w:p>
        </w:tc>
        <w:tc>
          <w:tcPr>
            <w:tcW w:w="0" w:type="auto"/>
            <w:vAlign w:val="center"/>
          </w:tcPr>
          <w:p w14:paraId="3CD1FE44">
            <w:pPr>
              <w:pStyle w:val="43"/>
              <w:jc w:val="center"/>
            </w:pPr>
            <w:r>
              <w:t>0.008714</w:t>
            </w:r>
          </w:p>
        </w:tc>
        <w:tc>
          <w:tcPr>
            <w:tcW w:w="2552" w:type="dxa"/>
            <w:vAlign w:val="center"/>
          </w:tcPr>
          <w:p w14:paraId="5F144F57">
            <w:pPr>
              <w:pStyle w:val="43"/>
              <w:jc w:val="center"/>
            </w:pPr>
            <w:r>
              <w:t>0.009191</w:t>
            </w:r>
          </w:p>
        </w:tc>
        <w:tc>
          <w:tcPr>
            <w:tcW w:w="1984" w:type="dxa"/>
            <w:vAlign w:val="center"/>
          </w:tcPr>
          <w:p w14:paraId="2934B83D">
            <w:pPr>
              <w:pStyle w:val="43"/>
              <w:jc w:val="center"/>
            </w:pPr>
            <w:r>
              <w:t>0.020039</w:t>
            </w:r>
          </w:p>
        </w:tc>
      </w:tr>
      <w:tr w14:paraId="42FADF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0" w:type="auto"/>
            <w:vAlign w:val="center"/>
          </w:tcPr>
          <w:p w14:paraId="424B6312">
            <w:pPr>
              <w:pStyle w:val="43"/>
              <w:jc w:val="center"/>
            </w:pPr>
            <w:r>
              <w:t>偏度</w:t>
            </w:r>
          </w:p>
        </w:tc>
        <w:tc>
          <w:tcPr>
            <w:tcW w:w="0" w:type="auto"/>
            <w:vAlign w:val="center"/>
          </w:tcPr>
          <w:p w14:paraId="61248746">
            <w:pPr>
              <w:pStyle w:val="43"/>
              <w:jc w:val="center"/>
            </w:pPr>
            <w:r>
              <w:rPr>
                <w:b/>
                <w:bCs/>
              </w:rPr>
              <w:t>+0.463</w:t>
            </w:r>
          </w:p>
        </w:tc>
        <w:tc>
          <w:tcPr>
            <w:tcW w:w="2552" w:type="dxa"/>
            <w:vAlign w:val="center"/>
          </w:tcPr>
          <w:p w14:paraId="51666B2F">
            <w:pPr>
              <w:pStyle w:val="43"/>
              <w:jc w:val="center"/>
            </w:pPr>
            <w:r>
              <w:rPr>
                <w:b/>
                <w:bCs/>
              </w:rPr>
              <w:t>+0.110</w:t>
            </w:r>
          </w:p>
        </w:tc>
        <w:tc>
          <w:tcPr>
            <w:tcW w:w="1984" w:type="dxa"/>
            <w:vAlign w:val="center"/>
          </w:tcPr>
          <w:p w14:paraId="612AD359">
            <w:pPr>
              <w:pStyle w:val="43"/>
              <w:jc w:val="center"/>
            </w:pPr>
            <w:r>
              <w:t>-0.726</w:t>
            </w:r>
          </w:p>
        </w:tc>
      </w:tr>
      <w:tr w14:paraId="3372E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5" w:hRule="atLeast"/>
          <w:jc w:val="center"/>
        </w:trPr>
        <w:tc>
          <w:tcPr>
            <w:tcW w:w="0" w:type="auto"/>
            <w:vAlign w:val="center"/>
          </w:tcPr>
          <w:p w14:paraId="2D4B5714">
            <w:pPr>
              <w:pStyle w:val="43"/>
              <w:jc w:val="center"/>
            </w:pPr>
            <w:r>
              <w:t>超额峰度</w:t>
            </w:r>
          </w:p>
        </w:tc>
        <w:tc>
          <w:tcPr>
            <w:tcW w:w="0" w:type="auto"/>
            <w:vAlign w:val="center"/>
          </w:tcPr>
          <w:p w14:paraId="3E5868F1">
            <w:pPr>
              <w:pStyle w:val="43"/>
              <w:jc w:val="center"/>
            </w:pPr>
            <w:r>
              <w:t>+0.70</w:t>
            </w:r>
          </w:p>
        </w:tc>
        <w:tc>
          <w:tcPr>
            <w:tcW w:w="2552" w:type="dxa"/>
            <w:vAlign w:val="center"/>
          </w:tcPr>
          <w:p w14:paraId="60BEB4C0">
            <w:pPr>
              <w:pStyle w:val="43"/>
              <w:jc w:val="center"/>
            </w:pPr>
            <w:r>
              <w:t>+1.68</w:t>
            </w:r>
          </w:p>
        </w:tc>
        <w:tc>
          <w:tcPr>
            <w:tcW w:w="1984" w:type="dxa"/>
            <w:vAlign w:val="center"/>
          </w:tcPr>
          <w:p w14:paraId="0F29035E">
            <w:pPr>
              <w:pStyle w:val="43"/>
              <w:jc w:val="center"/>
            </w:pPr>
            <w:r>
              <w:t>+2.47</w:t>
            </w:r>
          </w:p>
        </w:tc>
      </w:tr>
    </w:tbl>
    <w:p w14:paraId="5A849BC2">
      <w:pPr>
        <w:ind w:firstLine="560" w:firstLineChars="200"/>
      </w:pPr>
      <w:r>
        <w:t>验证期为</w:t>
      </w:r>
      <w:r>
        <w:rPr>
          <w:b/>
          <w:bCs/>
        </w:rPr>
        <w:t>低波动震荡市</w:t>
      </w:r>
      <w:r>
        <w:t>，CSI300 和 Gold 偏度转正，峰度显著低于训练集，分布更接近正态。</w:t>
      </w:r>
    </w:p>
    <w:p w14:paraId="2C5854F1">
      <w:r>
        <w:t>测试集（2024-07 ~ 2025-12, 365 天）</w:t>
      </w:r>
    </w:p>
    <w:tbl>
      <w:tblPr>
        <w:tblStyle w:val="41"/>
        <w:tblW w:w="79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0"/>
        <w:gridCol w:w="2004"/>
        <w:gridCol w:w="2004"/>
        <w:gridCol w:w="2095"/>
      </w:tblGrid>
      <w:tr w14:paraId="514B7C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0" w:type="auto"/>
            <w:tcBorders>
              <w:top w:val="single" w:color="auto" w:sz="6" w:space="0"/>
              <w:bottom w:val="single" w:color="auto" w:sz="6" w:space="0"/>
            </w:tcBorders>
            <w:noWrap/>
            <w:vAlign w:val="center"/>
          </w:tcPr>
          <w:p w14:paraId="53BF77DE">
            <w:pPr>
              <w:pStyle w:val="43"/>
              <w:jc w:val="center"/>
            </w:pPr>
            <w:r>
              <w:t>统计量</w:t>
            </w:r>
          </w:p>
        </w:tc>
        <w:tc>
          <w:tcPr>
            <w:tcW w:w="0" w:type="auto"/>
            <w:tcBorders>
              <w:bottom w:val="single" w:color="auto" w:sz="6" w:space="0"/>
            </w:tcBorders>
            <w:noWrap/>
            <w:vAlign w:val="center"/>
          </w:tcPr>
          <w:p w14:paraId="73666313">
            <w:pPr>
              <w:pStyle w:val="43"/>
              <w:jc w:val="center"/>
            </w:pPr>
            <w:r>
              <w:t>r_CSI300</w:t>
            </w:r>
          </w:p>
        </w:tc>
        <w:tc>
          <w:tcPr>
            <w:tcW w:w="0" w:type="auto"/>
            <w:tcBorders>
              <w:bottom w:val="single" w:color="auto" w:sz="6" w:space="0"/>
            </w:tcBorders>
            <w:noWrap/>
            <w:vAlign w:val="center"/>
          </w:tcPr>
          <w:p w14:paraId="39F3D187">
            <w:pPr>
              <w:pStyle w:val="43"/>
              <w:jc w:val="center"/>
            </w:pPr>
            <w:r>
              <w:t>r_Gold</w:t>
            </w:r>
          </w:p>
        </w:tc>
        <w:tc>
          <w:tcPr>
            <w:tcW w:w="0" w:type="auto"/>
            <w:tcBorders>
              <w:bottom w:val="single" w:color="auto" w:sz="6" w:space="0"/>
            </w:tcBorders>
            <w:noWrap/>
            <w:vAlign w:val="center"/>
          </w:tcPr>
          <w:p w14:paraId="59BA0B2C">
            <w:pPr>
              <w:pStyle w:val="43"/>
              <w:jc w:val="center"/>
            </w:pPr>
            <w:r>
              <w:t>r_CrudeOil</w:t>
            </w:r>
          </w:p>
        </w:tc>
      </w:tr>
      <w:tr w14:paraId="40FBEA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tcBorders>
              <w:top w:val="single" w:color="auto" w:sz="6" w:space="0"/>
            </w:tcBorders>
            <w:vAlign w:val="center"/>
          </w:tcPr>
          <w:p w14:paraId="57FD2BC3">
            <w:pPr>
              <w:pStyle w:val="43"/>
              <w:jc w:val="center"/>
            </w:pPr>
            <w:r>
              <w:t>均值</w:t>
            </w:r>
          </w:p>
        </w:tc>
        <w:tc>
          <w:tcPr>
            <w:tcW w:w="0" w:type="auto"/>
            <w:tcBorders>
              <w:top w:val="single" w:color="auto" w:sz="6" w:space="0"/>
            </w:tcBorders>
            <w:vAlign w:val="center"/>
          </w:tcPr>
          <w:p w14:paraId="2684AE29">
            <w:pPr>
              <w:pStyle w:val="43"/>
              <w:jc w:val="center"/>
            </w:pPr>
            <w:r>
              <w:rPr>
                <w:b/>
                <w:bCs/>
              </w:rPr>
              <w:t>+0.000797</w:t>
            </w:r>
          </w:p>
        </w:tc>
        <w:tc>
          <w:tcPr>
            <w:tcW w:w="0" w:type="auto"/>
            <w:tcBorders>
              <w:top w:val="single" w:color="auto" w:sz="6" w:space="0"/>
            </w:tcBorders>
            <w:vAlign w:val="center"/>
          </w:tcPr>
          <w:p w14:paraId="4B1A17F6">
            <w:pPr>
              <w:pStyle w:val="43"/>
              <w:jc w:val="center"/>
            </w:pPr>
            <w:r>
              <w:rPr>
                <w:b/>
                <w:bCs/>
              </w:rPr>
              <w:t>+0.001691</w:t>
            </w:r>
          </w:p>
        </w:tc>
        <w:tc>
          <w:tcPr>
            <w:tcW w:w="0" w:type="auto"/>
            <w:tcBorders>
              <w:top w:val="single" w:color="auto" w:sz="6" w:space="0"/>
            </w:tcBorders>
            <w:vAlign w:val="center"/>
          </w:tcPr>
          <w:p w14:paraId="431613A1">
            <w:pPr>
              <w:pStyle w:val="43"/>
              <w:jc w:val="center"/>
            </w:pPr>
            <w:r>
              <w:t>-0.000959</w:t>
            </w:r>
          </w:p>
        </w:tc>
      </w:tr>
      <w:tr w14:paraId="7BD922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0" w:type="auto"/>
            <w:vAlign w:val="center"/>
          </w:tcPr>
          <w:p w14:paraId="1B5ED56A">
            <w:pPr>
              <w:pStyle w:val="43"/>
              <w:jc w:val="center"/>
            </w:pPr>
            <w:r>
              <w:t>标准差</w:t>
            </w:r>
          </w:p>
        </w:tc>
        <w:tc>
          <w:tcPr>
            <w:tcW w:w="0" w:type="auto"/>
            <w:vAlign w:val="center"/>
          </w:tcPr>
          <w:p w14:paraId="202DF27D">
            <w:pPr>
              <w:pStyle w:val="43"/>
              <w:jc w:val="center"/>
            </w:pPr>
            <w:r>
              <w:t>0.012437</w:t>
            </w:r>
          </w:p>
        </w:tc>
        <w:tc>
          <w:tcPr>
            <w:tcW w:w="0" w:type="auto"/>
            <w:vAlign w:val="center"/>
          </w:tcPr>
          <w:p w14:paraId="1DBC7AFB">
            <w:pPr>
              <w:pStyle w:val="43"/>
              <w:jc w:val="center"/>
            </w:pPr>
            <w:r>
              <w:t>0.012179</w:t>
            </w:r>
          </w:p>
        </w:tc>
        <w:tc>
          <w:tcPr>
            <w:tcW w:w="0" w:type="auto"/>
            <w:vAlign w:val="center"/>
          </w:tcPr>
          <w:p w14:paraId="62C6B34B">
            <w:pPr>
              <w:pStyle w:val="43"/>
              <w:jc w:val="center"/>
            </w:pPr>
            <w:r>
              <w:t>0.020236</w:t>
            </w:r>
          </w:p>
        </w:tc>
      </w:tr>
      <w:tr w14:paraId="227A2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0" w:type="auto"/>
            <w:vAlign w:val="center"/>
          </w:tcPr>
          <w:p w14:paraId="5407DC4B">
            <w:pPr>
              <w:pStyle w:val="43"/>
              <w:jc w:val="center"/>
            </w:pPr>
            <w:r>
              <w:t>偏度</w:t>
            </w:r>
          </w:p>
        </w:tc>
        <w:tc>
          <w:tcPr>
            <w:tcW w:w="0" w:type="auto"/>
            <w:vAlign w:val="center"/>
          </w:tcPr>
          <w:p w14:paraId="4C9AFDFD">
            <w:pPr>
              <w:pStyle w:val="43"/>
              <w:jc w:val="center"/>
            </w:pPr>
            <w:r>
              <w:t>+0.101</w:t>
            </w:r>
          </w:p>
        </w:tc>
        <w:tc>
          <w:tcPr>
            <w:tcW w:w="0" w:type="auto"/>
            <w:vAlign w:val="center"/>
          </w:tcPr>
          <w:p w14:paraId="710EBD75">
            <w:pPr>
              <w:pStyle w:val="43"/>
              <w:jc w:val="center"/>
            </w:pPr>
            <w:r>
              <w:t>-0.486</w:t>
            </w:r>
          </w:p>
        </w:tc>
        <w:tc>
          <w:tcPr>
            <w:tcW w:w="0" w:type="auto"/>
            <w:vAlign w:val="center"/>
          </w:tcPr>
          <w:p w14:paraId="5D871695">
            <w:pPr>
              <w:pStyle w:val="43"/>
              <w:jc w:val="center"/>
            </w:pPr>
            <w:r>
              <w:t>-0.320</w:t>
            </w:r>
          </w:p>
        </w:tc>
      </w:tr>
      <w:tr w14:paraId="728189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6" w:hRule="atLeast"/>
        </w:trPr>
        <w:tc>
          <w:tcPr>
            <w:tcW w:w="0" w:type="auto"/>
            <w:vAlign w:val="center"/>
          </w:tcPr>
          <w:p w14:paraId="44295870">
            <w:pPr>
              <w:pStyle w:val="43"/>
              <w:jc w:val="center"/>
            </w:pPr>
            <w:r>
              <w:t>超额峰度</w:t>
            </w:r>
          </w:p>
        </w:tc>
        <w:tc>
          <w:tcPr>
            <w:tcW w:w="0" w:type="auto"/>
            <w:vAlign w:val="center"/>
          </w:tcPr>
          <w:p w14:paraId="01329CA1">
            <w:pPr>
              <w:pStyle w:val="43"/>
              <w:jc w:val="center"/>
            </w:pPr>
            <w:r>
              <w:rPr>
                <w:b/>
                <w:bCs/>
              </w:rPr>
              <w:t>+12.53</w:t>
            </w:r>
          </w:p>
        </w:tc>
        <w:tc>
          <w:tcPr>
            <w:tcW w:w="0" w:type="auto"/>
            <w:vAlign w:val="center"/>
          </w:tcPr>
          <w:p w14:paraId="0DAF7B19">
            <w:pPr>
              <w:pStyle w:val="43"/>
              <w:jc w:val="center"/>
            </w:pPr>
            <w:r>
              <w:t>+2.69</w:t>
            </w:r>
          </w:p>
        </w:tc>
        <w:tc>
          <w:tcPr>
            <w:tcW w:w="0" w:type="auto"/>
            <w:vAlign w:val="center"/>
          </w:tcPr>
          <w:p w14:paraId="201220D0">
            <w:pPr>
              <w:pStyle w:val="43"/>
              <w:jc w:val="center"/>
            </w:pPr>
            <w:r>
              <w:t>+2.69</w:t>
            </w:r>
          </w:p>
        </w:tc>
      </w:tr>
    </w:tbl>
    <w:p w14:paraId="0103B6EE">
      <w:pPr>
        <w:ind w:firstLine="560" w:firstLineChars="200"/>
      </w:pPr>
      <w:r>
        <w:t>测试期 CSI300 超额峰度高达 </w:t>
      </w:r>
      <w:r>
        <w:rPr>
          <w:b/>
          <w:bCs/>
        </w:rPr>
        <w:t>+12.53</w:t>
      </w:r>
      <w:r>
        <w:t>，主要由 2024 年 9-10 月的剧烈波动驱动——9 月最后一周 A 股因政策刺激暴涨，国庆后高开低走，带来异常肥尾。黄金收益率为三个子集中最高（日均 +0.169%），延续了 2024 年以来的强劲避险需求。</w:t>
      </w:r>
    </w:p>
    <w:p w14:paraId="67F036CA">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ascii="宋体" w:hAnsi="宋体" w:cs="宋体"/>
          <w:b/>
          <w:bCs/>
          <w:color w:val="auto"/>
          <w:kern w:val="0"/>
          <w:szCs w:val="28"/>
        </w:rPr>
        <w:t>4.</w:t>
      </w:r>
      <w:r>
        <w:rPr>
          <w:rFonts w:hint="eastAsia" w:ascii="宋体" w:hAnsi="宋体" w:cs="宋体"/>
          <w:b/>
          <w:bCs/>
          <w:color w:val="auto"/>
          <w:kern w:val="0"/>
          <w:szCs w:val="28"/>
        </w:rPr>
        <w:t>4</w:t>
      </w:r>
      <w:r>
        <w:rPr>
          <w:rFonts w:ascii="宋体" w:hAnsi="宋体" w:cs="宋体"/>
          <w:b/>
          <w:bCs/>
          <w:color w:val="auto"/>
          <w:kern w:val="0"/>
          <w:szCs w:val="28"/>
        </w:rPr>
        <w:t xml:space="preserve"> </w:t>
      </w:r>
      <w:r>
        <w:rPr>
          <w:rFonts w:hint="eastAsia" w:ascii="宋体" w:hAnsi="宋体" w:cs="宋体"/>
          <w:b/>
          <w:bCs/>
          <w:color w:val="auto"/>
          <w:kern w:val="0"/>
          <w:szCs w:val="28"/>
        </w:rPr>
        <w:t>极端事件分析</w:t>
      </w:r>
    </w:p>
    <w:p w14:paraId="0572DC19">
      <w:pPr>
        <w:widowControl/>
        <w:spacing w:before="100" w:beforeAutospacing="1" w:after="100" w:afterAutospacing="1" w:line="240" w:lineRule="auto"/>
        <w:jc w:val="left"/>
        <w:outlineLvl w:val="2"/>
        <w:rPr>
          <w:rFonts w:cstheme="majorBidi"/>
          <w:b/>
          <w:szCs w:val="24"/>
        </w:rPr>
      </w:pPr>
      <w:r>
        <w:rPr>
          <w:rFonts w:cstheme="majorBidi"/>
          <w:b/>
          <w:szCs w:val="24"/>
        </w:rPr>
        <w:t>4.</w:t>
      </w:r>
      <w:r>
        <w:rPr>
          <w:rFonts w:hint="eastAsia" w:cstheme="majorBidi"/>
          <w:b/>
          <w:szCs w:val="24"/>
        </w:rPr>
        <w:t>4.</w:t>
      </w:r>
      <w:r>
        <w:rPr>
          <w:rFonts w:cstheme="majorBidi"/>
          <w:b/>
          <w:szCs w:val="24"/>
        </w:rPr>
        <w:t>1 极端事件概览（超过 3 倍</w:t>
      </w:r>
      <w:r>
        <w:rPr>
          <w:rFonts w:ascii="宋体" w:hAnsi="宋体" w:cs="宋体"/>
          <w:b/>
          <w:bCs/>
          <w:color w:val="auto"/>
          <w:kern w:val="0"/>
          <w:szCs w:val="28"/>
        </w:rPr>
        <w:t>标准差</w:t>
      </w:r>
      <w:r>
        <w:rPr>
          <w:rFonts w:cstheme="majorBidi"/>
          <w:b/>
          <w:szCs w:val="24"/>
        </w:rPr>
        <w:t>）</w:t>
      </w:r>
    </w:p>
    <w:tbl>
      <w:tblPr>
        <w:tblStyle w:val="41"/>
        <w:tblW w:w="834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6"/>
        <w:gridCol w:w="2974"/>
        <w:gridCol w:w="2671"/>
      </w:tblGrid>
      <w:tr w14:paraId="039D55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bottom w:val="single" w:color="auto" w:sz="6" w:space="0"/>
            </w:tcBorders>
            <w:noWrap/>
            <w:vAlign w:val="center"/>
          </w:tcPr>
          <w:p w14:paraId="22725019">
            <w:pPr>
              <w:pStyle w:val="43"/>
              <w:jc w:val="center"/>
            </w:pPr>
            <w:r>
              <w:t>市场</w:t>
            </w:r>
          </w:p>
        </w:tc>
        <w:tc>
          <w:tcPr>
            <w:tcW w:w="2974" w:type="dxa"/>
            <w:tcBorders>
              <w:bottom w:val="single" w:color="auto" w:sz="6" w:space="0"/>
            </w:tcBorders>
            <w:noWrap/>
            <w:vAlign w:val="center"/>
          </w:tcPr>
          <w:p w14:paraId="16779E95">
            <w:pPr>
              <w:pStyle w:val="43"/>
              <w:jc w:val="center"/>
            </w:pPr>
            <w:r>
              <w:t>极端事件天数</w:t>
            </w:r>
          </w:p>
        </w:tc>
        <w:tc>
          <w:tcPr>
            <w:tcW w:w="2671" w:type="dxa"/>
            <w:tcBorders>
              <w:bottom w:val="single" w:color="auto" w:sz="6" w:space="0"/>
            </w:tcBorders>
            <w:noWrap/>
            <w:vAlign w:val="center"/>
          </w:tcPr>
          <w:p w14:paraId="060B8942">
            <w:pPr>
              <w:pStyle w:val="43"/>
              <w:jc w:val="center"/>
            </w:pPr>
            <w:r>
              <w:t>占比</w:t>
            </w:r>
          </w:p>
        </w:tc>
      </w:tr>
      <w:tr w14:paraId="102EB1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0" w:type="auto"/>
            <w:tcBorders>
              <w:top w:val="single" w:color="auto" w:sz="6" w:space="0"/>
            </w:tcBorders>
            <w:vAlign w:val="center"/>
          </w:tcPr>
          <w:p w14:paraId="45DCAC3A">
            <w:pPr>
              <w:pStyle w:val="43"/>
              <w:jc w:val="center"/>
            </w:pPr>
            <w:r>
              <w:rPr>
                <w:b/>
                <w:bCs/>
              </w:rPr>
              <w:t>CSI300</w:t>
            </w:r>
          </w:p>
        </w:tc>
        <w:tc>
          <w:tcPr>
            <w:tcW w:w="2974" w:type="dxa"/>
            <w:tcBorders>
              <w:top w:val="single" w:color="auto" w:sz="6" w:space="0"/>
            </w:tcBorders>
            <w:vAlign w:val="center"/>
          </w:tcPr>
          <w:p w14:paraId="3DC81273">
            <w:pPr>
              <w:pStyle w:val="43"/>
              <w:jc w:val="center"/>
            </w:pPr>
            <w:r>
              <w:t>32 天</w:t>
            </w:r>
          </w:p>
        </w:tc>
        <w:tc>
          <w:tcPr>
            <w:tcW w:w="2671" w:type="dxa"/>
            <w:tcBorders>
              <w:top w:val="single" w:color="auto" w:sz="6" w:space="0"/>
            </w:tcBorders>
            <w:vAlign w:val="center"/>
          </w:tcPr>
          <w:p w14:paraId="3F789667">
            <w:pPr>
              <w:pStyle w:val="43"/>
              <w:jc w:val="center"/>
            </w:pPr>
            <w:r>
              <w:t>1.38%</w:t>
            </w:r>
          </w:p>
        </w:tc>
      </w:tr>
      <w:tr w14:paraId="07819C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0" w:type="auto"/>
            <w:vAlign w:val="center"/>
          </w:tcPr>
          <w:p w14:paraId="6A6EA560">
            <w:pPr>
              <w:pStyle w:val="43"/>
              <w:jc w:val="center"/>
            </w:pPr>
            <w:r>
              <w:rPr>
                <w:b/>
                <w:bCs/>
              </w:rPr>
              <w:t>Gold</w:t>
            </w:r>
          </w:p>
        </w:tc>
        <w:tc>
          <w:tcPr>
            <w:tcW w:w="2974" w:type="dxa"/>
            <w:vAlign w:val="center"/>
          </w:tcPr>
          <w:p w14:paraId="31CB40BF">
            <w:pPr>
              <w:pStyle w:val="43"/>
              <w:jc w:val="center"/>
            </w:pPr>
            <w:r>
              <w:t>33 天</w:t>
            </w:r>
          </w:p>
        </w:tc>
        <w:tc>
          <w:tcPr>
            <w:tcW w:w="2671" w:type="dxa"/>
            <w:vAlign w:val="center"/>
          </w:tcPr>
          <w:p w14:paraId="5D7FB64D">
            <w:pPr>
              <w:pStyle w:val="43"/>
              <w:jc w:val="center"/>
            </w:pPr>
            <w:r>
              <w:t>1.42%</w:t>
            </w:r>
          </w:p>
        </w:tc>
      </w:tr>
      <w:tr w14:paraId="5078D6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vAlign w:val="center"/>
          </w:tcPr>
          <w:p w14:paraId="1268ABAE">
            <w:pPr>
              <w:pStyle w:val="43"/>
              <w:jc w:val="center"/>
            </w:pPr>
            <w:r>
              <w:rPr>
                <w:b/>
                <w:bCs/>
              </w:rPr>
              <w:t>CrudeOil</w:t>
            </w:r>
          </w:p>
        </w:tc>
        <w:tc>
          <w:tcPr>
            <w:tcW w:w="2974" w:type="dxa"/>
            <w:vAlign w:val="center"/>
          </w:tcPr>
          <w:p w14:paraId="548EF1D3">
            <w:pPr>
              <w:pStyle w:val="43"/>
              <w:jc w:val="center"/>
            </w:pPr>
            <w:r>
              <w:t>28 天</w:t>
            </w:r>
          </w:p>
        </w:tc>
        <w:tc>
          <w:tcPr>
            <w:tcW w:w="2671" w:type="dxa"/>
            <w:vAlign w:val="center"/>
          </w:tcPr>
          <w:p w14:paraId="0AE00DAA">
            <w:pPr>
              <w:pStyle w:val="43"/>
              <w:jc w:val="center"/>
            </w:pPr>
            <w:r>
              <w:t>1.21%</w:t>
            </w:r>
          </w:p>
        </w:tc>
      </w:tr>
    </w:tbl>
    <w:p w14:paraId="46C3F8E3">
      <w:pPr>
        <w:ind w:firstLine="560" w:firstLineChars="200"/>
      </w:pPr>
      <w:r>
        <w:t>尽管原油的峰度最高，其极端事件数量并非最多——原因是原油标准差极大（0.0298），部分异常波动被高标准差"正常化"了。</w:t>
      </w:r>
    </w:p>
    <w:p w14:paraId="672FED29">
      <w:pPr>
        <w:widowControl/>
        <w:spacing w:before="100" w:beforeAutospacing="1" w:after="100" w:afterAutospacing="1" w:line="240" w:lineRule="auto"/>
        <w:jc w:val="left"/>
        <w:outlineLvl w:val="2"/>
        <w:rPr>
          <w:rFonts w:cstheme="majorBidi"/>
          <w:b/>
          <w:szCs w:val="24"/>
        </w:rPr>
      </w:pPr>
      <w:r>
        <w:rPr>
          <w:rFonts w:cstheme="majorBidi"/>
          <w:b/>
          <w:szCs w:val="24"/>
        </w:rPr>
        <w:t>4.</w:t>
      </w:r>
      <w:r>
        <w:rPr>
          <w:rFonts w:hint="eastAsia" w:cstheme="majorBidi"/>
          <w:b/>
          <w:szCs w:val="24"/>
        </w:rPr>
        <w:t>4.</w:t>
      </w:r>
      <w:r>
        <w:rPr>
          <w:rFonts w:cstheme="majorBidi"/>
          <w:b/>
          <w:szCs w:val="24"/>
        </w:rPr>
        <w:t>2 各市场最严重的 5 个极端日</w:t>
      </w:r>
    </w:p>
    <w:p w14:paraId="34AA2FC9">
      <w:r>
        <w:t>CSI300</w:t>
      </w:r>
    </w:p>
    <w:tbl>
      <w:tblPr>
        <w:tblStyle w:val="41"/>
        <w:tblW w:w="787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1437"/>
        <w:gridCol w:w="4898"/>
      </w:tblGrid>
      <w:tr w14:paraId="53F220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0" w:type="auto"/>
            <w:tcBorders>
              <w:bottom w:val="single" w:color="auto" w:sz="6" w:space="0"/>
            </w:tcBorders>
            <w:noWrap/>
            <w:vAlign w:val="center"/>
          </w:tcPr>
          <w:p w14:paraId="7FF80F74">
            <w:pPr>
              <w:pStyle w:val="43"/>
              <w:jc w:val="center"/>
            </w:pPr>
            <w:r>
              <w:t>日期</w:t>
            </w:r>
          </w:p>
        </w:tc>
        <w:tc>
          <w:tcPr>
            <w:tcW w:w="1437" w:type="dxa"/>
            <w:tcBorders>
              <w:bottom w:val="single" w:color="auto" w:sz="6" w:space="0"/>
            </w:tcBorders>
            <w:noWrap/>
            <w:vAlign w:val="center"/>
          </w:tcPr>
          <w:p w14:paraId="6A75C262">
            <w:pPr>
              <w:pStyle w:val="43"/>
              <w:jc w:val="center"/>
            </w:pPr>
            <w:r>
              <w:t>收益率</w:t>
            </w:r>
          </w:p>
        </w:tc>
        <w:tc>
          <w:tcPr>
            <w:tcW w:w="4898" w:type="dxa"/>
            <w:tcBorders>
              <w:bottom w:val="single" w:color="auto" w:sz="6" w:space="0"/>
            </w:tcBorders>
            <w:noWrap/>
            <w:vAlign w:val="center"/>
          </w:tcPr>
          <w:p w14:paraId="42AF2383">
            <w:pPr>
              <w:pStyle w:val="43"/>
              <w:jc w:val="center"/>
            </w:pPr>
            <w:r>
              <w:t>事件</w:t>
            </w:r>
          </w:p>
        </w:tc>
      </w:tr>
      <w:tr w14:paraId="32AEF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single" w:color="auto" w:sz="6" w:space="0"/>
            </w:tcBorders>
            <w:vAlign w:val="center"/>
          </w:tcPr>
          <w:p w14:paraId="0AD0B6CE">
            <w:pPr>
              <w:pStyle w:val="43"/>
              <w:jc w:val="center"/>
            </w:pPr>
            <w:r>
              <w:t>2020-02-03</w:t>
            </w:r>
          </w:p>
        </w:tc>
        <w:tc>
          <w:tcPr>
            <w:tcW w:w="1437" w:type="dxa"/>
            <w:tcBorders>
              <w:top w:val="single" w:color="auto" w:sz="6" w:space="0"/>
            </w:tcBorders>
            <w:vAlign w:val="center"/>
          </w:tcPr>
          <w:p w14:paraId="0401AB98">
            <w:pPr>
              <w:pStyle w:val="43"/>
              <w:jc w:val="center"/>
            </w:pPr>
            <w:r>
              <w:rPr>
                <w:b/>
                <w:bCs/>
              </w:rPr>
              <w:t>-8.21%</w:t>
            </w:r>
          </w:p>
        </w:tc>
        <w:tc>
          <w:tcPr>
            <w:tcW w:w="4898" w:type="dxa"/>
            <w:tcBorders>
              <w:top w:val="single" w:color="auto" w:sz="6" w:space="0"/>
            </w:tcBorders>
            <w:vAlign w:val="center"/>
          </w:tcPr>
          <w:p w14:paraId="4F20A6E2">
            <w:pPr>
              <w:pStyle w:val="43"/>
              <w:jc w:val="center"/>
            </w:pPr>
            <w:r>
              <w:t>新冠疫情后首个交易日，市场恐慌性抛售</w:t>
            </w:r>
          </w:p>
        </w:tc>
      </w:tr>
      <w:tr w14:paraId="7EB2F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vAlign w:val="center"/>
          </w:tcPr>
          <w:p w14:paraId="7E1C7063">
            <w:pPr>
              <w:pStyle w:val="43"/>
              <w:jc w:val="center"/>
            </w:pPr>
            <w:r>
              <w:t>2024-10-09</w:t>
            </w:r>
          </w:p>
        </w:tc>
        <w:tc>
          <w:tcPr>
            <w:tcW w:w="1437" w:type="dxa"/>
            <w:vAlign w:val="center"/>
          </w:tcPr>
          <w:p w14:paraId="24106FC4">
            <w:pPr>
              <w:pStyle w:val="43"/>
              <w:jc w:val="center"/>
            </w:pPr>
            <w:r>
              <w:t>-7.31%</w:t>
            </w:r>
          </w:p>
        </w:tc>
        <w:tc>
          <w:tcPr>
            <w:tcW w:w="4898" w:type="dxa"/>
            <w:vAlign w:val="center"/>
          </w:tcPr>
          <w:p w14:paraId="259C77F7">
            <w:pPr>
              <w:pStyle w:val="43"/>
              <w:jc w:val="center"/>
            </w:pPr>
            <w:r>
              <w:t>国庆后政策刺激预期落空，高开低走暴跌</w:t>
            </w:r>
          </w:p>
        </w:tc>
      </w:tr>
      <w:tr w14:paraId="43D40E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vAlign w:val="center"/>
          </w:tcPr>
          <w:p w14:paraId="32A0C5D0">
            <w:pPr>
              <w:pStyle w:val="43"/>
              <w:jc w:val="center"/>
            </w:pPr>
            <w:r>
              <w:t>2025-04-07</w:t>
            </w:r>
          </w:p>
        </w:tc>
        <w:tc>
          <w:tcPr>
            <w:tcW w:w="1437" w:type="dxa"/>
            <w:vAlign w:val="center"/>
          </w:tcPr>
          <w:p w14:paraId="5CD1998C">
            <w:pPr>
              <w:pStyle w:val="43"/>
              <w:jc w:val="center"/>
            </w:pPr>
            <w:r>
              <w:t>-7.31%</w:t>
            </w:r>
          </w:p>
        </w:tc>
        <w:tc>
          <w:tcPr>
            <w:tcW w:w="4898" w:type="dxa"/>
            <w:vAlign w:val="center"/>
          </w:tcPr>
          <w:p w14:paraId="6FFC79A8">
            <w:pPr>
              <w:pStyle w:val="43"/>
              <w:jc w:val="center"/>
            </w:pPr>
            <w:r>
              <w:t>中美贸易摩擦升级冲击</w:t>
            </w:r>
          </w:p>
        </w:tc>
      </w:tr>
      <w:tr w14:paraId="72B53F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0" w:type="auto"/>
            <w:vAlign w:val="center"/>
          </w:tcPr>
          <w:p w14:paraId="392FCC34">
            <w:pPr>
              <w:pStyle w:val="43"/>
              <w:jc w:val="center"/>
            </w:pPr>
            <w:r>
              <w:t>2019-05-06</w:t>
            </w:r>
          </w:p>
        </w:tc>
        <w:tc>
          <w:tcPr>
            <w:tcW w:w="1437" w:type="dxa"/>
            <w:vAlign w:val="center"/>
          </w:tcPr>
          <w:p w14:paraId="79B9BF27">
            <w:pPr>
              <w:pStyle w:val="43"/>
              <w:jc w:val="center"/>
            </w:pPr>
            <w:r>
              <w:t>-6.02%</w:t>
            </w:r>
          </w:p>
        </w:tc>
        <w:tc>
          <w:tcPr>
            <w:tcW w:w="4898" w:type="dxa"/>
            <w:vAlign w:val="center"/>
          </w:tcPr>
          <w:p w14:paraId="65E73A52">
            <w:pPr>
              <w:pStyle w:val="43"/>
              <w:jc w:val="center"/>
            </w:pPr>
            <w:r>
              <w:t>特朗普宣布加征关税</w:t>
            </w:r>
          </w:p>
        </w:tc>
      </w:tr>
      <w:tr w14:paraId="0EA2D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0" w:type="auto"/>
            <w:vAlign w:val="center"/>
          </w:tcPr>
          <w:p w14:paraId="2E4162DE">
            <w:pPr>
              <w:pStyle w:val="43"/>
              <w:jc w:val="center"/>
            </w:pPr>
            <w:r>
              <w:t>2022-04-25</w:t>
            </w:r>
          </w:p>
        </w:tc>
        <w:tc>
          <w:tcPr>
            <w:tcW w:w="1437" w:type="dxa"/>
            <w:vAlign w:val="center"/>
          </w:tcPr>
          <w:p w14:paraId="1D7AA383">
            <w:pPr>
              <w:pStyle w:val="43"/>
              <w:jc w:val="center"/>
            </w:pPr>
            <w:r>
              <w:t>-5.07%</w:t>
            </w:r>
          </w:p>
        </w:tc>
        <w:tc>
          <w:tcPr>
            <w:tcW w:w="4898" w:type="dxa"/>
            <w:vAlign w:val="center"/>
          </w:tcPr>
          <w:p w14:paraId="04DF894C">
            <w:pPr>
              <w:pStyle w:val="43"/>
              <w:jc w:val="center"/>
            </w:pPr>
            <w:r>
              <w:t>上海封城 + 经济下行压力</w:t>
            </w:r>
          </w:p>
        </w:tc>
      </w:tr>
    </w:tbl>
    <w:p w14:paraId="1943C545">
      <w:r>
        <w:rPr>
          <w:b/>
          <w:bCs/>
        </w:rPr>
        <w:t>正极端</w:t>
      </w:r>
      <w:r>
        <w:t>：</w:t>
      </w:r>
    </w:p>
    <w:tbl>
      <w:tblPr>
        <w:tblStyle w:val="41"/>
        <w:tblW w:w="795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9"/>
        <w:gridCol w:w="1212"/>
        <w:gridCol w:w="5142"/>
      </w:tblGrid>
      <w:tr w14:paraId="4E4AC0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0" w:type="auto"/>
            <w:tcBorders>
              <w:bottom w:val="single" w:color="auto" w:sz="6" w:space="0"/>
            </w:tcBorders>
            <w:noWrap/>
            <w:vAlign w:val="center"/>
          </w:tcPr>
          <w:p w14:paraId="57F3A86E">
            <w:pPr>
              <w:pStyle w:val="43"/>
              <w:jc w:val="center"/>
            </w:pPr>
            <w:r>
              <w:t>日期</w:t>
            </w:r>
          </w:p>
        </w:tc>
        <w:tc>
          <w:tcPr>
            <w:tcW w:w="0" w:type="auto"/>
            <w:tcBorders>
              <w:bottom w:val="single" w:color="auto" w:sz="6" w:space="0"/>
            </w:tcBorders>
            <w:noWrap/>
            <w:vAlign w:val="center"/>
          </w:tcPr>
          <w:p w14:paraId="39915EED">
            <w:pPr>
              <w:pStyle w:val="43"/>
              <w:jc w:val="center"/>
            </w:pPr>
            <w:r>
              <w:t>收益率</w:t>
            </w:r>
          </w:p>
        </w:tc>
        <w:tc>
          <w:tcPr>
            <w:tcW w:w="0" w:type="auto"/>
            <w:tcBorders>
              <w:bottom w:val="single" w:color="auto" w:sz="6" w:space="0"/>
            </w:tcBorders>
            <w:noWrap/>
            <w:vAlign w:val="center"/>
          </w:tcPr>
          <w:p w14:paraId="18F37135">
            <w:pPr>
              <w:pStyle w:val="43"/>
              <w:jc w:val="center"/>
            </w:pPr>
            <w:r>
              <w:t>事件</w:t>
            </w:r>
          </w:p>
        </w:tc>
      </w:tr>
      <w:tr w14:paraId="34F403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0" w:type="auto"/>
            <w:tcBorders>
              <w:top w:val="single" w:color="auto" w:sz="6" w:space="0"/>
            </w:tcBorders>
            <w:vAlign w:val="center"/>
          </w:tcPr>
          <w:p w14:paraId="24BBEBA6">
            <w:pPr>
              <w:pStyle w:val="43"/>
              <w:jc w:val="center"/>
            </w:pPr>
            <w:r>
              <w:t>2024-09-30</w:t>
            </w:r>
          </w:p>
        </w:tc>
        <w:tc>
          <w:tcPr>
            <w:tcW w:w="0" w:type="auto"/>
            <w:tcBorders>
              <w:top w:val="single" w:color="auto" w:sz="6" w:space="0"/>
            </w:tcBorders>
            <w:vAlign w:val="center"/>
          </w:tcPr>
          <w:p w14:paraId="584BFC98">
            <w:pPr>
              <w:pStyle w:val="43"/>
              <w:jc w:val="center"/>
            </w:pPr>
            <w:r>
              <w:rPr>
                <w:b/>
                <w:bCs/>
              </w:rPr>
              <w:t>+8.14%</w:t>
            </w:r>
          </w:p>
        </w:tc>
        <w:tc>
          <w:tcPr>
            <w:tcW w:w="0" w:type="auto"/>
            <w:tcBorders>
              <w:top w:val="single" w:color="auto" w:sz="6" w:space="0"/>
            </w:tcBorders>
            <w:vAlign w:val="center"/>
          </w:tcPr>
          <w:p w14:paraId="76264362">
            <w:pPr>
              <w:pStyle w:val="43"/>
              <w:jc w:val="center"/>
            </w:pPr>
            <w:r>
              <w:t>中国大规模经济刺激政策发布</w:t>
            </w:r>
          </w:p>
        </w:tc>
      </w:tr>
      <w:tr w14:paraId="7E0692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trPr>
        <w:tc>
          <w:tcPr>
            <w:tcW w:w="0" w:type="auto"/>
            <w:vAlign w:val="center"/>
          </w:tcPr>
          <w:p w14:paraId="103A4412">
            <w:pPr>
              <w:pStyle w:val="43"/>
              <w:jc w:val="center"/>
            </w:pPr>
            <w:r>
              <w:t>2019-02-25</w:t>
            </w:r>
          </w:p>
        </w:tc>
        <w:tc>
          <w:tcPr>
            <w:tcW w:w="0" w:type="auto"/>
            <w:vAlign w:val="center"/>
          </w:tcPr>
          <w:p w14:paraId="26523152">
            <w:pPr>
              <w:pStyle w:val="43"/>
              <w:jc w:val="center"/>
            </w:pPr>
            <w:r>
              <w:t>+5.78%</w:t>
            </w:r>
          </w:p>
        </w:tc>
        <w:tc>
          <w:tcPr>
            <w:tcW w:w="0" w:type="auto"/>
            <w:vAlign w:val="center"/>
          </w:tcPr>
          <w:p w14:paraId="3A3AD4E8">
            <w:pPr>
              <w:pStyle w:val="43"/>
              <w:jc w:val="center"/>
            </w:pPr>
            <w:r>
              <w:t>贸易谈判乐观预期</w:t>
            </w:r>
          </w:p>
        </w:tc>
      </w:tr>
      <w:tr w14:paraId="478AAC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0" w:type="auto"/>
            <w:vAlign w:val="center"/>
          </w:tcPr>
          <w:p w14:paraId="5D1C4CBD">
            <w:pPr>
              <w:pStyle w:val="43"/>
              <w:jc w:val="center"/>
            </w:pPr>
            <w:r>
              <w:t>2024-10-08</w:t>
            </w:r>
          </w:p>
        </w:tc>
        <w:tc>
          <w:tcPr>
            <w:tcW w:w="0" w:type="auto"/>
            <w:vAlign w:val="center"/>
          </w:tcPr>
          <w:p w14:paraId="21B8CBCC">
            <w:pPr>
              <w:pStyle w:val="43"/>
              <w:jc w:val="center"/>
            </w:pPr>
            <w:r>
              <w:t>+5.76%</w:t>
            </w:r>
          </w:p>
        </w:tc>
        <w:tc>
          <w:tcPr>
            <w:tcW w:w="0" w:type="auto"/>
            <w:vAlign w:val="center"/>
          </w:tcPr>
          <w:p w14:paraId="496F227B">
            <w:pPr>
              <w:pStyle w:val="43"/>
              <w:jc w:val="center"/>
            </w:pPr>
            <w:r>
              <w:t>政策组合拳后补涨（次日即暴跌回落）</w:t>
            </w:r>
          </w:p>
        </w:tc>
      </w:tr>
    </w:tbl>
    <w:p w14:paraId="5D97048F">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ascii="宋体" w:hAnsi="宋体" w:cs="宋体"/>
          <w:b/>
          <w:bCs/>
          <w:color w:val="auto"/>
          <w:kern w:val="0"/>
          <w:szCs w:val="28"/>
        </w:rPr>
        <w:t>4.</w:t>
      </w:r>
      <w:r>
        <w:rPr>
          <w:rFonts w:hint="eastAsia" w:ascii="宋体" w:hAnsi="宋体" w:cs="宋体"/>
          <w:b/>
          <w:bCs/>
          <w:color w:val="auto"/>
          <w:kern w:val="0"/>
          <w:szCs w:val="28"/>
        </w:rPr>
        <w:t>4.</w:t>
      </w:r>
      <w:r>
        <w:rPr>
          <w:rFonts w:ascii="宋体" w:hAnsi="宋体" w:cs="宋体"/>
          <w:b/>
          <w:bCs/>
          <w:color w:val="auto"/>
          <w:kern w:val="0"/>
          <w:szCs w:val="28"/>
        </w:rPr>
        <w:t>3 极端事件的时间聚集性</w:t>
      </w:r>
    </w:p>
    <w:p w14:paraId="67C411EA">
      <w:pPr>
        <w:ind w:firstLine="560" w:firstLineChars="200"/>
      </w:pPr>
      <w:r>
        <w:t>CSI300 的极端事件分布在多个年份：2018（贸易战）、2019（贸易战升级）、2020（疫情）、2022（封城）、2024（政策摇摆）、2025（关税），反映了中国权益市场多阶段性冲击特征</w:t>
      </w:r>
    </w:p>
    <w:p w14:paraId="0704CA57">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hint="eastAsia" w:ascii="宋体" w:hAnsi="宋体" w:cs="宋体"/>
          <w:b/>
          <w:bCs/>
          <w:color w:val="auto"/>
          <w:kern w:val="0"/>
          <w:szCs w:val="28"/>
        </w:rPr>
        <w:t>4.5</w:t>
      </w:r>
      <w:r>
        <w:rPr>
          <w:rFonts w:ascii="宋体" w:hAnsi="宋体" w:cs="宋体"/>
          <w:b/>
          <w:bCs/>
          <w:color w:val="auto"/>
          <w:kern w:val="0"/>
          <w:szCs w:val="28"/>
        </w:rPr>
        <w:t xml:space="preserve"> 相关性分析</w:t>
      </w:r>
    </w:p>
    <w:p w14:paraId="5DD30E4C">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hint="eastAsia" w:ascii="宋体" w:hAnsi="宋体" w:cs="宋体"/>
          <w:b/>
          <w:bCs/>
          <w:color w:val="auto"/>
          <w:kern w:val="0"/>
          <w:szCs w:val="28"/>
        </w:rPr>
        <w:t>4.5</w:t>
      </w:r>
      <w:r>
        <w:rPr>
          <w:rFonts w:ascii="宋体" w:hAnsi="宋体" w:cs="宋体"/>
          <w:b/>
          <w:bCs/>
          <w:color w:val="auto"/>
          <w:kern w:val="0"/>
          <w:szCs w:val="28"/>
        </w:rPr>
        <w:t>.1 全样本相关系数矩阵</w:t>
      </w:r>
    </w:p>
    <w:tbl>
      <w:tblPr>
        <w:tblStyle w:val="41"/>
        <w:tblW w:w="734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5"/>
        <w:gridCol w:w="1772"/>
        <w:gridCol w:w="1399"/>
        <w:gridCol w:w="2085"/>
      </w:tblGrid>
      <w:tr w14:paraId="606E9C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0" w:type="auto"/>
            <w:tcBorders>
              <w:bottom w:val="single" w:color="auto" w:sz="6" w:space="0"/>
            </w:tcBorders>
            <w:vAlign w:val="center"/>
          </w:tcPr>
          <w:p w14:paraId="04D85746">
            <w:pPr>
              <w:pStyle w:val="43"/>
              <w:jc w:val="center"/>
            </w:pPr>
          </w:p>
        </w:tc>
        <w:tc>
          <w:tcPr>
            <w:tcW w:w="0" w:type="auto"/>
            <w:tcBorders>
              <w:bottom w:val="single" w:color="auto" w:sz="6" w:space="0"/>
            </w:tcBorders>
            <w:vAlign w:val="center"/>
          </w:tcPr>
          <w:p w14:paraId="7A98CDDA">
            <w:pPr>
              <w:pStyle w:val="43"/>
              <w:jc w:val="center"/>
              <w:rPr>
                <w:b/>
                <w:bCs/>
              </w:rPr>
            </w:pPr>
            <w:r>
              <w:rPr>
                <w:b/>
                <w:bCs/>
              </w:rPr>
              <w:t>r_CSI300</w:t>
            </w:r>
          </w:p>
        </w:tc>
        <w:tc>
          <w:tcPr>
            <w:tcW w:w="0" w:type="auto"/>
            <w:tcBorders>
              <w:bottom w:val="single" w:color="auto" w:sz="6" w:space="0"/>
            </w:tcBorders>
            <w:vAlign w:val="center"/>
          </w:tcPr>
          <w:p w14:paraId="531E1197">
            <w:pPr>
              <w:pStyle w:val="43"/>
              <w:jc w:val="center"/>
              <w:rPr>
                <w:b/>
                <w:bCs/>
              </w:rPr>
            </w:pPr>
            <w:r>
              <w:rPr>
                <w:b/>
                <w:bCs/>
              </w:rPr>
              <w:t>r_Gold</w:t>
            </w:r>
          </w:p>
        </w:tc>
        <w:tc>
          <w:tcPr>
            <w:tcW w:w="0" w:type="auto"/>
            <w:tcBorders>
              <w:bottom w:val="single" w:color="auto" w:sz="6" w:space="0"/>
            </w:tcBorders>
            <w:vAlign w:val="center"/>
          </w:tcPr>
          <w:p w14:paraId="4395AF30">
            <w:pPr>
              <w:pStyle w:val="43"/>
              <w:jc w:val="center"/>
              <w:rPr>
                <w:b/>
                <w:bCs/>
              </w:rPr>
            </w:pPr>
            <w:r>
              <w:rPr>
                <w:b/>
                <w:bCs/>
              </w:rPr>
              <w:t>r_CrudeOil</w:t>
            </w:r>
          </w:p>
        </w:tc>
      </w:tr>
      <w:tr w14:paraId="6948F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0" w:type="auto"/>
            <w:tcBorders>
              <w:top w:val="single" w:color="auto" w:sz="6" w:space="0"/>
            </w:tcBorders>
            <w:vAlign w:val="center"/>
          </w:tcPr>
          <w:p w14:paraId="0E72FEB4">
            <w:pPr>
              <w:pStyle w:val="43"/>
              <w:jc w:val="center"/>
            </w:pPr>
            <w:r>
              <w:rPr>
                <w:b/>
                <w:bCs/>
              </w:rPr>
              <w:t>r_CSI300</w:t>
            </w:r>
          </w:p>
        </w:tc>
        <w:tc>
          <w:tcPr>
            <w:tcW w:w="0" w:type="auto"/>
            <w:tcBorders>
              <w:top w:val="single" w:color="auto" w:sz="6" w:space="0"/>
            </w:tcBorders>
            <w:vAlign w:val="center"/>
          </w:tcPr>
          <w:p w14:paraId="6CA1E65A">
            <w:pPr>
              <w:pStyle w:val="43"/>
              <w:jc w:val="center"/>
            </w:pPr>
            <w:r>
              <w:t>1.0000</w:t>
            </w:r>
          </w:p>
        </w:tc>
        <w:tc>
          <w:tcPr>
            <w:tcW w:w="0" w:type="auto"/>
            <w:tcBorders>
              <w:top w:val="single" w:color="auto" w:sz="6" w:space="0"/>
            </w:tcBorders>
            <w:vAlign w:val="center"/>
          </w:tcPr>
          <w:p w14:paraId="1A0EF5EC">
            <w:pPr>
              <w:pStyle w:val="43"/>
              <w:jc w:val="center"/>
            </w:pPr>
            <w:r>
              <w:rPr>
                <w:b/>
                <w:bCs/>
              </w:rPr>
              <w:t>0.0793</w:t>
            </w:r>
          </w:p>
        </w:tc>
        <w:tc>
          <w:tcPr>
            <w:tcW w:w="0" w:type="auto"/>
            <w:tcBorders>
              <w:top w:val="single" w:color="auto" w:sz="6" w:space="0"/>
            </w:tcBorders>
            <w:vAlign w:val="center"/>
          </w:tcPr>
          <w:p w14:paraId="4AFD0F83">
            <w:pPr>
              <w:pStyle w:val="43"/>
              <w:jc w:val="center"/>
            </w:pPr>
            <w:r>
              <w:rPr>
                <w:b/>
                <w:bCs/>
              </w:rPr>
              <w:t>0.1270</w:t>
            </w:r>
          </w:p>
        </w:tc>
      </w:tr>
      <w:tr w14:paraId="4C78A9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0" w:type="auto"/>
            <w:vAlign w:val="center"/>
          </w:tcPr>
          <w:p w14:paraId="2F5CD336">
            <w:pPr>
              <w:pStyle w:val="43"/>
              <w:jc w:val="center"/>
            </w:pPr>
            <w:r>
              <w:rPr>
                <w:b/>
                <w:bCs/>
              </w:rPr>
              <w:t>r_Gold</w:t>
            </w:r>
          </w:p>
        </w:tc>
        <w:tc>
          <w:tcPr>
            <w:tcW w:w="0" w:type="auto"/>
            <w:vAlign w:val="center"/>
          </w:tcPr>
          <w:p w14:paraId="171F7F5C">
            <w:pPr>
              <w:pStyle w:val="43"/>
              <w:jc w:val="center"/>
            </w:pPr>
            <w:r>
              <w:t>0.0793</w:t>
            </w:r>
          </w:p>
        </w:tc>
        <w:tc>
          <w:tcPr>
            <w:tcW w:w="0" w:type="auto"/>
            <w:vAlign w:val="center"/>
          </w:tcPr>
          <w:p w14:paraId="2E659D80">
            <w:pPr>
              <w:pStyle w:val="43"/>
              <w:jc w:val="center"/>
            </w:pPr>
            <w:r>
              <w:t>1.0000</w:t>
            </w:r>
          </w:p>
        </w:tc>
        <w:tc>
          <w:tcPr>
            <w:tcW w:w="0" w:type="auto"/>
            <w:vAlign w:val="center"/>
          </w:tcPr>
          <w:p w14:paraId="0B58105E">
            <w:pPr>
              <w:pStyle w:val="43"/>
              <w:jc w:val="center"/>
            </w:pPr>
            <w:r>
              <w:t>0.0571</w:t>
            </w:r>
          </w:p>
        </w:tc>
      </w:tr>
      <w:tr w14:paraId="6BA8A7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jc w:val="center"/>
        </w:trPr>
        <w:tc>
          <w:tcPr>
            <w:tcW w:w="0" w:type="auto"/>
            <w:vAlign w:val="center"/>
          </w:tcPr>
          <w:p w14:paraId="4C1D049A">
            <w:pPr>
              <w:pStyle w:val="43"/>
              <w:jc w:val="center"/>
            </w:pPr>
            <w:r>
              <w:rPr>
                <w:b/>
                <w:bCs/>
              </w:rPr>
              <w:t>r_CrudeOil</w:t>
            </w:r>
          </w:p>
        </w:tc>
        <w:tc>
          <w:tcPr>
            <w:tcW w:w="0" w:type="auto"/>
            <w:vAlign w:val="center"/>
          </w:tcPr>
          <w:p w14:paraId="104677AB">
            <w:pPr>
              <w:pStyle w:val="43"/>
              <w:jc w:val="center"/>
            </w:pPr>
            <w:r>
              <w:t>0.1270</w:t>
            </w:r>
          </w:p>
        </w:tc>
        <w:tc>
          <w:tcPr>
            <w:tcW w:w="0" w:type="auto"/>
            <w:vAlign w:val="center"/>
          </w:tcPr>
          <w:p w14:paraId="7A6987ED">
            <w:pPr>
              <w:pStyle w:val="43"/>
              <w:jc w:val="center"/>
            </w:pPr>
            <w:r>
              <w:t>0.0571</w:t>
            </w:r>
          </w:p>
        </w:tc>
        <w:tc>
          <w:tcPr>
            <w:tcW w:w="0" w:type="auto"/>
            <w:vAlign w:val="center"/>
          </w:tcPr>
          <w:p w14:paraId="3D9080C4">
            <w:pPr>
              <w:pStyle w:val="43"/>
              <w:jc w:val="center"/>
            </w:pPr>
            <w:r>
              <w:t>1.0000</w:t>
            </w:r>
          </w:p>
        </w:tc>
      </w:tr>
    </w:tbl>
    <w:p w14:paraId="403A8A6A">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hint="eastAsia" w:ascii="宋体" w:hAnsi="宋体" w:cs="宋体"/>
          <w:b/>
          <w:bCs/>
          <w:color w:val="auto"/>
          <w:kern w:val="0"/>
          <w:szCs w:val="28"/>
        </w:rPr>
        <w:t>4.5</w:t>
      </w:r>
      <w:r>
        <w:rPr>
          <w:rFonts w:ascii="宋体" w:hAnsi="宋体" w:cs="宋体"/>
          <w:b/>
          <w:bCs/>
          <w:color w:val="auto"/>
          <w:kern w:val="0"/>
          <w:szCs w:val="28"/>
        </w:rPr>
        <w:t>.2 相关性解读</w:t>
      </w:r>
    </w:p>
    <w:p w14:paraId="20DCD2A9">
      <w:pPr>
        <w:ind w:firstLine="562" w:firstLineChars="200"/>
        <w:rPr>
          <w:rFonts w:cs="Times New Roman"/>
          <w:color w:val="000000"/>
        </w:rPr>
      </w:pPr>
      <w:r>
        <w:rPr>
          <w:rFonts w:cs="Times New Roman"/>
          <w:b/>
          <w:bCs/>
          <w:color w:val="000000"/>
        </w:rPr>
        <w:t>整体而言，三个市场之间的线性相关性较弱</w:t>
      </w:r>
      <w:r>
        <w:rPr>
          <w:rFonts w:cs="Times New Roman"/>
          <w:color w:val="000000"/>
        </w:rPr>
        <w:t>（最高 r=0.127，CSI300-CrudeOil），这反映了以下几点：</w:t>
      </w:r>
    </w:p>
    <w:p w14:paraId="528A622E">
      <w:pPr>
        <w:rPr>
          <w:rFonts w:cs="Times New Roman"/>
          <w:color w:val="000000"/>
        </w:rPr>
      </w:pPr>
      <w:r>
        <w:rPr>
          <w:rFonts w:cs="Times New Roman"/>
          <w:b/>
          <w:bCs/>
          <w:color w:val="000000"/>
        </w:rPr>
        <w:t>资产类别差异</w:t>
      </w:r>
      <w:r>
        <w:rPr>
          <w:rFonts w:cs="Times New Roman"/>
          <w:color w:val="000000"/>
        </w:rPr>
        <w:t>：权益、贵金属、能源属于不同类型的资产，各自受不同的基本面因素驱动</w:t>
      </w:r>
      <w:r>
        <w:rPr>
          <w:rFonts w:hint="eastAsia" w:cs="Times New Roman"/>
          <w:color w:val="000000"/>
        </w:rPr>
        <w:t>。</w:t>
      </w:r>
    </w:p>
    <w:p w14:paraId="21E54ED0">
      <w:pPr>
        <w:ind w:firstLine="562" w:firstLineChars="200"/>
        <w:rPr>
          <w:rFonts w:cs="Times New Roman"/>
          <w:color w:val="000000"/>
        </w:rPr>
      </w:pPr>
      <w:r>
        <w:rPr>
          <w:rFonts w:cs="Times New Roman"/>
          <w:b/>
          <w:bCs/>
          <w:color w:val="000000"/>
        </w:rPr>
        <w:t>中国市场相对独立</w:t>
      </w:r>
      <w:r>
        <w:rPr>
          <w:rFonts w:cs="Times New Roman"/>
          <w:color w:val="000000"/>
        </w:rPr>
        <w:t>：CSI300与CrudeOil的相关系数（0.127）高于与Gold的相关系数（0.079），说明中国作为制造业大国和原油进口国，其股市与油价关联度更高</w:t>
      </w:r>
      <w:r>
        <w:rPr>
          <w:rFonts w:hint="eastAsia" w:cs="Times New Roman"/>
          <w:color w:val="000000"/>
        </w:rPr>
        <w:t>。</w:t>
      </w:r>
    </w:p>
    <w:p w14:paraId="750D3BB4">
      <w:pPr>
        <w:ind w:firstLine="562" w:firstLineChars="200"/>
        <w:rPr>
          <w:rFonts w:cs="Times New Roman"/>
          <w:color w:val="000000"/>
        </w:rPr>
      </w:pPr>
      <w:r>
        <w:rPr>
          <w:rFonts w:cs="Times New Roman"/>
          <w:b/>
          <w:bCs/>
          <w:color w:val="000000"/>
        </w:rPr>
        <w:t>黄金的弱相关性</w:t>
      </w:r>
      <w:r>
        <w:rPr>
          <w:rFonts w:cs="Times New Roman"/>
          <w:color w:val="000000"/>
        </w:rPr>
        <w:t>：Gold与其他两个市场的相关系数均低于 0.08，体现了其作为独立避险资产的特性</w:t>
      </w:r>
      <w:r>
        <w:rPr>
          <w:rFonts w:hint="eastAsia" w:cs="Times New Roman"/>
          <w:color w:val="000000"/>
        </w:rPr>
        <w:t>。</w:t>
      </w:r>
    </w:p>
    <w:p w14:paraId="17B866CC">
      <w:pPr>
        <w:widowControl/>
        <w:spacing w:before="100" w:beforeAutospacing="1" w:after="100" w:afterAutospacing="1" w:line="240" w:lineRule="auto"/>
        <w:jc w:val="left"/>
        <w:outlineLvl w:val="2"/>
        <w:rPr>
          <w:rFonts w:hint="eastAsia" w:ascii="宋体" w:hAnsi="宋体" w:cs="宋体"/>
          <w:b/>
          <w:bCs/>
          <w:color w:val="auto"/>
          <w:kern w:val="0"/>
          <w:szCs w:val="28"/>
        </w:rPr>
      </w:pPr>
      <w:r>
        <w:rPr>
          <w:rFonts w:ascii="宋体" w:hAnsi="宋体" w:cs="宋体"/>
          <w:b/>
          <w:bCs/>
          <w:color w:val="auto"/>
          <w:kern w:val="0"/>
          <w:szCs w:val="28"/>
        </w:rPr>
        <w:t>4.</w:t>
      </w:r>
      <w:r>
        <w:rPr>
          <w:rFonts w:hint="eastAsia" w:ascii="宋体" w:hAnsi="宋体" w:cs="宋体"/>
          <w:b/>
          <w:bCs/>
          <w:color w:val="auto"/>
          <w:kern w:val="0"/>
          <w:szCs w:val="28"/>
        </w:rPr>
        <w:t>5</w:t>
      </w:r>
      <w:r>
        <w:rPr>
          <w:rFonts w:ascii="宋体" w:hAnsi="宋体" w:cs="宋体"/>
          <w:b/>
          <w:bCs/>
          <w:color w:val="auto"/>
          <w:kern w:val="0"/>
          <w:szCs w:val="28"/>
        </w:rPr>
        <w:t>.3 非线性相关性：尾部联动</w:t>
      </w:r>
    </w:p>
    <w:p w14:paraId="184C6412">
      <w:pPr>
        <w:ind w:firstLine="560" w:firstLineChars="200"/>
        <w:rPr>
          <w:rFonts w:cs="Times New Roman"/>
          <w:color w:val="000000"/>
        </w:rPr>
      </w:pPr>
      <w:r>
        <w:rPr>
          <w:rFonts w:cs="Times New Roman"/>
          <w:color w:val="000000"/>
        </w:rPr>
        <w:t>尽管线性相关系数较低，但在极端事件中可能出现尾部联动（tail dependence）：</w:t>
      </w:r>
    </w:p>
    <w:p w14:paraId="45A7D6B6">
      <w:pPr>
        <w:ind w:firstLine="560" w:firstLineChars="200"/>
        <w:rPr>
          <w:rFonts w:cs="Times New Roman"/>
          <w:color w:val="000000"/>
        </w:rPr>
      </w:pPr>
      <w:r>
        <w:rPr>
          <w:rFonts w:cs="Times New Roman"/>
          <w:color w:val="000000"/>
        </w:rPr>
        <w:t>2020 年 3 月市场崩盘期间，CSI300 和 CrudeOil 均出现大幅下跌（CSI300 在 2020-02-03 跌 -8.21%，CrudeOil 在 2020-03-09 跌 -31.86%）</w:t>
      </w:r>
    </w:p>
    <w:p w14:paraId="52E4EB98">
      <w:pPr>
        <w:ind w:firstLine="560" w:firstLineChars="200"/>
        <w:rPr>
          <w:rFonts w:cs="Times New Roman"/>
          <w:color w:val="000000"/>
        </w:rPr>
      </w:pPr>
      <w:r>
        <w:rPr>
          <w:rFonts w:cs="Times New Roman"/>
          <w:color w:val="000000"/>
        </w:rPr>
        <w:t>黄金在 2020 年 3 月流动性危机中也出现了避险失效（3月12-13日累计跌约 -6.5%），呈现"万物皆跌"的危机特征</w:t>
      </w:r>
    </w:p>
    <w:p w14:paraId="7C84A041">
      <w:pPr>
        <w:ind w:firstLine="560" w:firstLineChars="200"/>
        <w:rPr>
          <w:rFonts w:cs="Times New Roman"/>
          <w:color w:val="000000"/>
        </w:rPr>
      </w:pPr>
      <w:r>
        <w:rPr>
          <w:rFonts w:cs="Times New Roman"/>
          <w:color w:val="000000"/>
        </w:rPr>
        <w:t>这种在正常状态下弱相关、在极端状态下强相关的模式，正是多市场风险建模需要捕捉的结构性特征</w:t>
      </w:r>
    </w:p>
    <w:p w14:paraId="08026F92">
      <w:pPr>
        <w:pStyle w:val="3"/>
      </w:pPr>
      <w:r>
        <w:t>5问题一的模型建立、求解及结果分析</w:t>
      </w:r>
    </w:p>
    <w:p w14:paraId="607EE08B">
      <w:pPr>
        <w:pStyle w:val="4"/>
      </w:pPr>
      <w:r>
        <w:t>5.1问题一的模型建立</w:t>
      </w:r>
    </w:p>
    <w:p w14:paraId="0A4C4FB0">
      <w:pPr>
        <w:pStyle w:val="5"/>
      </w:pPr>
      <w:r>
        <w:t>5.1.1</w:t>
      </w:r>
      <w:r>
        <w:rPr>
          <w:rFonts w:hint="eastAsia"/>
        </w:rPr>
        <w:t xml:space="preserve"> 方法概述</w:t>
      </w:r>
    </w:p>
    <w:p w14:paraId="6CF4B9C5">
      <w:r>
        <w:rPr>
          <w:rFonts w:hint="eastAsia"/>
        </w:rPr>
        <w:t>（1）对数收益率的构造</w:t>
      </w:r>
    </w:p>
    <w:p w14:paraId="6CEC820A">
      <w:pPr>
        <w:ind w:firstLine="560" w:firstLineChars="200"/>
      </w:pPr>
      <w:r>
        <w:rPr>
          <w:rFonts w:hint="eastAsia"/>
        </w:rPr>
        <w:t>由于金融资产价格序列通常存在趋势性、非平稳性，直接使用原始价格无法刻画市场波动与收益特征。为消除价格趋势影响、满足时间序列建模平稳性要求，本文采用金融研究通用的对数收益率刻画各市场每日收益变化，同时对数收益率具备可加性、近似收益率无偏等优良统计性质。</w:t>
      </w:r>
    </w:p>
    <w:p w14:paraId="1754C392">
      <w:pPr>
        <w:ind w:firstLine="560" w:firstLineChars="200"/>
      </w:pPr>
      <w:r>
        <w:rPr>
          <w:rFonts w:hint="eastAsia"/>
        </w:rPr>
        <w:t>设第 i 个金融市场在第 t 日的收盘价为</w:t>
      </w:r>
      <w:r>
        <w:rPr>
          <w:position w:val="-14"/>
        </w:rPr>
        <w:object>
          <v:shape id="_x0000_i1067" o:spt="75" type="#_x0000_t75" style="height:19.1pt;width:15.8pt;" o:ole="t" filled="f" o:preferrelative="t" stroked="f" coordsize="21600,21600">
            <v:path/>
            <v:fill on="f" focussize="0,0"/>
            <v:stroke on="f" joinstyle="miter"/>
            <v:imagedata r:id="rId37" o:title=""/>
            <o:lock v:ext="edit" aspectratio="t"/>
            <w10:wrap type="none"/>
            <w10:anchorlock/>
          </v:shape>
          <o:OLEObject Type="Embed" ProgID="Equation.DSMT4" ShapeID="_x0000_i1067" DrawAspect="Content" ObjectID="_1468075767" r:id="rId90">
            <o:LockedField>false</o:LockedField>
          </o:OLEObject>
        </w:object>
      </w:r>
      <w:r>
        <w:rPr>
          <w:rFonts w:hint="eastAsia"/>
        </w:rPr>
        <w:t>，则该市场当日对数收益率定义为：</w:t>
      </w:r>
    </w:p>
    <w:p w14:paraId="37915875">
      <w:pPr>
        <w:jc w:val="center"/>
      </w:pPr>
      <w:r>
        <w:rPr>
          <w:rFonts w:hint="eastAsia"/>
          <w:position w:val="-16"/>
        </w:rPr>
        <w:object>
          <v:shape id="_x0000_i1068" o:spt="75" type="#_x0000_t75" style="height:21.8pt;width:111.8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p>
    <w:p w14:paraId="3DCF35FA">
      <w:pPr>
        <w:ind w:firstLine="560" w:firstLineChars="200"/>
      </w:pPr>
      <w:r>
        <w:rPr>
          <w:rFonts w:hint="eastAsia"/>
        </w:rPr>
        <w:t>其中：</w:t>
      </w:r>
      <w:r>
        <w:rPr>
          <w:position w:val="-14"/>
        </w:rPr>
        <w:object>
          <v:shape id="_x0000_i1069" o:spt="75" type="#_x0000_t75" style="height:19.1pt;width:8.2pt;" o:ole="t" filled="f" o:preferrelative="t" stroked="f" coordsize="21600,21600">
            <v:path/>
            <v:fill on="f" focussize="0,0"/>
            <v:stroke on="f" joinstyle="miter"/>
            <v:imagedata r:id="rId33" o:title=""/>
            <o:lock v:ext="edit" aspectratio="t"/>
            <w10:wrap type="none"/>
            <w10:anchorlock/>
          </v:shape>
          <o:OLEObject Type="Embed" ProgID="Equation.DSMT4" ShapeID="_x0000_i1069" DrawAspect="Content" ObjectID="_1468075769" r:id="rId93">
            <o:LockedField>false</o:LockedField>
          </o:OLEObject>
        </w:object>
      </w:r>
      <w:r>
        <w:rPr>
          <w:rFonts w:hint="eastAsia"/>
        </w:rPr>
        <w:t xml:space="preserve"> 代表市场 </w:t>
      </w:r>
      <w:r>
        <w:rPr>
          <w:rFonts w:hint="eastAsia"/>
          <w:i/>
          <w:iCs/>
        </w:rPr>
        <w:t xml:space="preserve">i </w:t>
      </w:r>
      <w:r>
        <w:rPr>
          <w:rFonts w:hint="eastAsia"/>
        </w:rPr>
        <w:t>在第</w:t>
      </w:r>
      <w:r>
        <w:rPr>
          <w:rFonts w:hint="eastAsia"/>
          <w:i/>
          <w:iCs/>
        </w:rPr>
        <w:t xml:space="preserve"> t</w:t>
      </w:r>
      <w:r>
        <w:rPr>
          <w:rFonts w:hint="eastAsia"/>
        </w:rPr>
        <w:t xml:space="preserve"> 日的对数收益率。该指标能够精准反映单周期内资产的涨跌幅度，是后续分布拟合、特征提取的基础输入序列。</w:t>
      </w:r>
    </w:p>
    <w:p w14:paraId="00559B20">
      <w:r>
        <w:rPr>
          <w:rFonts w:hint="eastAsia"/>
        </w:rPr>
        <w:t>（2） 基于滑动窗口的局部收益样本构造</w:t>
      </w:r>
    </w:p>
    <w:p w14:paraId="22172DB6">
      <w:pPr>
        <w:ind w:firstLine="560" w:firstLineChars="200"/>
      </w:pPr>
      <w:r>
        <w:rPr>
          <w:rFonts w:hint="eastAsia"/>
        </w:rPr>
        <w:t>传统全局分布拟合假设全时段市场收益分布恒定，无法捕捉金融市场时变、异方差、阶段性波动的核心特征。为刻画不同时刻市场的动态收益分布状态，本文引入固定长度滑动时间窗口，实现收益分布的动态更新。</w:t>
      </w:r>
    </w:p>
    <w:p w14:paraId="6E416339">
      <w:pPr>
        <w:ind w:firstLine="840" w:firstLineChars="300"/>
      </w:pPr>
      <w:r>
        <w:rPr>
          <w:rFonts w:hint="eastAsia"/>
        </w:rPr>
        <w:t>对任意时刻 t，提取市场 i 当期窗口内的历史收益样本集：</w:t>
      </w:r>
    </w:p>
    <w:p w14:paraId="6C7B10F3">
      <w:pPr>
        <w:jc w:val="center"/>
      </w:pPr>
      <w:r>
        <w:rPr>
          <w:rFonts w:hint="eastAsia"/>
          <w:position w:val="-16"/>
        </w:rPr>
        <w:object>
          <v:shape id="_x0000_i1070" o:spt="75" type="#_x0000_t75" style="height:21.8pt;width:128.2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p>
    <w:p w14:paraId="4960D0E1">
      <w:pPr>
        <w:ind w:firstLine="560" w:firstLineChars="200"/>
      </w:pPr>
      <w:r>
        <w:rPr>
          <w:rFonts w:hint="eastAsia"/>
        </w:rPr>
        <w:t>该窗口滚动更新机制保证每一个交易日均可对应一组独立的近期收益样本，能够实时反映当下市场的收益分布规律，解决了静态分布无法适配市场动态演化的缺陷。</w:t>
      </w:r>
    </w:p>
    <w:p w14:paraId="2A77A454">
      <w:r>
        <w:rPr>
          <w:rFonts w:hint="eastAsia"/>
        </w:rPr>
        <w:t>（3）核密度估计（KDE）局部收益分布拟合</w:t>
      </w:r>
    </w:p>
    <w:p w14:paraId="3F58671F">
      <w:pPr>
        <w:ind w:firstLine="560" w:firstLineChars="200"/>
      </w:pPr>
      <w:r>
        <w:rPr>
          <w:rFonts w:hint="eastAsia"/>
        </w:rPr>
        <w:t>金融收益率普遍存在尖峰厚尾、非正态、不对称的特征，传统正态分布、t分布等参数化分布模型拟合精度有限。本文采用高斯核密度估计（KDE） 非参数拟合方法，无需预设分布形态，完全基于数据自适应拟合局部收益概率密度分布。</w:t>
      </w:r>
    </w:p>
    <w:p w14:paraId="716CE0F0">
      <w:pPr>
        <w:ind w:firstLine="560" w:firstLineChars="200"/>
      </w:pPr>
      <w:r>
        <w:rPr>
          <w:rFonts w:hint="eastAsia"/>
        </w:rPr>
        <w:t>对市场 i 在时刻 t 的窗口样本，局部概率密度函数构造为：</w:t>
      </w:r>
    </w:p>
    <w:p w14:paraId="78FE5729">
      <w:r>
        <w:rPr>
          <w:rFonts w:hint="eastAsia"/>
        </w:rPr>
        <w:t>式中：</w:t>
      </w:r>
    </w:p>
    <w:p w14:paraId="5062C963">
      <w:pPr>
        <w:jc w:val="center"/>
      </w:pPr>
      <w:r>
        <w:rPr>
          <w:rFonts w:hint="eastAsia"/>
          <w:position w:val="-30"/>
        </w:rPr>
        <w:object>
          <v:shape id="_x0000_i1071" o:spt="75" type="#_x0000_t75" style="height:36pt;width:168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p>
    <w:p w14:paraId="78D4C0CA">
      <w:pPr>
        <w:ind w:firstLine="560" w:firstLineChars="200"/>
      </w:pPr>
      <w:r>
        <w:rPr>
          <w:rFonts w:hint="eastAsia"/>
        </w:rPr>
        <w:t>其中，K( ) 为高斯核函数，用于平滑离散样本、生成连续密度曲线；</w:t>
      </w:r>
    </w:p>
    <w:p w14:paraId="14F4FFD2">
      <w:pPr>
        <w:ind w:firstLine="560" w:firstLineChars="200"/>
      </w:pPr>
      <w:r>
        <w:rPr>
          <w:rFonts w:hint="eastAsia"/>
        </w:rPr>
        <w:t>h 为最优带宽，控制拟合平滑程度，带宽自适应选取以平衡过拟合与欠拟合；</w:t>
      </w:r>
    </w:p>
    <w:p w14:paraId="1606C746">
      <w:pPr>
        <w:ind w:firstLine="560" w:firstLineChars="200"/>
      </w:pPr>
      <w:r>
        <w:rPr>
          <w:rFonts w:hint="eastAsia"/>
          <w:position w:val="-14"/>
        </w:rPr>
        <w:object>
          <v:shape id="_x0000_i1072" o:spt="75" type="#_x0000_t75" style="height:19.1pt;width:32.2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rPr>
        <w:t>为市场 i 在时刻 t 的动态局部收益密度分布。</w:t>
      </w:r>
    </w:p>
    <w:p w14:paraId="1D1793CF">
      <w:pPr>
        <w:rPr>
          <w:rFonts w:hint="eastAsia" w:ascii="宋体" w:hAnsi="宋体"/>
        </w:rPr>
      </w:pPr>
      <w:r>
        <w:t xml:space="preserve"> </w:t>
      </w:r>
      <w:r>
        <w:rPr>
          <w:rFonts w:hint="eastAsia"/>
        </w:rPr>
        <w:t>且</w:t>
      </w:r>
      <w:r>
        <w:rPr>
          <w:rFonts w:ascii="宋体" w:hAnsi="宋体"/>
        </w:rPr>
        <w:t>KDE 带宽选取 Silverman 规则</w:t>
      </w:r>
      <w:r>
        <w:rPr>
          <w:rFonts w:hint="eastAsia" w:ascii="宋体" w:hAnsi="宋体"/>
        </w:rPr>
        <w:t>为</w:t>
      </w:r>
      <w:r>
        <w:rPr>
          <w:rFonts w:ascii="宋体" w:hAnsi="宋体"/>
        </w:rPr>
        <w:t>：</w:t>
      </w:r>
      <w:r>
        <w:rPr>
          <w:rFonts w:ascii="宋体" w:hAnsi="宋体"/>
        </w:rPr>
        <w:br w:type="textWrapping"/>
      </w: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=1.06⋅</m:t>
          </m:r>
          <m:r>
            <m:rPr>
              <m:sty m:val="p"/>
            </m:rPr>
            <w:rPr>
              <w:rFonts w:ascii="Cambria Math" w:hAnsi="Cambria Math"/>
            </w:rPr>
            <m:t>min</m:t>
          </m:r>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w:rPr>
                  <w:rFonts w:ascii="宋体" w:hAnsi="宋体"/>
                </w:rPr>
                <m:t>IQR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1.34)⋅</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5</m:t>
              </m:r>
              <m:ctrlPr>
                <w:rPr>
                  <w:rFonts w:ascii="Cambria Math" w:hAnsi="Cambria Math"/>
                </w:rPr>
              </m:ctrlPr>
            </m:sup>
          </m:sSup>
        </m:oMath>
      </m:oMathPara>
    </w:p>
    <w:p w14:paraId="2C8E3BB3">
      <w:pPr>
        <w:ind w:firstLine="560" w:firstLineChars="200"/>
      </w:pPr>
      <w:r>
        <w:rPr>
          <w:rFonts w:hint="eastAsia"/>
        </w:rPr>
        <w:t>通过该模型，每个市场每日均可生成唯一的收益分布曲线，精准刻画单市场阶段性收益、波动、尾部风险特征。</w:t>
      </w:r>
    </w:p>
    <w:p w14:paraId="46C72DD0">
      <w:r>
        <w:rPr>
          <w:rFonts w:hint="eastAsia"/>
        </w:rPr>
        <w:t>（4）基于波动率倒数加权的综合市场分布融合</w:t>
      </w:r>
      <w:r>
        <w:t xml:space="preserve"> </w:t>
      </w:r>
    </w:p>
    <w:p w14:paraId="362E132D">
      <w:pPr>
        <w:ind w:firstLine="560" w:firstLineChars="200"/>
      </w:pPr>
      <w:r>
        <w:rPr>
          <w:rFonts w:hint="eastAsia"/>
        </w:rPr>
        <w:t>本文研究对象包含多个关联金融市场，不同市场的波动强度、风险贡献度存在显著差异。简单平均融合会高估高波动市场的干扰、低估低波动市场的稳定信号。因此本文采用波动率倒数加权法构建权重，实现多市场分布的科学融合。</w:t>
      </w:r>
    </w:p>
    <w:p w14:paraId="20A269E9">
      <w:pPr>
        <w:ind w:firstLine="560" w:firstLineChars="200"/>
      </w:pPr>
      <w:r>
        <w:rPr>
          <w:rFonts w:hint="eastAsia"/>
        </w:rPr>
        <w:t>波动率越低的市场，信息稳定性越强、参考价值越高；波动率越高的市场，噪声越大、波动扰动越强。基于此构造单市场动态权重：</w:t>
      </w:r>
    </w:p>
    <w:p w14:paraId="21DE8A0F">
      <w:pPr>
        <w:jc w:val="center"/>
      </w:pPr>
      <w:r>
        <w:rPr>
          <w:rFonts w:hint="eastAsia"/>
          <w:position w:val="-40"/>
        </w:rPr>
        <w:object>
          <v:shape id="_x0000_i1073" o:spt="75" type="#_x0000_t75" style="height:50.2pt;width:81.25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p>
    <w:p w14:paraId="01C7C2CC">
      <w:pPr>
        <w:jc w:val="left"/>
      </w:pPr>
      <w:r>
        <w:rPr>
          <w:rFonts w:hint="eastAsia"/>
        </w:rPr>
        <w:t>其中</w:t>
      </w:r>
      <w:r>
        <w:rPr>
          <w:rFonts w:hint="eastAsia"/>
          <w:position w:val="-14"/>
        </w:rPr>
        <w:object>
          <v:shape id="_x0000_i1074" o:spt="75" type="#_x0000_t75" style="height:19.1pt;width:15.8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rPr>
        <w:t xml:space="preserve">为市场 i 当前窗口内收益率标准差（波动率），权重满足归一化条件 </w:t>
      </w:r>
      <w:r>
        <w:rPr>
          <w:rFonts w:hint="eastAsia"/>
          <w:position w:val="-14"/>
        </w:rPr>
        <w:object>
          <v:shape id="_x0000_i1075" o:spt="75" type="#_x0000_t75" style="height:20.2pt;width:48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rPr>
        <w:t>，保证融合分布概率意义成立。</w:t>
      </w:r>
    </w:p>
    <w:p w14:paraId="32551689">
      <w:r>
        <w:t>在动态权重基础上，对多个单市场局部密度分布进行加权融合，得到Wasserstein-2 Barycenter（综合市场状态）：</w:t>
      </w:r>
    </w:p>
    <w:p w14:paraId="624410D0">
      <w:pPr>
        <w:ind w:firstLine="560" w:firstLineChars="200"/>
        <w:rPr>
          <w:rFonts w:hint="eastAsia" w:ascii="宋体" w:hAnsi="宋体"/>
        </w:rPr>
      </w:pPr>
      <w:r>
        <w:rPr>
          <w:rFonts w:hint="eastAsia" w:ascii="宋体" w:hAnsi="宋体"/>
        </w:rPr>
        <w:t>特别的，</w:t>
      </w:r>
      <w:r>
        <w:rPr>
          <w:rFonts w:ascii="宋体" w:hAnsi="宋体"/>
        </w:rPr>
        <w:t>对于一维分布，</w:t>
      </w:r>
      <w:r>
        <w:rPr>
          <w:rFonts w:hint="eastAsia" w:ascii="宋体" w:hAnsi="宋体"/>
        </w:rPr>
        <w:t>我们发现</w:t>
      </w:r>
      <w:r>
        <w:rPr>
          <w:rFonts w:ascii="宋体" w:hAnsi="宋体"/>
        </w:rPr>
        <w:t>Wasserstein-2 Barycenter 存在解析形式——其分位函数为各市场分位函数的加权平均：</w:t>
      </w:r>
      <w:r>
        <w:rPr>
          <w:rFonts w:ascii="宋体" w:hAnsi="宋体"/>
        </w:rPr>
        <w:br w:type="textWrapping"/>
      </w:r>
      <m:oMathPara>
        <m:oMath>
          <m:sSub>
            <m:sSubPr>
              <m:ctrlPr>
                <w:rPr>
                  <w:rFonts w:ascii="Cambria Math" w:hAnsi="Cambria Math"/>
                </w:rPr>
              </m:ctrlPr>
            </m:sSub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Sub>
          <m:r>
            <m:rPr/>
            <w:rPr>
              <w:rFonts w:ascii="Cambria Math" w:hAnsi="Cambria Math"/>
            </w:rPr>
            <m:t>(p)=</m:t>
          </m:r>
          <m:nary>
            <m:naryPr>
              <m:chr m:val="∑"/>
              <m:grow m:val="1"/>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rPr>
              </m:ctrlPr>
            </m:sub>
          </m:sSub>
          <m:r>
            <m:rPr/>
            <w:rPr>
              <w:rFonts w:ascii="Cambria Math" w:hAnsi="Cambria Math"/>
            </w:rPr>
            <m:t>(p),p∈[0,1]</m:t>
          </m:r>
        </m:oMath>
      </m:oMathPara>
    </w:p>
    <w:p w14:paraId="194DF77A">
      <w:pPr>
        <w:widowControl/>
        <w:spacing w:before="100" w:beforeAutospacing="1" w:after="100" w:afterAutospacing="1" w:line="240" w:lineRule="auto"/>
        <w:jc w:val="left"/>
        <w:rPr>
          <w:rFonts w:hint="eastAsia" w:ascii="宋体" w:hAnsi="宋体" w:cs="宋体"/>
          <w:color w:val="auto"/>
          <w:kern w:val="0"/>
          <w:sz w:val="24"/>
          <w:szCs w:val="24"/>
        </w:rPr>
      </w:pPr>
      <w:r>
        <w:rPr>
          <w:rFonts w:ascii="宋体" w:hAnsi="宋体" w:cs="宋体"/>
          <w:color w:val="auto"/>
          <w:kern w:val="0"/>
          <w:sz w:val="24"/>
          <w:szCs w:val="24"/>
        </w:rPr>
        <w:t xml:space="preserve">其中 </w:t>
      </w:r>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λ</m:t>
            </m:r>
            <m:ctrlPr>
              <w:rPr>
                <w:rFonts w:ascii="Cambria Math" w:hAnsi="Cambria Math" w:cs="宋体"/>
                <w:color w:val="auto"/>
                <w:kern w:val="0"/>
                <w:sz w:val="24"/>
                <w:szCs w:val="24"/>
              </w:rPr>
            </m:ctrlPr>
          </m:e>
          <m:sub>
            <m:r>
              <m:rPr/>
              <w:rPr>
                <w:rFonts w:ascii="Cambria Math" w:hAnsi="Cambria Math" w:cs="宋体"/>
                <w:color w:val="auto"/>
                <w:kern w:val="0"/>
                <w:sz w:val="24"/>
                <w:szCs w:val="24"/>
              </w:rPr>
              <m:t>i</m:t>
            </m:r>
            <m:ctrlPr>
              <w:rPr>
                <w:rFonts w:ascii="Cambria Math" w:hAnsi="Cambria Math" w:cs="宋体"/>
                <w:color w:val="auto"/>
                <w:kern w:val="0"/>
                <w:sz w:val="24"/>
                <w:szCs w:val="24"/>
              </w:rPr>
            </m:ctrlPr>
          </m:sub>
        </m:sSub>
      </m:oMath>
      <w:r>
        <w:rPr>
          <w:rFonts w:ascii="宋体" w:hAnsi="宋体" w:cs="宋体"/>
          <w:color w:val="auto"/>
          <w:kern w:val="0"/>
          <w:sz w:val="24"/>
          <w:szCs w:val="24"/>
        </w:rPr>
        <w:t>为市场权重（默认等权），</w:t>
      </w:r>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i,t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sub>
        </m:sSub>
      </m:oMath>
      <w:r>
        <w:rPr>
          <w:rFonts w:ascii="宋体" w:hAnsi="宋体" w:cs="宋体"/>
          <w:color w:val="auto"/>
          <w:kern w:val="0"/>
          <w:sz w:val="24"/>
          <w:szCs w:val="24"/>
        </w:rPr>
        <w:t xml:space="preserve"> 为 </w:t>
      </w:r>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i,t</m:t>
            </m:r>
            <m:ctrlPr>
              <w:rPr>
                <w:rFonts w:ascii="Cambria Math" w:hAnsi="Cambria Math" w:cs="宋体"/>
                <w:color w:val="auto"/>
                <w:kern w:val="0"/>
                <w:sz w:val="24"/>
                <w:szCs w:val="24"/>
              </w:rPr>
            </m:ctrlPr>
          </m:sub>
        </m:sSub>
      </m:oMath>
      <w:r>
        <w:rPr>
          <w:rFonts w:ascii="宋体" w:hAnsi="宋体" w:cs="宋体"/>
          <w:color w:val="auto"/>
          <w:kern w:val="0"/>
          <w:sz w:val="24"/>
          <w:szCs w:val="24"/>
        </w:rPr>
        <w:t>的分位函数。</w:t>
      </w:r>
    </w:p>
    <w:p w14:paraId="44494CE7">
      <w:pPr>
        <w:ind w:firstLine="560" w:firstLineChars="200"/>
      </w:pPr>
      <w:r>
        <w:rPr>
          <w:rFonts w:hint="eastAsia"/>
        </w:rPr>
        <w:t>该综合分布整合了所有市场的实时运行特征，消除了单一市场的片面性，能够表征整体金融市场当日的整体收益分布格局与风险状态。</w:t>
      </w:r>
      <w:r>
        <w:t xml:space="preserve"> </w:t>
      </w:r>
    </w:p>
    <w:p w14:paraId="77083C25">
      <w:r>
        <w:rPr>
          <w:rFonts w:hint="eastAsia"/>
        </w:rPr>
        <w:t>（5）综合分布统计特征提取</w:t>
      </w:r>
    </w:p>
    <w:p w14:paraId="7C8F85FB">
      <w:pPr>
        <w:ind w:firstLine="560" w:firstLineChars="200"/>
      </w:pPr>
      <w:r>
        <w:rPr>
          <w:rFonts w:hint="eastAsia"/>
        </w:rPr>
        <w:t>为量化刻画综合市场状态，从融合后的动态分布中提取五类核心金融统计指标，实现分布特征的数值化、可分析化，选取以下特征：</w:t>
      </w:r>
    </w:p>
    <w:p w14:paraId="2913F4C2">
      <w:pPr>
        <w:ind w:firstLine="562" w:firstLineChars="200"/>
      </w:pPr>
      <w:r>
        <w:rPr>
          <w:rFonts w:hint="eastAsia"/>
          <w:b/>
          <w:bCs/>
        </w:rPr>
        <w:t>期望均值</w:t>
      </w:r>
      <w:r>
        <w:rPr>
          <w:rFonts w:hint="eastAsia"/>
        </w:rPr>
        <w:t>（反映市场整体收益水平）</w:t>
      </w:r>
    </w:p>
    <w:p w14:paraId="37A78A7D">
      <w:pPr>
        <w:widowControl/>
        <w:spacing w:line="240" w:lineRule="auto"/>
        <w:jc w:val="center"/>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nary>
            <m:naryPr>
              <m:grow m:val="1"/>
              <m:limLoc m:val="subSup"/>
              <m:ctrlPr>
                <w:rPr>
                  <w:rFonts w:ascii="Cambria Math" w:hAnsi="Cambria Math" w:cs="宋体"/>
                  <w:color w:val="auto"/>
                  <w:kern w:val="0"/>
                  <w:sz w:val="24"/>
                  <w:szCs w:val="24"/>
                </w:rPr>
              </m:ctrlPr>
            </m:naryPr>
            <m:sub>
              <m:r>
                <m:rPr/>
                <w:rPr>
                  <w:rFonts w:ascii="Cambria Math" w:hAnsi="Cambria Math" w:cs="宋体"/>
                  <w:color w:val="auto"/>
                  <w:kern w:val="0"/>
                  <w:sz w:val="24"/>
                  <w:szCs w:val="24"/>
                </w:rPr>
                <m:t>0</m:t>
              </m:r>
              <m:ctrlPr>
                <w:rPr>
                  <w:rFonts w:ascii="Cambria Math" w:hAnsi="Cambria Math" w:cs="宋体"/>
                  <w:color w:val="auto"/>
                  <w:kern w:val="0"/>
                  <w:sz w:val="24"/>
                  <w:szCs w:val="24"/>
                </w:rPr>
              </m:ctrlPr>
            </m:sub>
            <m:sup>
              <m:r>
                <m:rPr/>
                <w:rPr>
                  <w:rFonts w:ascii="Cambria Math" w:hAnsi="Cambria Math" w:cs="宋体"/>
                  <w:color w:val="auto"/>
                  <w:kern w:val="0"/>
                  <w:sz w:val="24"/>
                  <w:szCs w:val="24"/>
                </w:rPr>
                <m:t>1</m:t>
              </m:r>
              <m:ctrlPr>
                <w:rPr>
                  <w:rFonts w:ascii="Cambria Math" w:hAnsi="Cambria Math" w:cs="宋体"/>
                  <w:color w:val="auto"/>
                  <w:kern w:val="0"/>
                  <w:sz w:val="24"/>
                  <w:szCs w:val="24"/>
                </w:rPr>
              </m:ctrlPr>
            </m:sup>
            <m:e>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u</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e>
          </m:nary>
          <m:r>
            <m:rPr/>
            <w:rPr>
              <w:rFonts w:ascii="Cambria Math" w:hAnsi="Cambria Math" w:cs="宋体"/>
              <w:color w:val="auto"/>
              <w:kern w:val="0"/>
              <w:sz w:val="24"/>
              <w:szCs w:val="24"/>
            </w:rPr>
            <m:t>(p)dp</m:t>
          </m:r>
        </m:oMath>
      </m:oMathPara>
    </w:p>
    <w:p w14:paraId="39030DBD">
      <w:pPr>
        <w:ind w:firstLine="562" w:firstLineChars="200"/>
      </w:pPr>
      <w:r>
        <w:rPr>
          <w:b/>
          <w:bCs/>
        </w:rPr>
        <w:t>标准差</w:t>
      </w:r>
      <w:r>
        <w:rPr>
          <w:rFonts w:hint="eastAsia"/>
        </w:rPr>
        <w:t>（</w:t>
      </w:r>
      <w:r>
        <w:t>刻画市场整体波动剧烈程度</w:t>
      </w:r>
      <w:r>
        <w:rPr>
          <w:rFonts w:hint="eastAsia"/>
        </w:rPr>
        <w:t>）</w:t>
      </w:r>
    </w:p>
    <w:p w14:paraId="3178B24E">
      <w:pPr>
        <w:widowControl/>
        <w:spacing w:line="240" w:lineRule="auto"/>
        <w:jc w:val="center"/>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rad>
            <m:radPr>
              <m:degHide m:val="1"/>
              <m:ctrlPr>
                <w:rPr>
                  <w:rFonts w:ascii="Cambria Math" w:hAnsi="Cambria Math" w:cs="宋体"/>
                  <w:color w:val="auto"/>
                  <w:kern w:val="0"/>
                  <w:sz w:val="24"/>
                  <w:szCs w:val="24"/>
                </w:rPr>
              </m:ctrlPr>
            </m:radPr>
            <m:deg>
              <m:ctrlPr>
                <w:rPr>
                  <w:rFonts w:ascii="Cambria Math" w:hAnsi="Cambria Math" w:cs="宋体"/>
                  <w:color w:val="auto"/>
                  <w:kern w:val="0"/>
                  <w:sz w:val="24"/>
                  <w:szCs w:val="24"/>
                </w:rPr>
              </m:ctrlPr>
            </m:deg>
            <m:e>
              <m:nary>
                <m:naryPr>
                  <m:grow m:val="1"/>
                  <m:limLoc m:val="subSup"/>
                  <m:ctrlPr>
                    <w:rPr>
                      <w:rFonts w:ascii="Cambria Math" w:hAnsi="Cambria Math" w:cs="宋体"/>
                      <w:color w:val="auto"/>
                      <w:kern w:val="0"/>
                      <w:sz w:val="24"/>
                      <w:szCs w:val="24"/>
                    </w:rPr>
                  </m:ctrlPr>
                </m:naryPr>
                <m:sub>
                  <m:r>
                    <m:rPr/>
                    <w:rPr>
                      <w:rFonts w:ascii="Cambria Math" w:hAnsi="Cambria Math" w:cs="宋体"/>
                      <w:color w:val="auto"/>
                      <w:kern w:val="0"/>
                      <w:sz w:val="24"/>
                      <w:szCs w:val="24"/>
                    </w:rPr>
                    <m:t>0</m:t>
                  </m:r>
                  <m:ctrlPr>
                    <w:rPr>
                      <w:rFonts w:ascii="Cambria Math" w:hAnsi="Cambria Math" w:cs="宋体"/>
                      <w:color w:val="auto"/>
                      <w:kern w:val="0"/>
                      <w:sz w:val="24"/>
                      <w:szCs w:val="24"/>
                    </w:rPr>
                  </m:ctrlPr>
                </m:sub>
                <m:sup>
                  <m:r>
                    <m:rPr/>
                    <w:rPr>
                      <w:rFonts w:ascii="Cambria Math" w:hAnsi="Cambria Math" w:cs="宋体"/>
                      <w:color w:val="auto"/>
                      <w:kern w:val="0"/>
                      <w:sz w:val="24"/>
                      <w:szCs w:val="24"/>
                    </w:rPr>
                    <m:t>1</m:t>
                  </m:r>
                  <m:ctrlPr>
                    <w:rPr>
                      <w:rFonts w:ascii="Cambria Math" w:hAnsi="Cambria Math" w:cs="宋体"/>
                      <w:color w:val="auto"/>
                      <w:kern w:val="0"/>
                      <w:sz w:val="24"/>
                      <w:szCs w:val="24"/>
                    </w:rPr>
                  </m:ctrlPr>
                </m:sup>
                <m:e>
                  <m:r>
                    <m:rPr/>
                    <w:rPr>
                      <w:rFonts w:ascii="Cambria Math" w:hAnsi="Cambria Math" w:cs="宋体"/>
                      <w:color w:val="auto"/>
                      <w:kern w:val="0"/>
                      <w:sz w:val="24"/>
                      <w:szCs w:val="24"/>
                    </w:rPr>
                    <m:t>(</m:t>
                  </m:r>
                  <m:ctrlPr>
                    <w:rPr>
                      <w:rFonts w:ascii="Cambria Math" w:hAnsi="Cambria Math" w:cs="宋体"/>
                      <w:color w:val="auto"/>
                      <w:kern w:val="0"/>
                      <w:sz w:val="24"/>
                      <w:szCs w:val="24"/>
                    </w:rPr>
                  </m:ctrlPr>
                </m:e>
              </m:nary>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u</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sub>
              </m:sSub>
              <m:r>
                <m:rPr/>
                <w:rPr>
                  <w:rFonts w:ascii="Cambria Math" w:hAnsi="Cambria Math" w:cs="宋体"/>
                  <w:color w:val="auto"/>
                  <w:kern w:val="0"/>
                  <w:sz w:val="24"/>
                  <w:szCs w:val="24"/>
                </w:rPr>
                <m:t>(p)−</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sSup>
                <m:sSupPr>
                  <m:ctrlPr>
                    <w:rPr>
                      <w:rFonts w:ascii="Cambria Math" w:hAnsi="Cambria Math" w:cs="宋体"/>
                      <w:color w:val="auto"/>
                      <w:kern w:val="0"/>
                      <w:sz w:val="24"/>
                      <w:szCs w:val="24"/>
                    </w:rPr>
                  </m:ctrlPr>
                </m:sSupPr>
                <m:e>
                  <m:r>
                    <m:rPr/>
                    <w:rPr>
                      <w:rFonts w:ascii="Cambria Math" w:hAnsi="Cambria Math" w:cs="宋体"/>
                      <w:color w:val="auto"/>
                      <w:kern w:val="0"/>
                      <w:sz w:val="24"/>
                      <w:szCs w:val="24"/>
                    </w:rPr>
                    <m:t>)</m:t>
                  </m:r>
                  <m:ctrlPr>
                    <w:rPr>
                      <w:rFonts w:ascii="Cambria Math" w:hAnsi="Cambria Math" w:cs="宋体"/>
                      <w:color w:val="auto"/>
                      <w:kern w:val="0"/>
                      <w:sz w:val="24"/>
                      <w:szCs w:val="24"/>
                    </w:rPr>
                  </m:ctrlPr>
                </m:e>
                <m:sup>
                  <m:r>
                    <m:rPr/>
                    <w:rPr>
                      <w:rFonts w:ascii="Cambria Math" w:hAnsi="Cambria Math" w:cs="宋体"/>
                      <w:color w:val="auto"/>
                      <w:kern w:val="0"/>
                      <w:sz w:val="24"/>
                      <w:szCs w:val="24"/>
                    </w:rPr>
                    <m:t>2</m:t>
                  </m:r>
                  <m:ctrlPr>
                    <w:rPr>
                      <w:rFonts w:ascii="Cambria Math" w:hAnsi="Cambria Math" w:cs="宋体"/>
                      <w:color w:val="auto"/>
                      <w:kern w:val="0"/>
                      <w:sz w:val="24"/>
                      <w:szCs w:val="24"/>
                    </w:rPr>
                  </m:ctrlPr>
                </m:sup>
              </m:sSup>
              <m:r>
                <m:rPr/>
                <w:rPr>
                  <w:rFonts w:ascii="Cambria Math" w:hAnsi="Cambria Math" w:cs="宋体"/>
                  <w:color w:val="auto"/>
                  <w:kern w:val="0"/>
                  <w:sz w:val="24"/>
                  <w:szCs w:val="24"/>
                </w:rPr>
                <m:t>dp</m:t>
              </m:r>
              <m:ctrlPr>
                <w:rPr>
                  <w:rFonts w:ascii="Cambria Math" w:hAnsi="Cambria Math" w:cs="宋体"/>
                  <w:color w:val="auto"/>
                  <w:kern w:val="0"/>
                  <w:sz w:val="24"/>
                  <w:szCs w:val="24"/>
                </w:rPr>
              </m:ctrlPr>
            </m:e>
          </m:rad>
        </m:oMath>
      </m:oMathPara>
    </w:p>
    <w:p w14:paraId="14B614CE">
      <w:pPr>
        <w:ind w:firstLine="562" w:firstLineChars="200"/>
      </w:pPr>
      <w:r>
        <w:rPr>
          <w:b/>
          <w:bCs/>
        </w:rPr>
        <w:t>偏度</w:t>
      </w:r>
      <w:r>
        <w:rPr>
          <w:rFonts w:hint="eastAsia"/>
        </w:rPr>
        <w:t>（</w:t>
      </w:r>
      <w:r>
        <w:t>衡量收益涨跌不对称性，区分牛市、熊市偏态</w:t>
      </w:r>
      <w:r>
        <w:rPr>
          <w:rFonts w:hint="eastAsia"/>
        </w:rPr>
        <w:t>）</w:t>
      </w:r>
    </w:p>
    <w:p w14:paraId="7E5D2C74">
      <w:pPr>
        <w:pStyle w:val="34"/>
        <w:widowControl/>
        <w:spacing w:line="240" w:lineRule="auto"/>
        <w:ind w:left="440"/>
        <w:jc w:val="center"/>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m:nor/>
                  <m:sty m:val="p"/>
                </m:rPr>
                <w:rPr>
                  <w:rFonts w:ascii="宋体" w:hAnsi="宋体" w:cs="宋体"/>
                  <w:color w:val="auto"/>
                  <w:kern w:val="0"/>
                  <w:sz w:val="24"/>
                  <w:szCs w:val="24"/>
                </w:rPr>
                <m:t>Skew</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nary>
                <m:naryPr>
                  <m:grow m:val="1"/>
                  <m:limLoc m:val="subSup"/>
                  <m:ctrlPr>
                    <w:rPr>
                      <w:rFonts w:ascii="Cambria Math" w:hAnsi="Cambria Math" w:cs="宋体"/>
                      <w:color w:val="auto"/>
                      <w:kern w:val="0"/>
                      <w:sz w:val="24"/>
                      <w:szCs w:val="24"/>
                    </w:rPr>
                  </m:ctrlPr>
                </m:naryPr>
                <m:sub>
                  <m:r>
                    <m:rPr/>
                    <w:rPr>
                      <w:rFonts w:ascii="Cambria Math" w:hAnsi="Cambria Math" w:cs="宋体"/>
                      <w:color w:val="auto"/>
                      <w:kern w:val="0"/>
                      <w:sz w:val="24"/>
                      <w:szCs w:val="24"/>
                    </w:rPr>
                    <m:t>0</m:t>
                  </m:r>
                  <m:ctrlPr>
                    <w:rPr>
                      <w:rFonts w:ascii="Cambria Math" w:hAnsi="Cambria Math" w:cs="宋体"/>
                      <w:color w:val="auto"/>
                      <w:kern w:val="0"/>
                      <w:sz w:val="24"/>
                      <w:szCs w:val="24"/>
                    </w:rPr>
                  </m:ctrlPr>
                </m:sub>
                <m:sup>
                  <m:r>
                    <m:rPr/>
                    <w:rPr>
                      <w:rFonts w:ascii="Cambria Math" w:hAnsi="Cambria Math" w:cs="宋体"/>
                      <w:color w:val="auto"/>
                      <w:kern w:val="0"/>
                      <w:sz w:val="24"/>
                      <w:szCs w:val="24"/>
                    </w:rPr>
                    <m:t>1</m:t>
                  </m:r>
                  <m:ctrlPr>
                    <w:rPr>
                      <w:rFonts w:ascii="Cambria Math" w:hAnsi="Cambria Math" w:cs="宋体"/>
                      <w:color w:val="auto"/>
                      <w:kern w:val="0"/>
                      <w:sz w:val="24"/>
                      <w:szCs w:val="24"/>
                    </w:rPr>
                  </m:ctrlPr>
                </m:sup>
                <m:e>
                  <m:r>
                    <m:rPr/>
                    <w:rPr>
                      <w:rFonts w:ascii="Cambria Math" w:hAnsi="Cambria Math" w:cs="宋体"/>
                      <w:color w:val="auto"/>
                      <w:kern w:val="0"/>
                      <w:sz w:val="24"/>
                      <w:szCs w:val="24"/>
                    </w:rPr>
                    <m:t>(</m:t>
                  </m:r>
                  <m:ctrlPr>
                    <w:rPr>
                      <w:rFonts w:ascii="Cambria Math" w:hAnsi="Cambria Math" w:cs="宋体"/>
                      <w:color w:val="auto"/>
                      <w:kern w:val="0"/>
                      <w:sz w:val="24"/>
                      <w:szCs w:val="24"/>
                    </w:rPr>
                  </m:ctrlPr>
                </m:e>
              </m:nary>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u</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sub>
              </m:sSub>
              <m:r>
                <m:rPr/>
                <w:rPr>
                  <w:rFonts w:ascii="Cambria Math" w:hAnsi="Cambria Math" w:cs="宋体"/>
                  <w:color w:val="auto"/>
                  <w:kern w:val="0"/>
                  <w:sz w:val="24"/>
                  <w:szCs w:val="24"/>
                </w:rPr>
                <m:t>(p)−</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sSup>
                <m:sSupPr>
                  <m:ctrlPr>
                    <w:rPr>
                      <w:rFonts w:ascii="Cambria Math" w:hAnsi="Cambria Math" w:cs="宋体"/>
                      <w:color w:val="auto"/>
                      <w:kern w:val="0"/>
                      <w:sz w:val="24"/>
                      <w:szCs w:val="24"/>
                    </w:rPr>
                  </m:ctrlPr>
                </m:sSupPr>
                <m:e>
                  <m:r>
                    <m:rPr/>
                    <w:rPr>
                      <w:rFonts w:ascii="Cambria Math" w:hAnsi="Cambria Math" w:cs="宋体"/>
                      <w:color w:val="auto"/>
                      <w:kern w:val="0"/>
                      <w:sz w:val="24"/>
                      <w:szCs w:val="24"/>
                    </w:rPr>
                    <m:t>)</m:t>
                  </m:r>
                  <m:ctrlPr>
                    <w:rPr>
                      <w:rFonts w:ascii="Cambria Math" w:hAnsi="Cambria Math" w:cs="宋体"/>
                      <w:color w:val="auto"/>
                      <w:kern w:val="0"/>
                      <w:sz w:val="24"/>
                      <w:szCs w:val="24"/>
                    </w:rPr>
                  </m:ctrlPr>
                </m:e>
                <m:sup>
                  <m:r>
                    <m:rPr/>
                    <w:rPr>
                      <w:rFonts w:ascii="Cambria Math" w:hAnsi="Cambria Math" w:cs="宋体"/>
                      <w:color w:val="auto"/>
                      <w:kern w:val="0"/>
                      <w:sz w:val="24"/>
                      <w:szCs w:val="24"/>
                    </w:rPr>
                    <m:t>3</m:t>
                  </m:r>
                  <m:ctrlPr>
                    <w:rPr>
                      <w:rFonts w:ascii="Cambria Math" w:hAnsi="Cambria Math" w:cs="宋体"/>
                      <w:color w:val="auto"/>
                      <w:kern w:val="0"/>
                      <w:sz w:val="24"/>
                      <w:szCs w:val="24"/>
                    </w:rPr>
                  </m:ctrlPr>
                </m:sup>
              </m:sSup>
              <m:r>
                <m:rPr/>
                <w:rPr>
                  <w:rFonts w:ascii="Cambria Math" w:hAnsi="Cambria Math" w:cs="宋体"/>
                  <w:color w:val="auto"/>
                  <w:kern w:val="0"/>
                  <w:sz w:val="24"/>
                  <w:szCs w:val="24"/>
                </w:rPr>
                <m:t>dp</m:t>
              </m:r>
              <m:ctrlPr>
                <w:rPr>
                  <w:rFonts w:ascii="Cambria Math" w:hAnsi="Cambria Math" w:cs="宋体"/>
                  <w:color w:val="auto"/>
                  <w:kern w:val="0"/>
                  <w:sz w:val="24"/>
                  <w:szCs w:val="24"/>
                </w:rPr>
              </m:ctrlPr>
            </m:num>
            <m:den>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3</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den>
          </m:f>
        </m:oMath>
      </m:oMathPara>
    </w:p>
    <w:p w14:paraId="1DF91447">
      <w:pPr>
        <w:ind w:firstLine="562" w:firstLineChars="200"/>
      </w:pPr>
      <w:r>
        <w:rPr>
          <w:b/>
          <w:bCs/>
        </w:rPr>
        <w:t>峰度</w:t>
      </w:r>
      <w:r>
        <w:rPr>
          <w:rFonts w:hint="eastAsia"/>
        </w:rPr>
        <w:t>（</w:t>
      </w:r>
      <w:r>
        <w:t>画市场尖峰厚尾特征，反映极端风险聚集程度</w:t>
      </w:r>
      <w:r>
        <w:rPr>
          <w:rFonts w:hint="eastAsia"/>
        </w:rPr>
        <w:t>）</w:t>
      </w:r>
    </w:p>
    <w:p w14:paraId="28ED8C07">
      <w:pPr>
        <w:widowControl/>
        <w:spacing w:line="240" w:lineRule="auto"/>
        <w:jc w:val="center"/>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m:nor/>
                  <m:sty m:val="p"/>
                </m:rPr>
                <w:rPr>
                  <w:rFonts w:ascii="宋体" w:hAnsi="宋体" w:cs="宋体"/>
                  <w:color w:val="auto"/>
                  <w:kern w:val="0"/>
                  <w:sz w:val="24"/>
                  <w:szCs w:val="24"/>
                </w:rPr>
                <m:t>Kurt</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nary>
                <m:naryPr>
                  <m:grow m:val="1"/>
                  <m:limLoc m:val="subSup"/>
                  <m:ctrlPr>
                    <w:rPr>
                      <w:rFonts w:ascii="Cambria Math" w:hAnsi="Cambria Math" w:cs="宋体"/>
                      <w:color w:val="auto"/>
                      <w:kern w:val="0"/>
                      <w:sz w:val="24"/>
                      <w:szCs w:val="24"/>
                    </w:rPr>
                  </m:ctrlPr>
                </m:naryPr>
                <m:sub>
                  <m:r>
                    <m:rPr/>
                    <w:rPr>
                      <w:rFonts w:ascii="Cambria Math" w:hAnsi="Cambria Math" w:cs="宋体"/>
                      <w:color w:val="auto"/>
                      <w:kern w:val="0"/>
                      <w:sz w:val="24"/>
                      <w:szCs w:val="24"/>
                    </w:rPr>
                    <m:t>0</m:t>
                  </m:r>
                  <m:ctrlPr>
                    <w:rPr>
                      <w:rFonts w:ascii="Cambria Math" w:hAnsi="Cambria Math" w:cs="宋体"/>
                      <w:color w:val="auto"/>
                      <w:kern w:val="0"/>
                      <w:sz w:val="24"/>
                      <w:szCs w:val="24"/>
                    </w:rPr>
                  </m:ctrlPr>
                </m:sub>
                <m:sup>
                  <m:r>
                    <m:rPr/>
                    <w:rPr>
                      <w:rFonts w:ascii="Cambria Math" w:hAnsi="Cambria Math" w:cs="宋体"/>
                      <w:color w:val="auto"/>
                      <w:kern w:val="0"/>
                      <w:sz w:val="24"/>
                      <w:szCs w:val="24"/>
                    </w:rPr>
                    <m:t>1</m:t>
                  </m:r>
                  <m:ctrlPr>
                    <w:rPr>
                      <w:rFonts w:ascii="Cambria Math" w:hAnsi="Cambria Math" w:cs="宋体"/>
                      <w:color w:val="auto"/>
                      <w:kern w:val="0"/>
                      <w:sz w:val="24"/>
                      <w:szCs w:val="24"/>
                    </w:rPr>
                  </m:ctrlPr>
                </m:sup>
                <m:e>
                  <m:r>
                    <m:rPr/>
                    <w:rPr>
                      <w:rFonts w:ascii="Cambria Math" w:hAnsi="Cambria Math" w:cs="宋体"/>
                      <w:color w:val="auto"/>
                      <w:kern w:val="0"/>
                      <w:sz w:val="24"/>
                      <w:szCs w:val="24"/>
                    </w:rPr>
                    <m:t>(</m:t>
                  </m:r>
                  <m:ctrlPr>
                    <w:rPr>
                      <w:rFonts w:ascii="Cambria Math" w:hAnsi="Cambria Math" w:cs="宋体"/>
                      <w:color w:val="auto"/>
                      <w:kern w:val="0"/>
                      <w:sz w:val="24"/>
                      <w:szCs w:val="24"/>
                    </w:rPr>
                  </m:ctrlPr>
                </m:e>
              </m:nary>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u</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sub>
              </m:sSub>
              <m:r>
                <m:rPr/>
                <w:rPr>
                  <w:rFonts w:ascii="Cambria Math" w:hAnsi="Cambria Math" w:cs="宋体"/>
                  <w:color w:val="auto"/>
                  <w:kern w:val="0"/>
                  <w:sz w:val="24"/>
                  <w:szCs w:val="24"/>
                </w:rPr>
                <m:t>(p)−</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sSup>
                <m:sSupPr>
                  <m:ctrlPr>
                    <w:rPr>
                      <w:rFonts w:ascii="Cambria Math" w:hAnsi="Cambria Math" w:cs="宋体"/>
                      <w:color w:val="auto"/>
                      <w:kern w:val="0"/>
                      <w:sz w:val="24"/>
                      <w:szCs w:val="24"/>
                    </w:rPr>
                  </m:ctrlPr>
                </m:sSupPr>
                <m:e>
                  <m:r>
                    <m:rPr/>
                    <w:rPr>
                      <w:rFonts w:ascii="Cambria Math" w:hAnsi="Cambria Math" w:cs="宋体"/>
                      <w:color w:val="auto"/>
                      <w:kern w:val="0"/>
                      <w:sz w:val="24"/>
                      <w:szCs w:val="24"/>
                    </w:rPr>
                    <m:t>)</m:t>
                  </m:r>
                  <m:ctrlPr>
                    <w:rPr>
                      <w:rFonts w:ascii="Cambria Math" w:hAnsi="Cambria Math" w:cs="宋体"/>
                      <w:color w:val="auto"/>
                      <w:kern w:val="0"/>
                      <w:sz w:val="24"/>
                      <w:szCs w:val="24"/>
                    </w:rPr>
                  </m:ctrlPr>
                </m:e>
                <m:sup>
                  <m:r>
                    <m:rPr/>
                    <w:rPr>
                      <w:rFonts w:ascii="Cambria Math" w:hAnsi="Cambria Math" w:cs="宋体"/>
                      <w:color w:val="auto"/>
                      <w:kern w:val="0"/>
                      <w:sz w:val="24"/>
                      <w:szCs w:val="24"/>
                    </w:rPr>
                    <m:t>4</m:t>
                  </m:r>
                  <m:ctrlPr>
                    <w:rPr>
                      <w:rFonts w:ascii="Cambria Math" w:hAnsi="Cambria Math" w:cs="宋体"/>
                      <w:color w:val="auto"/>
                      <w:kern w:val="0"/>
                      <w:sz w:val="24"/>
                      <w:szCs w:val="24"/>
                    </w:rPr>
                  </m:ctrlPr>
                </m:sup>
              </m:sSup>
              <m:r>
                <m:rPr/>
                <w:rPr>
                  <w:rFonts w:ascii="Cambria Math" w:hAnsi="Cambria Math" w:cs="宋体"/>
                  <w:color w:val="auto"/>
                  <w:kern w:val="0"/>
                  <w:sz w:val="24"/>
                  <w:szCs w:val="24"/>
                </w:rPr>
                <m:t>dp</m:t>
              </m:r>
              <m:ctrlPr>
                <w:rPr>
                  <w:rFonts w:ascii="Cambria Math" w:hAnsi="Cambria Math" w:cs="宋体"/>
                  <w:color w:val="auto"/>
                  <w:kern w:val="0"/>
                  <w:sz w:val="24"/>
                  <w:szCs w:val="24"/>
                </w:rPr>
              </m:ctrlPr>
            </m:num>
            <m:den>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4</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den>
          </m:f>
          <m:r>
            <m:rPr/>
            <w:rPr>
              <w:rFonts w:ascii="Cambria Math" w:hAnsi="Cambria Math" w:cs="宋体"/>
              <w:color w:val="auto"/>
              <w:kern w:val="0"/>
              <w:sz w:val="24"/>
              <w:szCs w:val="24"/>
            </w:rPr>
            <m:t>−3</m:t>
          </m:r>
        </m:oMath>
      </m:oMathPara>
    </w:p>
    <w:p w14:paraId="120C9111">
      <w:pPr>
        <w:ind w:firstLine="560" w:firstLineChars="200"/>
      </w:pPr>
      <w:r>
        <w:rPr>
          <w:rFonts w:hint="eastAsia"/>
        </w:rPr>
        <w:t>上述特征完整保留了综合分布的形态信息，实现了从分布曲线到量化指标的转化，为后续风险预测、风险阶段划分提供核心特征变量。</w:t>
      </w:r>
    </w:p>
    <w:p w14:paraId="5488B184">
      <w:pPr>
        <w:pStyle w:val="4"/>
      </w:pPr>
      <w:r>
        <w:rPr>
          <w:rFonts w:hint="eastAsia"/>
        </w:rPr>
        <w:t>5.2</w:t>
      </w:r>
      <w:r>
        <w:t>问题一的模型求解及结果分析</w:t>
      </w:r>
    </w:p>
    <w:p w14:paraId="16442636">
      <w:pPr>
        <w:pStyle w:val="5"/>
      </w:pPr>
      <w:r>
        <w:rPr>
          <w:rFonts w:hint="eastAsia"/>
        </w:rPr>
        <w:t>5.2.1</w:t>
      </w:r>
      <w:r>
        <w:t>各市场局部收益分布对比</w:t>
      </w:r>
    </w:p>
    <w:p w14:paraId="46763532">
      <w:r>
        <w:t>选取正常市（2019-06-03）、疫情冲击（2020-03-16）、负油价期（2020-04-27）、政策暴涨（2024-09-30）四个典型时点，以各时点前60个交易日的收益率为样本，通过Gaussian KDE估计各市场的局部概率密度函数，绘制于同一坐标系中进行对比</w:t>
      </w:r>
      <w:r>
        <w:rPr>
          <w:rFonts w:hint="eastAsia"/>
        </w:rPr>
        <w:t>,如</w:t>
      </w:r>
      <w:r>
        <w:fldChar w:fldCharType="begin"/>
      </w:r>
      <w:r>
        <w:instrText xml:space="preserve"> </w:instrText>
      </w:r>
      <w:r>
        <w:rPr>
          <w:rFonts w:hint="eastAsia"/>
        </w:rPr>
        <w:instrText xml:space="preserve">REF _Ref230352445 \h</w:instrText>
      </w:r>
      <w:r>
        <w:instrText xml:space="preserve"> </w:instrText>
      </w:r>
      <w:r>
        <w:fldChar w:fldCharType="separate"/>
      </w:r>
      <w:r>
        <w:rPr>
          <w:rFonts w:hint="eastAsia"/>
        </w:rPr>
        <w:t>图 1</w:t>
      </w:r>
      <w:r>
        <w:fldChar w:fldCharType="end"/>
      </w:r>
      <w:r>
        <w:rPr>
          <w:rFonts w:hint="eastAsia"/>
        </w:rPr>
        <w:t>：</w:t>
      </w:r>
      <w:r>
        <w:drawing>
          <wp:inline distT="0" distB="0" distL="0" distR="0">
            <wp:extent cx="5274310" cy="3716020"/>
            <wp:effectExtent l="0" t="0" r="2540" b="0"/>
            <wp:docPr id="361944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44120" name="图片 1"/>
                    <pic:cNvPicPr>
                      <a:picLocks noChangeAspect="1" noChangeArrowheads="1"/>
                    </pic:cNvPicPr>
                  </pic:nvPicPr>
                  <pic:blipFill>
                    <a:blip r:embed="rId106" cstate="print">
                      <a:extLst>
                        <a:ext uri="{28A0092B-C50C-407E-A947-70E740481C1C}">
                          <a14:useLocalDpi xmlns:a14="http://schemas.microsoft.com/office/drawing/2010/main" val="0"/>
                        </a:ext>
                      </a:extLst>
                    </a:blip>
                    <a:srcRect t="3594"/>
                    <a:stretch>
                      <a:fillRect/>
                    </a:stretch>
                  </pic:blipFill>
                  <pic:spPr>
                    <a:xfrm>
                      <a:off x="0" y="0"/>
                      <a:ext cx="5274310" cy="3716020"/>
                    </a:xfrm>
                    <a:prstGeom prst="rect">
                      <a:avLst/>
                    </a:prstGeom>
                    <a:noFill/>
                    <a:ln>
                      <a:noFill/>
                    </a:ln>
                  </pic:spPr>
                </pic:pic>
              </a:graphicData>
            </a:graphic>
          </wp:inline>
        </w:drawing>
      </w:r>
    </w:p>
    <w:p w14:paraId="219496D8">
      <w:pPr>
        <w:pStyle w:val="11"/>
        <w:jc w:val="center"/>
        <w:rPr>
          <w:rFonts w:hint="eastAsia"/>
        </w:rPr>
      </w:pPr>
      <w:bookmarkStart w:id="8" w:name="_Ref230352445"/>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bookmarkEnd w:id="8"/>
      <w:r>
        <w:t>各市场局部收益分布对比</w:t>
      </w:r>
    </w:p>
    <w:p w14:paraId="5A832FBA">
      <w:pPr>
        <w:ind w:firstLine="560" w:firstLineChars="200"/>
      </w:pPr>
      <w:r>
        <w:t>正常市时期，三个市场的收益分布均以零为中心近似对称，原油分布的宽度最大（反映其固有高波动性），黄金分布最窄（反映其避险属性下的低波动特征）。疫情冲击时期，沪深300分布出现明显左偏，原油分布的宽度显著增大，表明系统性风险爆发时权益与商品市场同步承压。负油价期尤为特殊，原油分布产生极端左尾，体现了WTI期货负结算价这一历史罕见事件对分布形态的剧烈扭曲。政策暴涨时期，沪深300分布转为右偏，而黄金与原油变化较小，验证了政策刺激对权益市场的定向作用。</w:t>
      </w:r>
    </w:p>
    <w:p w14:paraId="0725EB15">
      <w:pPr>
        <w:pStyle w:val="5"/>
      </w:pPr>
      <w:r>
        <w:rPr>
          <w:rFonts w:hint="eastAsia"/>
        </w:rPr>
        <w:t>5.2.2</w:t>
      </w:r>
      <w:r>
        <w:t>窗口长度选取分析</w:t>
      </w:r>
    </w:p>
    <w:p w14:paraId="33CB95E4">
      <w:pPr>
        <w:ind w:firstLine="560" w:firstLineChars="200"/>
      </w:pPr>
      <w:r>
        <w:t>对比了 w=20（交易月）和 w=60（交易季度）</w:t>
      </w:r>
      <w:r>
        <w:rPr>
          <w:rFonts w:hint="eastAsia"/>
        </w:rPr>
        <w:t>：</w:t>
      </w:r>
    </w:p>
    <w:tbl>
      <w:tblPr>
        <w:tblStyle w:val="18"/>
        <w:tblW w:w="850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0"/>
        <w:gridCol w:w="1445"/>
        <w:gridCol w:w="1692"/>
        <w:gridCol w:w="1510"/>
        <w:gridCol w:w="1680"/>
        <w:gridCol w:w="1408"/>
      </w:tblGrid>
      <w:tr w14:paraId="62E3AE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5C5869F9">
            <w:pPr>
              <w:pStyle w:val="43"/>
              <w:jc w:val="center"/>
            </w:pPr>
            <w:r>
              <w:t>特征</w:t>
            </w:r>
          </w:p>
        </w:tc>
        <w:tc>
          <w:tcPr>
            <w:tcW w:w="1445" w:type="dxa"/>
            <w:tcBorders>
              <w:bottom w:val="single" w:color="auto" w:sz="6" w:space="0"/>
            </w:tcBorders>
            <w:vAlign w:val="center"/>
          </w:tcPr>
          <w:p w14:paraId="46E64C00">
            <w:pPr>
              <w:pStyle w:val="43"/>
              <w:jc w:val="center"/>
            </w:pPr>
            <w:r>
              <w:t>w=20 均值</w:t>
            </w:r>
          </w:p>
        </w:tc>
        <w:tc>
          <w:tcPr>
            <w:tcW w:w="1692" w:type="dxa"/>
            <w:tcBorders>
              <w:bottom w:val="single" w:color="auto" w:sz="6" w:space="0"/>
            </w:tcBorders>
            <w:vAlign w:val="center"/>
          </w:tcPr>
          <w:p w14:paraId="0BFE6DFA">
            <w:pPr>
              <w:pStyle w:val="43"/>
              <w:jc w:val="center"/>
            </w:pPr>
            <w:r>
              <w:t>w=20 标准差</w:t>
            </w:r>
          </w:p>
        </w:tc>
        <w:tc>
          <w:tcPr>
            <w:tcW w:w="1510" w:type="dxa"/>
            <w:tcBorders>
              <w:bottom w:val="single" w:color="auto" w:sz="6" w:space="0"/>
            </w:tcBorders>
            <w:vAlign w:val="center"/>
          </w:tcPr>
          <w:p w14:paraId="3ACDB85B">
            <w:pPr>
              <w:pStyle w:val="43"/>
              <w:jc w:val="center"/>
            </w:pPr>
            <w:r>
              <w:t>w=60 均值</w:t>
            </w:r>
          </w:p>
        </w:tc>
        <w:tc>
          <w:tcPr>
            <w:tcW w:w="0" w:type="auto"/>
            <w:tcBorders>
              <w:bottom w:val="single" w:color="auto" w:sz="6" w:space="0"/>
            </w:tcBorders>
            <w:vAlign w:val="center"/>
          </w:tcPr>
          <w:p w14:paraId="01265F2B">
            <w:pPr>
              <w:pStyle w:val="43"/>
              <w:jc w:val="center"/>
            </w:pPr>
            <w:r>
              <w:t>w=60 标准差</w:t>
            </w:r>
          </w:p>
        </w:tc>
        <w:tc>
          <w:tcPr>
            <w:tcW w:w="1408" w:type="dxa"/>
            <w:tcBorders>
              <w:bottom w:val="single" w:color="auto" w:sz="6" w:space="0"/>
            </w:tcBorders>
            <w:vAlign w:val="center"/>
          </w:tcPr>
          <w:p w14:paraId="381D9B82">
            <w:pPr>
              <w:pStyle w:val="43"/>
              <w:jc w:val="center"/>
            </w:pPr>
            <w:r>
              <w:t>相关系数</w:t>
            </w:r>
          </w:p>
        </w:tc>
      </w:tr>
      <w:tr w14:paraId="48A79D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53A98B56">
            <w:pPr>
              <w:pStyle w:val="43"/>
              <w:jc w:val="center"/>
            </w:pPr>
            <w:r>
              <w:t>mean</w:t>
            </w:r>
          </w:p>
        </w:tc>
        <w:tc>
          <w:tcPr>
            <w:tcW w:w="1445" w:type="dxa"/>
            <w:tcBorders>
              <w:top w:val="single" w:color="auto" w:sz="6" w:space="0"/>
            </w:tcBorders>
            <w:vAlign w:val="center"/>
          </w:tcPr>
          <w:p w14:paraId="2A53363D">
            <w:pPr>
              <w:pStyle w:val="43"/>
              <w:jc w:val="center"/>
            </w:pPr>
            <w:r>
              <w:t>+0.000148</w:t>
            </w:r>
          </w:p>
        </w:tc>
        <w:tc>
          <w:tcPr>
            <w:tcW w:w="1692" w:type="dxa"/>
            <w:tcBorders>
              <w:top w:val="single" w:color="auto" w:sz="6" w:space="0"/>
            </w:tcBorders>
            <w:vAlign w:val="center"/>
          </w:tcPr>
          <w:p w14:paraId="55548D63">
            <w:pPr>
              <w:pStyle w:val="43"/>
              <w:jc w:val="center"/>
            </w:pPr>
            <w:r>
              <w:t>0.002455</w:t>
            </w:r>
          </w:p>
        </w:tc>
        <w:tc>
          <w:tcPr>
            <w:tcW w:w="1510" w:type="dxa"/>
            <w:tcBorders>
              <w:top w:val="single" w:color="auto" w:sz="6" w:space="0"/>
            </w:tcBorders>
            <w:vAlign w:val="center"/>
          </w:tcPr>
          <w:p w14:paraId="27C0F6E4">
            <w:pPr>
              <w:pStyle w:val="43"/>
              <w:jc w:val="center"/>
            </w:pPr>
            <w:r>
              <w:t>+0.000175</w:t>
            </w:r>
          </w:p>
        </w:tc>
        <w:tc>
          <w:tcPr>
            <w:tcW w:w="0" w:type="auto"/>
            <w:tcBorders>
              <w:top w:val="single" w:color="auto" w:sz="6" w:space="0"/>
            </w:tcBorders>
            <w:vAlign w:val="center"/>
          </w:tcPr>
          <w:p w14:paraId="30CC6032">
            <w:pPr>
              <w:pStyle w:val="43"/>
              <w:jc w:val="center"/>
            </w:pPr>
            <w:r>
              <w:t>0.001398</w:t>
            </w:r>
          </w:p>
        </w:tc>
        <w:tc>
          <w:tcPr>
            <w:tcW w:w="1408" w:type="dxa"/>
            <w:tcBorders>
              <w:top w:val="single" w:color="auto" w:sz="6" w:space="0"/>
            </w:tcBorders>
            <w:vAlign w:val="center"/>
          </w:tcPr>
          <w:p w14:paraId="2B933010">
            <w:pPr>
              <w:pStyle w:val="43"/>
              <w:jc w:val="center"/>
            </w:pPr>
            <w:r>
              <w:t>0.5243</w:t>
            </w:r>
          </w:p>
        </w:tc>
      </w:tr>
      <w:tr w14:paraId="0DC3A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15B6A3F">
            <w:pPr>
              <w:pStyle w:val="43"/>
              <w:jc w:val="center"/>
            </w:pPr>
            <w:r>
              <w:t>std</w:t>
            </w:r>
          </w:p>
        </w:tc>
        <w:tc>
          <w:tcPr>
            <w:tcW w:w="1445" w:type="dxa"/>
            <w:vAlign w:val="center"/>
          </w:tcPr>
          <w:p w14:paraId="0B07E621">
            <w:pPr>
              <w:pStyle w:val="43"/>
              <w:jc w:val="center"/>
            </w:pPr>
            <w:r>
              <w:t>+0.014925</w:t>
            </w:r>
          </w:p>
        </w:tc>
        <w:tc>
          <w:tcPr>
            <w:tcW w:w="1692" w:type="dxa"/>
            <w:vAlign w:val="center"/>
          </w:tcPr>
          <w:p w14:paraId="49144167">
            <w:pPr>
              <w:pStyle w:val="43"/>
              <w:jc w:val="center"/>
            </w:pPr>
            <w:r>
              <w:t>0.007307</w:t>
            </w:r>
          </w:p>
        </w:tc>
        <w:tc>
          <w:tcPr>
            <w:tcW w:w="1510" w:type="dxa"/>
            <w:vAlign w:val="center"/>
          </w:tcPr>
          <w:p w14:paraId="291DD5D9">
            <w:pPr>
              <w:pStyle w:val="43"/>
              <w:jc w:val="center"/>
            </w:pPr>
            <w:r>
              <w:t>+0.014958</w:t>
            </w:r>
          </w:p>
        </w:tc>
        <w:tc>
          <w:tcPr>
            <w:tcW w:w="0" w:type="auto"/>
            <w:vAlign w:val="center"/>
          </w:tcPr>
          <w:p w14:paraId="78A1BFF8">
            <w:pPr>
              <w:pStyle w:val="43"/>
              <w:jc w:val="center"/>
            </w:pPr>
            <w:r>
              <w:t>0.006409</w:t>
            </w:r>
          </w:p>
        </w:tc>
        <w:tc>
          <w:tcPr>
            <w:tcW w:w="1408" w:type="dxa"/>
            <w:vAlign w:val="center"/>
          </w:tcPr>
          <w:p w14:paraId="704E7AA3">
            <w:pPr>
              <w:pStyle w:val="43"/>
              <w:jc w:val="center"/>
            </w:pPr>
            <w:r>
              <w:t>0.7643</w:t>
            </w:r>
          </w:p>
        </w:tc>
      </w:tr>
      <w:tr w14:paraId="08EE6308">
        <w:tblPrEx>
          <w:tblCellMar>
            <w:top w:w="0" w:type="dxa"/>
            <w:left w:w="108" w:type="dxa"/>
            <w:bottom w:w="0" w:type="dxa"/>
            <w:right w:w="108" w:type="dxa"/>
          </w:tblCellMar>
        </w:tblPrEx>
        <w:tc>
          <w:tcPr>
            <w:tcW w:w="0" w:type="auto"/>
            <w:vAlign w:val="center"/>
          </w:tcPr>
          <w:p w14:paraId="270F5A97">
            <w:pPr>
              <w:pStyle w:val="43"/>
              <w:jc w:val="center"/>
            </w:pPr>
            <w:r>
              <w:t>skew</w:t>
            </w:r>
          </w:p>
        </w:tc>
        <w:tc>
          <w:tcPr>
            <w:tcW w:w="1445" w:type="dxa"/>
            <w:vAlign w:val="center"/>
          </w:tcPr>
          <w:p w14:paraId="13130F40">
            <w:pPr>
              <w:pStyle w:val="43"/>
              <w:jc w:val="center"/>
            </w:pPr>
            <w:r>
              <w:t>-0.125179</w:t>
            </w:r>
          </w:p>
        </w:tc>
        <w:tc>
          <w:tcPr>
            <w:tcW w:w="1692" w:type="dxa"/>
            <w:vAlign w:val="center"/>
          </w:tcPr>
          <w:p w14:paraId="5D3CCD29">
            <w:pPr>
              <w:pStyle w:val="43"/>
              <w:jc w:val="center"/>
            </w:pPr>
            <w:r>
              <w:t>0.363251</w:t>
            </w:r>
          </w:p>
        </w:tc>
        <w:tc>
          <w:tcPr>
            <w:tcW w:w="1510" w:type="dxa"/>
            <w:vAlign w:val="center"/>
          </w:tcPr>
          <w:p w14:paraId="00977F9B">
            <w:pPr>
              <w:pStyle w:val="43"/>
              <w:jc w:val="center"/>
            </w:pPr>
            <w:r>
              <w:t>-0.199117</w:t>
            </w:r>
          </w:p>
        </w:tc>
        <w:tc>
          <w:tcPr>
            <w:tcW w:w="0" w:type="auto"/>
            <w:vAlign w:val="center"/>
          </w:tcPr>
          <w:p w14:paraId="4F070B64">
            <w:pPr>
              <w:pStyle w:val="43"/>
              <w:jc w:val="center"/>
            </w:pPr>
            <w:r>
              <w:t>0.381862</w:t>
            </w:r>
          </w:p>
        </w:tc>
        <w:tc>
          <w:tcPr>
            <w:tcW w:w="1408" w:type="dxa"/>
            <w:vAlign w:val="center"/>
          </w:tcPr>
          <w:p w14:paraId="5C4CCA01">
            <w:pPr>
              <w:pStyle w:val="43"/>
              <w:jc w:val="center"/>
            </w:pPr>
            <w:r>
              <w:t>0.5620</w:t>
            </w:r>
          </w:p>
        </w:tc>
      </w:tr>
      <w:tr w14:paraId="4D78B5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C59D524">
            <w:pPr>
              <w:pStyle w:val="43"/>
              <w:jc w:val="center"/>
            </w:pPr>
            <w:r>
              <w:t>kurt</w:t>
            </w:r>
          </w:p>
        </w:tc>
        <w:tc>
          <w:tcPr>
            <w:tcW w:w="1445" w:type="dxa"/>
            <w:vAlign w:val="center"/>
          </w:tcPr>
          <w:p w14:paraId="5D52987F">
            <w:pPr>
              <w:pStyle w:val="43"/>
              <w:jc w:val="center"/>
            </w:pPr>
            <w:r>
              <w:t>+0.040808</w:t>
            </w:r>
          </w:p>
        </w:tc>
        <w:tc>
          <w:tcPr>
            <w:tcW w:w="1692" w:type="dxa"/>
            <w:vAlign w:val="center"/>
          </w:tcPr>
          <w:p w14:paraId="44B138D9">
            <w:pPr>
              <w:pStyle w:val="43"/>
              <w:jc w:val="center"/>
            </w:pPr>
            <w:r>
              <w:t>0.716655</w:t>
            </w:r>
          </w:p>
        </w:tc>
        <w:tc>
          <w:tcPr>
            <w:tcW w:w="1510" w:type="dxa"/>
            <w:vAlign w:val="center"/>
          </w:tcPr>
          <w:p w14:paraId="5DDEA835">
            <w:pPr>
              <w:pStyle w:val="43"/>
              <w:jc w:val="center"/>
            </w:pPr>
            <w:r>
              <w:t>+0.734087</w:t>
            </w:r>
          </w:p>
        </w:tc>
        <w:tc>
          <w:tcPr>
            <w:tcW w:w="0" w:type="auto"/>
            <w:vAlign w:val="center"/>
          </w:tcPr>
          <w:p w14:paraId="41E7EF1E">
            <w:pPr>
              <w:pStyle w:val="43"/>
              <w:jc w:val="center"/>
            </w:pPr>
            <w:r>
              <w:t>1.430371</w:t>
            </w:r>
          </w:p>
        </w:tc>
        <w:tc>
          <w:tcPr>
            <w:tcW w:w="1408" w:type="dxa"/>
            <w:vAlign w:val="center"/>
          </w:tcPr>
          <w:p w14:paraId="79CD2105">
            <w:pPr>
              <w:pStyle w:val="43"/>
              <w:jc w:val="center"/>
            </w:pPr>
            <w:r>
              <w:t>0.6029</w:t>
            </w:r>
          </w:p>
        </w:tc>
      </w:tr>
    </w:tbl>
    <w:p w14:paraId="316DA2A3">
      <w:r>
        <w:rPr>
          <w:rFonts w:hint="eastAsia"/>
        </w:rPr>
        <w:t>由图中表格信息我们分析得到，选取 w=60 作为主要窗口。</w:t>
      </w:r>
    </w:p>
    <w:p w14:paraId="63072FD8">
      <w:r>
        <w:rPr>
          <w:rFonts w:hint="eastAsia"/>
        </w:rPr>
        <w:t>理由如下：</w:t>
      </w:r>
    </w:p>
    <w:p w14:paraId="25C369A8">
      <w:pPr>
        <w:pStyle w:val="34"/>
        <w:numPr>
          <w:ilvl w:val="0"/>
          <w:numId w:val="8"/>
        </w:numPr>
      </w:pPr>
      <w:r>
        <w:rPr>
          <w:rFonts w:hint="eastAsia"/>
        </w:rPr>
        <w:t>std 特征在两个窗口间高度相关（ρ=0.76），说明波动率结构稳健</w:t>
      </w:r>
    </w:p>
    <w:p w14:paraId="54B929FF">
      <w:pPr>
        <w:pStyle w:val="34"/>
        <w:numPr>
          <w:ilvl w:val="0"/>
          <w:numId w:val="8"/>
        </w:numPr>
      </w:pPr>
      <w:r>
        <w:rPr>
          <w:rFonts w:hint="eastAsia"/>
        </w:rPr>
        <w:t>更长的窗口提供更稳定的分位函数估计，减少噪声</w:t>
      </w:r>
    </w:p>
    <w:p w14:paraId="7F9E8E4C">
      <w:pPr>
        <w:pStyle w:val="34"/>
        <w:numPr>
          <w:ilvl w:val="0"/>
          <w:numId w:val="8"/>
        </w:numPr>
      </w:pPr>
      <w:r>
        <w:rPr>
          <w:rFonts w:hint="eastAsia"/>
        </w:rPr>
        <w:t>季度的经济含义清晰（一个完整的财报季）</w:t>
      </w:r>
    </w:p>
    <w:p w14:paraId="2E21BBC4">
      <w:pPr>
        <w:ind w:firstLine="560" w:firstLineChars="200"/>
      </w:pPr>
      <w:r>
        <w:rPr>
          <w:rFonts w:hint="eastAsia"/>
        </w:rPr>
        <w:t>此外，</w:t>
      </w:r>
      <w:r>
        <w:t>以w=20为横坐标、w=60为纵坐标，对四个特征绘制散点图，每条点对应同一时点的两个窗口估计值，添加对角线（y=x）作为完全一致参考线，并标注Pearson相关系数ρ</w:t>
      </w:r>
      <w:r>
        <w:rPr>
          <w:rFonts w:hint="eastAsia"/>
        </w:rPr>
        <w:t>，我们得到如</w:t>
      </w:r>
      <w:r>
        <w:fldChar w:fldCharType="begin"/>
      </w:r>
      <w:r>
        <w:instrText xml:space="preserve"> </w:instrText>
      </w:r>
      <w:r>
        <w:rPr>
          <w:rFonts w:hint="eastAsia"/>
        </w:rPr>
        <w:instrText xml:space="preserve">REF _Ref230352812 \h</w:instrText>
      </w:r>
      <w:r>
        <w:instrText xml:space="preserve"> </w:instrText>
      </w:r>
      <w:r>
        <w:fldChar w:fldCharType="separate"/>
      </w:r>
      <w:r>
        <w:rPr>
          <w:rFonts w:hint="eastAsia"/>
        </w:rPr>
        <w:t>图 2</w:t>
      </w:r>
      <w:r>
        <w:fldChar w:fldCharType="end"/>
      </w:r>
      <w:r>
        <w:rPr>
          <w:rFonts w:hint="eastAsia"/>
        </w:rPr>
        <w:t>：</w:t>
      </w:r>
      <w:r>
        <w:drawing>
          <wp:inline distT="0" distB="0" distL="0" distR="0">
            <wp:extent cx="5274310" cy="4751070"/>
            <wp:effectExtent l="0" t="0" r="2540" b="0"/>
            <wp:docPr id="3407840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84057" name="图片 3"/>
                    <pic:cNvPicPr>
                      <a:picLocks noChangeAspect="1" noChangeArrowheads="1"/>
                    </pic:cNvPicPr>
                  </pic:nvPicPr>
                  <pic:blipFill>
                    <a:blip r:embed="rId107" cstate="print">
                      <a:extLst>
                        <a:ext uri="{28A0092B-C50C-407E-A947-70E740481C1C}">
                          <a14:useLocalDpi xmlns:a14="http://schemas.microsoft.com/office/drawing/2010/main" val="0"/>
                        </a:ext>
                      </a:extLst>
                    </a:blip>
                    <a:srcRect t="3517"/>
                    <a:stretch>
                      <a:fillRect/>
                    </a:stretch>
                  </pic:blipFill>
                  <pic:spPr>
                    <a:xfrm>
                      <a:off x="0" y="0"/>
                      <a:ext cx="5274310" cy="4751070"/>
                    </a:xfrm>
                    <a:prstGeom prst="rect">
                      <a:avLst/>
                    </a:prstGeom>
                    <a:noFill/>
                    <a:ln>
                      <a:noFill/>
                    </a:ln>
                  </pic:spPr>
                </pic:pic>
              </a:graphicData>
            </a:graphic>
          </wp:inline>
        </w:drawing>
      </w:r>
    </w:p>
    <w:p w14:paraId="0E6D5B24">
      <w:pPr>
        <w:pStyle w:val="11"/>
        <w:jc w:val="center"/>
        <w:rPr>
          <w:rFonts w:hint="eastAsia"/>
        </w:rPr>
      </w:pPr>
      <w:bookmarkStart w:id="9" w:name="_Ref23035281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bookmarkEnd w:id="9"/>
      <w:r>
        <w:rPr>
          <w:rFonts w:hint="eastAsia"/>
        </w:rPr>
        <w:t>窗口长度对比散点图</w:t>
      </w:r>
    </w:p>
    <w:p w14:paraId="2C623EC7">
      <w:pPr>
        <w:ind w:firstLine="560" w:firstLineChars="200"/>
      </w:pPr>
      <w:r>
        <w:t>标准差特征的散点在对角线附近最为集中，ρ=0.7643，在所有特征中相关性最高，表明波动率的窗口敏感性最低、估计结果最为稳健。均值特征的相关性最低（ρ=0.5243），说明收益率的局部估计对窗口长度较为敏感，这符合金融时间序列</w:t>
      </w:r>
      <w:r>
        <w:rPr>
          <w:vertAlign w:val="superscript"/>
        </w:rPr>
        <w:fldChar w:fldCharType="begin"/>
      </w:r>
      <w:r>
        <w:rPr>
          <w:vertAlign w:val="superscript"/>
        </w:rPr>
        <w:instrText xml:space="preserve"> REF _Ref230505054 \r \h  \* MERGEFORMAT </w:instrText>
      </w:r>
      <w:r>
        <w:rPr>
          <w:vertAlign w:val="superscript"/>
        </w:rPr>
        <w:fldChar w:fldCharType="separate"/>
      </w:r>
      <w:r>
        <w:rPr>
          <w:vertAlign w:val="superscript"/>
        </w:rPr>
        <w:t>[3]</w:t>
      </w:r>
      <w:r>
        <w:rPr>
          <w:vertAlign w:val="superscript"/>
        </w:rPr>
        <w:fldChar w:fldCharType="end"/>
      </w:r>
      <w:r>
        <w:t>中均值估计方差较大的理论预期。偏度和峰度的相关系数介于0.55-0.60之间，表明高阶矩的估计具有一定的窗口依赖性，但定性方向不变。综合来看，w=60在保持与w=20一致性的基础上提供了更稳定的估计，因此被选为主窗口长度。</w:t>
      </w:r>
    </w:p>
    <w:p w14:paraId="1F1C117A">
      <w:pPr>
        <w:pStyle w:val="5"/>
      </w:pPr>
      <w:r>
        <w:rPr>
          <w:rFonts w:hint="eastAsia"/>
        </w:rPr>
        <w:t xml:space="preserve">5.2.3 </w:t>
      </w:r>
      <w:r>
        <w:t>分位函数数值实现</w:t>
      </w:r>
    </w:p>
    <w:p w14:paraId="2BC1DE57">
      <w:pPr>
        <w:ind w:firstLine="560" w:firstLineChars="200"/>
      </w:pPr>
      <w:r>
        <w:t>在固定窗口（w=60）的前提下，改变分位函数的网格点数N_grid取值为{20,50,100,200,500,1000}，观察四个统计特征随网格密度增加的变化轨迹，以折线图展示收敛性能</w:t>
      </w:r>
      <w:r>
        <w:rPr>
          <w:rFonts w:hint="eastAsia"/>
        </w:rPr>
        <w:t>，如</w:t>
      </w:r>
      <w:r>
        <w:fldChar w:fldCharType="begin"/>
      </w:r>
      <w:r>
        <w:instrText xml:space="preserve"> </w:instrText>
      </w:r>
      <w:r>
        <w:rPr>
          <w:rFonts w:hint="eastAsia"/>
        </w:rPr>
        <w:instrText xml:space="preserve">REF _Ref230356845 \h</w:instrText>
      </w:r>
      <w:r>
        <w:instrText xml:space="preserve"> </w:instrText>
      </w:r>
      <w:r>
        <w:fldChar w:fldCharType="separate"/>
      </w:r>
      <w:r>
        <w:rPr>
          <w:rFonts w:hint="eastAsia"/>
        </w:rPr>
        <w:t>图 3</w:t>
      </w:r>
      <w:r>
        <w:fldChar w:fldCharType="end"/>
      </w:r>
      <w:r>
        <w:rPr>
          <w:rFonts w:hint="eastAsia"/>
        </w:rPr>
        <w:t>：</w:t>
      </w:r>
      <w:r>
        <w:drawing>
          <wp:inline distT="0" distB="0" distL="0" distR="0">
            <wp:extent cx="5274310" cy="3713480"/>
            <wp:effectExtent l="0" t="0" r="2540" b="1270"/>
            <wp:docPr id="6312829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2942" name="图片 7"/>
                    <pic:cNvPicPr>
                      <a:picLocks noChangeAspect="1" noChangeArrowheads="1"/>
                    </pic:cNvPicPr>
                  </pic:nvPicPr>
                  <pic:blipFill>
                    <a:blip r:embed="rId108" cstate="print">
                      <a:extLst>
                        <a:ext uri="{28A0092B-C50C-407E-A947-70E740481C1C}">
                          <a14:useLocalDpi xmlns:a14="http://schemas.microsoft.com/office/drawing/2010/main" val="0"/>
                        </a:ext>
                      </a:extLst>
                    </a:blip>
                    <a:srcRect t="5799"/>
                    <a:stretch>
                      <a:fillRect/>
                    </a:stretch>
                  </pic:blipFill>
                  <pic:spPr>
                    <a:xfrm>
                      <a:off x="0" y="0"/>
                      <a:ext cx="5274310" cy="3713480"/>
                    </a:xfrm>
                    <a:prstGeom prst="rect">
                      <a:avLst/>
                    </a:prstGeom>
                    <a:noFill/>
                    <a:ln>
                      <a:noFill/>
                    </a:ln>
                  </pic:spPr>
                </pic:pic>
              </a:graphicData>
            </a:graphic>
          </wp:inline>
        </w:drawing>
      </w:r>
    </w:p>
    <w:p w14:paraId="4D648732">
      <w:pPr>
        <w:pStyle w:val="11"/>
        <w:jc w:val="center"/>
        <w:rPr>
          <w:rFonts w:hint="eastAsia"/>
        </w:rPr>
      </w:pPr>
      <w:bookmarkStart w:id="10" w:name="_Ref23035684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w:t>
      </w:r>
      <w:r>
        <w:fldChar w:fldCharType="end"/>
      </w:r>
      <w:bookmarkEnd w:id="10"/>
      <w:r>
        <w:rPr>
          <w:rFonts w:hint="eastAsia"/>
        </w:rPr>
        <w:t>分位函数网格点数敏感性分析</w:t>
      </w:r>
    </w:p>
    <w:p w14:paraId="68346A6A">
      <w:pPr>
        <w:ind w:firstLine="560" w:firstLineChars="200"/>
      </w:pPr>
      <w:r>
        <w:t>所有特征随N_grid增大单调收敛至稳定值，无震荡或发散现象，说明基于分位函数的数值积分方法具有良好的数值稳定性。标准差特征在N_grid≥100后变化幅度小于0.1%，收敛速度最快。均值特征收敛最慢但仍满足单调性。N_grid=200时所有特征与N_grid=1000的差异已可忽略，证明N_grid=200能够在保证精度的同时最小化计算开销，为实际应用中的合理选择。</w:t>
      </w:r>
    </w:p>
    <w:p w14:paraId="12BBAE37">
      <w:pPr>
        <w:pStyle w:val="5"/>
      </w:pPr>
      <w:r>
        <w:rPr>
          <w:rFonts w:hint="eastAsia"/>
        </w:rPr>
        <w:t>5.2.4</w:t>
      </w:r>
      <w:r>
        <w:t>权重设定原则</w:t>
      </w:r>
    </w:p>
    <w:p w14:paraId="3373E81F">
      <w:pPr>
        <w:pStyle w:val="4"/>
        <w:rPr>
          <w:rFonts w:hint="eastAsia" w:ascii="宋体" w:hAnsi="宋体" w:eastAsia="宋体" w:cs="宋体"/>
          <w:b/>
          <w:bCs/>
          <w:color w:val="auto"/>
          <w:kern w:val="0"/>
          <w:sz w:val="27"/>
          <w:szCs w:val="27"/>
        </w:rPr>
      </w:pPr>
      <w:r>
        <w:rPr>
          <w:rFonts w:hint="eastAsia"/>
        </w:rPr>
        <w:t>（1）</w:t>
      </w:r>
      <w:r>
        <w:rPr>
          <w:rFonts w:ascii="宋体" w:hAnsi="宋体" w:eastAsia="宋体" w:cs="宋体"/>
          <w:b/>
          <w:bCs/>
          <w:color w:val="auto"/>
          <w:kern w:val="0"/>
          <w:sz w:val="27"/>
          <w:szCs w:val="27"/>
        </w:rPr>
        <w:t>等权重（默认方案）</w:t>
      </w:r>
    </w:p>
    <w:p w14:paraId="009CBAD1">
      <w:pPr>
        <w:widowControl/>
        <w:spacing w:before="100" w:beforeAutospacing="1" w:after="100" w:afterAutospacing="1"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λ</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CSI300</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λ</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Gold</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λ</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CrudeOil</m:t>
              </m:r>
              <m:ctrlPr>
                <w:rPr>
                  <w:rFonts w:ascii="Cambria Math" w:hAnsi="Cambria Math" w:cs="宋体"/>
                  <w:color w:val="auto"/>
                  <w:kern w:val="0"/>
                  <w:sz w:val="24"/>
                  <w:szCs w:val="24"/>
                </w:rPr>
              </m:ctrlPr>
            </m:sub>
          </m:sSub>
          <m:r>
            <m:rPr/>
            <w:rPr>
              <w:rFonts w:ascii="Cambria Math" w:hAnsi="Cambria Math" w:cs="宋体"/>
              <w:color w:val="auto"/>
              <w:kern w:val="0"/>
              <w:sz w:val="24"/>
              <w:szCs w:val="24"/>
            </w:rPr>
            <m:t>=1</m:t>
          </m:r>
          <m:r>
            <m:rPr>
              <m:sty m:val="p"/>
            </m:rPr>
            <w:rPr>
              <w:rFonts w:ascii="Cambria Math" w:hAnsi="Cambria Math" w:cs="宋体"/>
              <w:color w:val="auto"/>
              <w:kern w:val="0"/>
              <w:sz w:val="24"/>
              <w:szCs w:val="24"/>
            </w:rPr>
            <m:t>/</m:t>
          </m:r>
          <m:r>
            <m:rPr/>
            <w:rPr>
              <w:rFonts w:ascii="Cambria Math" w:hAnsi="Cambria Math" w:cs="宋体"/>
              <w:color w:val="auto"/>
              <w:kern w:val="0"/>
              <w:sz w:val="24"/>
              <w:szCs w:val="24"/>
            </w:rPr>
            <m:t>3</m:t>
          </m:r>
        </m:oMath>
      </m:oMathPara>
    </w:p>
    <w:p w14:paraId="228A034D">
      <w:r>
        <w:t>理由：三个市场分属不同资产类别（权益、贵金属、能源），无先验信息表明某一市场应占主导。</w:t>
      </w:r>
    </w:p>
    <w:p w14:paraId="143974AC">
      <w:pPr>
        <w:ind w:firstLine="560" w:firstLineChars="200"/>
      </w:pPr>
      <w:r>
        <w:t>在首窗口（w=60）上，令沪深300权重λ_CSI300和原油权重λ_CrudeOil在[0,1]区间内以0.1为步长扫描，黄金权重为λ_Gold=1-λ_CSI300-λ_CrudeOil（受单位单纯形约束），计算每种权重组合下的Barycenter标准差与偏度，以热力图形式展示，并用</w:t>
      </w:r>
      <w:r>
        <w:rPr>
          <w:rFonts w:ascii="Segoe UI Symbol" w:hAnsi="Segoe UI Symbol" w:cs="Segoe UI Symbol"/>
        </w:rPr>
        <w:t>★</w:t>
      </w:r>
      <w:r>
        <w:t>标记等权重点（1/3,1/3,1/3）</w:t>
      </w:r>
      <w:r>
        <w:rPr>
          <w:rFonts w:hint="eastAsia"/>
        </w:rPr>
        <w:t>，如</w:t>
      </w:r>
      <w:r>
        <w:fldChar w:fldCharType="begin"/>
      </w:r>
      <w:r>
        <w:instrText xml:space="preserve"> </w:instrText>
      </w:r>
      <w:r>
        <w:rPr>
          <w:rFonts w:hint="eastAsia"/>
        </w:rPr>
        <w:instrText xml:space="preserve">REF _Ref230356833 \h</w:instrText>
      </w:r>
      <w:r>
        <w:instrText xml:space="preserve"> </w:instrText>
      </w:r>
      <w:r>
        <w:fldChar w:fldCharType="separate"/>
      </w:r>
      <w:r>
        <w:rPr>
          <w:rFonts w:hint="eastAsia"/>
        </w:rPr>
        <w:t>图 4</w:t>
      </w:r>
      <w:r>
        <w:fldChar w:fldCharType="end"/>
      </w:r>
      <w:r>
        <w:rPr>
          <w:rFonts w:hint="eastAsia"/>
        </w:rPr>
        <w:t>：</w:t>
      </w:r>
    </w:p>
    <w:p w14:paraId="06394615">
      <w:r>
        <w:drawing>
          <wp:inline distT="0" distB="0" distL="0" distR="0">
            <wp:extent cx="5274310" cy="2042795"/>
            <wp:effectExtent l="0" t="0" r="2540" b="0"/>
            <wp:docPr id="576662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203" name="图片 6"/>
                    <pic:cNvPicPr>
                      <a:picLocks noChangeAspect="1" noChangeArrowheads="1"/>
                    </pic:cNvPicPr>
                  </pic:nvPicPr>
                  <pic:blipFill>
                    <a:blip r:embed="rId109" cstate="print">
                      <a:extLst>
                        <a:ext uri="{28A0092B-C50C-407E-A947-70E740481C1C}">
                          <a14:useLocalDpi xmlns:a14="http://schemas.microsoft.com/office/drawing/2010/main" val="0"/>
                        </a:ext>
                      </a:extLst>
                    </a:blip>
                    <a:srcRect t="7814"/>
                    <a:stretch>
                      <a:fillRect/>
                    </a:stretch>
                  </pic:blipFill>
                  <pic:spPr>
                    <a:xfrm>
                      <a:off x="0" y="0"/>
                      <a:ext cx="5274310" cy="2042795"/>
                    </a:xfrm>
                    <a:prstGeom prst="rect">
                      <a:avLst/>
                    </a:prstGeom>
                    <a:noFill/>
                    <a:ln>
                      <a:noFill/>
                    </a:ln>
                  </pic:spPr>
                </pic:pic>
              </a:graphicData>
            </a:graphic>
          </wp:inline>
        </w:drawing>
      </w:r>
    </w:p>
    <w:p w14:paraId="7E5109B8">
      <w:pPr>
        <w:pStyle w:val="11"/>
        <w:jc w:val="center"/>
        <w:rPr>
          <w:rFonts w:hint="eastAsia"/>
        </w:rPr>
      </w:pPr>
      <w:bookmarkStart w:id="11" w:name="_Ref23035683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w:t>
      </w:r>
      <w:r>
        <w:fldChar w:fldCharType="end"/>
      </w:r>
      <w:bookmarkEnd w:id="11"/>
      <w:r>
        <w:rPr>
          <w:rFonts w:hint="eastAsia"/>
        </w:rPr>
        <w:t>权重敏感性分析</w:t>
      </w:r>
    </w:p>
    <w:p w14:paraId="39B13BD6">
      <w:pPr>
        <w:ind w:firstLine="560" w:firstLineChars="200"/>
      </w:pPr>
      <w:r>
        <w:t>标准差热力图中，颜色沿原油权重轴变化最为剧烈——当λ_CrudeOil从0增至1时，Barycenter标准差从约0.007单调递增至0.025，增幅超过250%；而沿沪深300权重轴的变化相对平缓。这一非对称敏感性与原油的高波动属性（全样本σ=0.025）直接对应。偏度热力图中，同等权重变化引起偏度漂移约0.5个单位，变化幅度小于标准差。等权重点（</w:t>
      </w:r>
      <w:r>
        <w:rPr>
          <w:rFonts w:ascii="Segoe UI Symbol" w:hAnsi="Segoe UI Symbol" w:cs="Segoe UI Symbol"/>
        </w:rPr>
        <w:t>★</w:t>
      </w:r>
      <w:r>
        <w:t>标记）落在热力图的中间偏左区域，既不靠近任何极端点，也不处于最敏感区域，说明等权重方案的结果具有良好的稳健性和代表性。进一步地，不同权重方案下的定性结论（如COVID时期波动骤升、峰度剧增等相对排序）均保持稳定，说明权重选择不影响核心分析结论的可靠性，为论文使用等权重方案提供了充分的实证支持。</w:t>
      </w:r>
    </w:p>
    <w:p w14:paraId="79353C38">
      <w:r>
        <w:rPr>
          <w:rFonts w:hint="eastAsia"/>
        </w:rPr>
        <w:t>（2）</w:t>
      </w:r>
      <w:r>
        <w:t>波动率倒数加权</w:t>
      </w:r>
    </w:p>
    <w:p w14:paraId="0A54195C">
      <w:pPr>
        <w:widowControl/>
        <w:spacing w:before="100" w:beforeAutospacing="1" w:after="100" w:afterAutospacing="1"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λ</m:t>
              </m:r>
              <m:ctrlPr>
                <w:rPr>
                  <w:rFonts w:ascii="Cambria Math" w:hAnsi="Cambria Math" w:cs="宋体"/>
                  <w:color w:val="auto"/>
                  <w:kern w:val="0"/>
                  <w:sz w:val="24"/>
                  <w:szCs w:val="24"/>
                </w:rPr>
              </m:ctrlPr>
            </m:e>
            <m:sub>
              <m:r>
                <m:rPr/>
                <w:rPr>
                  <w:rFonts w:ascii="Cambria Math" w:hAnsi="Cambria Math" w:cs="宋体"/>
                  <w:color w:val="auto"/>
                  <w:kern w:val="0"/>
                  <w:sz w:val="24"/>
                  <w:szCs w:val="24"/>
                </w:rPr>
                <m:t>i</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r>
                <m:rPr/>
                <w:rPr>
                  <w:rFonts w:ascii="Cambria Math" w:hAnsi="Cambria Math" w:cs="宋体"/>
                  <w:color w:val="auto"/>
                  <w:kern w:val="0"/>
                  <w:sz w:val="24"/>
                  <w:szCs w:val="24"/>
                </w:rPr>
                <m:t>1</m:t>
              </m:r>
              <m:r>
                <m:rPr>
                  <m:sty m:val="p"/>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i</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num>
            <m:den>
              <m:nary>
                <m:naryPr>
                  <m:chr m:val="∑"/>
                  <m:grow m:val="1"/>
                  <m:limLoc m:val="subSup"/>
                  <m:supHide m:val="1"/>
                  <m:ctrlPr>
                    <w:rPr>
                      <w:rFonts w:ascii="Cambria Math" w:hAnsi="Cambria Math" w:cs="宋体"/>
                      <w:color w:val="auto"/>
                      <w:kern w:val="0"/>
                      <w:sz w:val="24"/>
                      <w:szCs w:val="24"/>
                    </w:rPr>
                  </m:ctrlPr>
                </m:naryPr>
                <m:sub>
                  <m:r>
                    <m:rPr/>
                    <w:rPr>
                      <w:rFonts w:ascii="Cambria Math" w:hAnsi="Cambria Math" w:cs="宋体"/>
                      <w:color w:val="auto"/>
                      <w:kern w:val="0"/>
                      <w:sz w:val="24"/>
                      <w:szCs w:val="24"/>
                    </w:rPr>
                    <m:t>j</m:t>
                  </m:r>
                  <m:ctrlPr>
                    <w:rPr>
                      <w:rFonts w:ascii="Cambria Math" w:hAnsi="Cambria Math" w:cs="宋体"/>
                      <w:color w:val="auto"/>
                      <w:kern w:val="0"/>
                      <w:sz w:val="24"/>
                      <w:szCs w:val="24"/>
                    </w:rPr>
                  </m:ctrlPr>
                </m:sub>
                <m:sup>
                  <m:ctrlPr>
                    <w:rPr>
                      <w:rFonts w:ascii="Cambria Math" w:hAnsi="Cambria Math" w:cs="宋体"/>
                      <w:color w:val="auto"/>
                      <w:kern w:val="0"/>
                      <w:sz w:val="24"/>
                      <w:szCs w:val="24"/>
                    </w:rPr>
                  </m:ctrlPr>
                </m:sup>
                <m:e>
                  <m:r>
                    <m:rPr/>
                    <w:rPr>
                      <w:rFonts w:ascii="Cambria Math" w:hAnsi="Cambria Math" w:cs="宋体"/>
                      <w:color w:val="auto"/>
                      <w:kern w:val="0"/>
                      <w:sz w:val="24"/>
                      <w:szCs w:val="24"/>
                    </w:rPr>
                    <m:t>1</m:t>
                  </m:r>
                  <m:r>
                    <m:rPr>
                      <m:sty m:val="p"/>
                    </m:rPr>
                    <w:rPr>
                      <w:rFonts w:ascii="Cambria Math" w:hAnsi="Cambria Math" w:cs="宋体"/>
                      <w:color w:val="auto"/>
                      <w:kern w:val="0"/>
                      <w:sz w:val="24"/>
                      <w:szCs w:val="24"/>
                    </w:rPr>
                    <m:t>/</m:t>
                  </m:r>
                  <m:ctrlPr>
                    <w:rPr>
                      <w:rFonts w:ascii="Cambria Math" w:hAnsi="Cambria Math" w:cs="宋体"/>
                      <w:color w:val="auto"/>
                      <w:kern w:val="0"/>
                      <w:sz w:val="24"/>
                      <w:szCs w:val="24"/>
                    </w:rPr>
                  </m:ctrlPr>
                </m:e>
              </m:nary>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j</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den>
          </m:f>
        </m:oMath>
      </m:oMathPara>
    </w:p>
    <w:p w14:paraId="575D9498">
      <w:r>
        <w:t xml:space="preserve">其中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 xml:space="preserve">为市场 </w:t>
      </w:r>
      <m:oMath>
        <m:r>
          <m:rPr/>
          <w:rPr>
            <w:rFonts w:ascii="Cambria Math" w:hAnsi="Cambria Math"/>
          </w:rPr>
          <m:t>i</m:t>
        </m:r>
      </m:oMath>
      <w:r>
        <w:t>的全样本收益率标准差：</w:t>
      </w:r>
    </w:p>
    <w:tbl>
      <w:tblPr>
        <w:tblStyle w:val="18"/>
        <w:tblW w:w="60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3"/>
        <w:gridCol w:w="2716"/>
        <w:gridCol w:w="1316"/>
      </w:tblGrid>
      <w:tr w14:paraId="47CA3E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jc w:val="center"/>
        </w:trPr>
        <w:tc>
          <w:tcPr>
            <w:tcW w:w="2033" w:type="dxa"/>
            <w:tcBorders>
              <w:bottom w:val="single" w:color="auto" w:sz="6" w:space="0"/>
            </w:tcBorders>
            <w:vAlign w:val="center"/>
          </w:tcPr>
          <w:p w14:paraId="3C1A7192">
            <w:pPr>
              <w:pStyle w:val="43"/>
              <w:jc w:val="center"/>
            </w:pPr>
            <w:r>
              <w:t>市场</w:t>
            </w:r>
          </w:p>
        </w:tc>
        <w:tc>
          <w:tcPr>
            <w:tcW w:w="2716" w:type="dxa"/>
            <w:tcBorders>
              <w:bottom w:val="single" w:color="auto" w:sz="6" w:space="0"/>
            </w:tcBorders>
            <w:vAlign w:val="center"/>
          </w:tcPr>
          <w:p w14:paraId="5D83CC86">
            <w:pPr>
              <w:pStyle w:val="43"/>
              <w:jc w:val="center"/>
            </w:pPr>
            <w:r>
              <w:t>全样本 σ</w:t>
            </w:r>
          </w:p>
        </w:tc>
        <w:tc>
          <w:tcPr>
            <w:tcW w:w="0" w:type="auto"/>
            <w:tcBorders>
              <w:bottom w:val="single" w:color="auto" w:sz="6" w:space="0"/>
            </w:tcBorders>
            <w:vAlign w:val="center"/>
          </w:tcPr>
          <w:p w14:paraId="244A0C65">
            <w:pPr>
              <w:pStyle w:val="43"/>
              <w:jc w:val="center"/>
            </w:pPr>
            <w:r>
              <w:t>权重</w:t>
            </w:r>
          </w:p>
        </w:tc>
      </w:tr>
      <w:tr w14:paraId="5303E6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jc w:val="center"/>
        </w:trPr>
        <w:tc>
          <w:tcPr>
            <w:tcW w:w="2033" w:type="dxa"/>
            <w:tcBorders>
              <w:top w:val="single" w:color="auto" w:sz="6" w:space="0"/>
            </w:tcBorders>
            <w:vAlign w:val="center"/>
          </w:tcPr>
          <w:p w14:paraId="34D65791">
            <w:pPr>
              <w:pStyle w:val="43"/>
              <w:jc w:val="center"/>
            </w:pPr>
            <w:r>
              <w:t>CSI300</w:t>
            </w:r>
          </w:p>
        </w:tc>
        <w:tc>
          <w:tcPr>
            <w:tcW w:w="2716" w:type="dxa"/>
            <w:tcBorders>
              <w:top w:val="single" w:color="auto" w:sz="6" w:space="0"/>
            </w:tcBorders>
            <w:vAlign w:val="center"/>
          </w:tcPr>
          <w:p w14:paraId="1DEA2D45">
            <w:pPr>
              <w:pStyle w:val="43"/>
              <w:jc w:val="center"/>
            </w:pPr>
            <w:r>
              <w:t>0.011572</w:t>
            </w:r>
          </w:p>
        </w:tc>
        <w:tc>
          <w:tcPr>
            <w:tcW w:w="0" w:type="auto"/>
            <w:tcBorders>
              <w:top w:val="single" w:color="auto" w:sz="6" w:space="0"/>
            </w:tcBorders>
            <w:vAlign w:val="center"/>
          </w:tcPr>
          <w:p w14:paraId="3BD77081">
            <w:pPr>
              <w:pStyle w:val="43"/>
              <w:jc w:val="center"/>
            </w:pPr>
            <w:r>
              <w:t>0.43</w:t>
            </w:r>
          </w:p>
        </w:tc>
      </w:tr>
      <w:tr w14:paraId="517267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jc w:val="center"/>
        </w:trPr>
        <w:tc>
          <w:tcPr>
            <w:tcW w:w="2033" w:type="dxa"/>
            <w:vAlign w:val="center"/>
          </w:tcPr>
          <w:p w14:paraId="57B9E318">
            <w:pPr>
              <w:pStyle w:val="43"/>
              <w:jc w:val="center"/>
            </w:pPr>
            <w:r>
              <w:t>Gold</w:t>
            </w:r>
          </w:p>
        </w:tc>
        <w:tc>
          <w:tcPr>
            <w:tcW w:w="2716" w:type="dxa"/>
            <w:vAlign w:val="center"/>
          </w:tcPr>
          <w:p w14:paraId="1149F866">
            <w:pPr>
              <w:pStyle w:val="43"/>
              <w:jc w:val="center"/>
            </w:pPr>
            <w:r>
              <w:t>0.009698</w:t>
            </w:r>
          </w:p>
        </w:tc>
        <w:tc>
          <w:tcPr>
            <w:tcW w:w="0" w:type="auto"/>
            <w:vAlign w:val="center"/>
          </w:tcPr>
          <w:p w14:paraId="5DCB0B03">
            <w:pPr>
              <w:pStyle w:val="43"/>
              <w:jc w:val="center"/>
            </w:pPr>
            <w:r>
              <w:t>0.39</w:t>
            </w:r>
          </w:p>
        </w:tc>
      </w:tr>
      <w:tr w14:paraId="6726A5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jc w:val="center"/>
        </w:trPr>
        <w:tc>
          <w:tcPr>
            <w:tcW w:w="2033" w:type="dxa"/>
            <w:vAlign w:val="center"/>
          </w:tcPr>
          <w:p w14:paraId="2CF98B8B">
            <w:pPr>
              <w:pStyle w:val="43"/>
              <w:jc w:val="center"/>
            </w:pPr>
            <w:r>
              <w:t>CrudeOil</w:t>
            </w:r>
          </w:p>
        </w:tc>
        <w:tc>
          <w:tcPr>
            <w:tcW w:w="2716" w:type="dxa"/>
            <w:vAlign w:val="center"/>
          </w:tcPr>
          <w:p w14:paraId="7C6B1880">
            <w:pPr>
              <w:pStyle w:val="43"/>
              <w:jc w:val="center"/>
            </w:pPr>
            <w:r>
              <w:t>0.029811</w:t>
            </w:r>
          </w:p>
        </w:tc>
        <w:tc>
          <w:tcPr>
            <w:tcW w:w="0" w:type="auto"/>
            <w:vAlign w:val="center"/>
          </w:tcPr>
          <w:p w14:paraId="3397F1DE">
            <w:pPr>
              <w:pStyle w:val="43"/>
              <w:jc w:val="center"/>
            </w:pPr>
            <w:r>
              <w:t>0.17</w:t>
            </w:r>
          </w:p>
        </w:tc>
      </w:tr>
    </w:tbl>
    <w:p w14:paraId="4F695DF3">
      <w:r>
        <w:t>波动率倒数加权</w:t>
      </w:r>
      <w:r>
        <w:rPr>
          <w:b/>
          <w:bCs/>
        </w:rPr>
        <w:t>压低高波动资产（原油）的权重</w:t>
      </w:r>
      <w:r>
        <w:t>，使综合分布更稳定。</w:t>
      </w:r>
    </w:p>
    <w:p w14:paraId="2B86BAE3">
      <w:pPr>
        <w:ind w:firstLine="560" w:firstLineChars="200"/>
      </w:pPr>
      <w:r>
        <w:t>计算三个市场各自的60日滚动标准差（用细线表示、不同颜色区分），与Barycenter综合标准差（绿色粗线）绘制于同一坐标系中，并用竖条标注特殊时期</w:t>
      </w:r>
      <w:r>
        <w:rPr>
          <w:rFonts w:hint="eastAsia"/>
        </w:rPr>
        <w:t>，如</w:t>
      </w:r>
      <w:r>
        <w:fldChar w:fldCharType="begin"/>
      </w:r>
      <w:r>
        <w:instrText xml:space="preserve"> </w:instrText>
      </w:r>
      <w:r>
        <w:rPr>
          <w:rFonts w:hint="eastAsia"/>
        </w:rPr>
        <w:instrText xml:space="preserve">REF _Ref230356966 \h</w:instrText>
      </w:r>
      <w:r>
        <w:instrText xml:space="preserve"> </w:instrText>
      </w:r>
      <w:r>
        <w:fldChar w:fldCharType="separate"/>
      </w:r>
      <w:r>
        <w:rPr>
          <w:rFonts w:hint="eastAsia"/>
        </w:rPr>
        <w:t>图 5</w:t>
      </w:r>
      <w:r>
        <w:fldChar w:fldCharType="end"/>
      </w:r>
      <w:r>
        <w:rPr>
          <w:rFonts w:hint="eastAsia"/>
        </w:rPr>
        <w:t>：</w:t>
      </w:r>
    </w:p>
    <w:p w14:paraId="794E9427">
      <w:r>
        <w:drawing>
          <wp:inline distT="0" distB="0" distL="0" distR="0">
            <wp:extent cx="5274310" cy="1752600"/>
            <wp:effectExtent l="0" t="0" r="2540" b="0"/>
            <wp:docPr id="3568356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35629" name="图片 9"/>
                    <pic:cNvPicPr>
                      <a:picLocks noChangeAspect="1" noChangeArrowheads="1"/>
                    </pic:cNvPicPr>
                  </pic:nvPicPr>
                  <pic:blipFill>
                    <a:blip r:embed="rId110" cstate="print">
                      <a:extLst>
                        <a:ext uri="{28A0092B-C50C-407E-A947-70E740481C1C}">
                          <a14:useLocalDpi xmlns:a14="http://schemas.microsoft.com/office/drawing/2010/main" val="0"/>
                        </a:ext>
                      </a:extLst>
                    </a:blip>
                    <a:srcRect t="5596"/>
                    <a:stretch>
                      <a:fillRect/>
                    </a:stretch>
                  </pic:blipFill>
                  <pic:spPr>
                    <a:xfrm>
                      <a:off x="0" y="0"/>
                      <a:ext cx="5274310" cy="1752600"/>
                    </a:xfrm>
                    <a:prstGeom prst="rect">
                      <a:avLst/>
                    </a:prstGeom>
                    <a:noFill/>
                    <a:ln>
                      <a:noFill/>
                    </a:ln>
                  </pic:spPr>
                </pic:pic>
              </a:graphicData>
            </a:graphic>
          </wp:inline>
        </w:drawing>
      </w:r>
    </w:p>
    <w:p w14:paraId="669E3EC9">
      <w:pPr>
        <w:pStyle w:val="11"/>
        <w:jc w:val="center"/>
        <w:rPr>
          <w:rFonts w:hint="eastAsia"/>
        </w:rPr>
      </w:pPr>
      <w:bookmarkStart w:id="12" w:name="_Ref23035696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w:t>
      </w:r>
      <w:r>
        <w:fldChar w:fldCharType="end"/>
      </w:r>
      <w:bookmarkEnd w:id="12"/>
      <w:r>
        <w:rPr>
          <w:rFonts w:hint="eastAsia"/>
        </w:rPr>
        <w:t>综合市场波动率与各市场滚动波动率</w:t>
      </w:r>
    </w:p>
    <w:p w14:paraId="56969BEB">
      <w:pPr>
        <w:ind w:firstLine="560" w:firstLineChars="200"/>
      </w:pPr>
      <w:r>
        <w:t>原油的滚动波动率在大部分时期维持在0.025以上，远高于沪深300（约0.015）和黄金（约0.010），是高波动资产的主导者。Barycenter综合标准差序列与原油的滚动标准差高度同步，两者相关系数达0.97，表明综合市场波动率主要由原油价格波动驱动。这一发现具有重要的经济学含义——在多市场风险监测中，原油的波动率变化是综合风险水平的最主要贡献因子，应作为风险预警的先行指标重点跟踪。</w:t>
      </w:r>
    </w:p>
    <w:p w14:paraId="79A63BBC">
      <w:r>
        <w:rPr>
          <w:rFonts w:hint="eastAsia"/>
        </w:rPr>
        <w:t>（3）</w:t>
      </w:r>
      <w:r>
        <w:t>偏度驱动因素分析</w:t>
      </w:r>
    </w:p>
    <w:p w14:paraId="3DD36FAC">
      <w:pPr>
        <w:ind w:firstLine="560" w:firstLineChars="200"/>
      </w:pPr>
      <w:r>
        <w:t>类似</w:t>
      </w:r>
      <w:r>
        <w:rPr>
          <w:rFonts w:hint="eastAsia"/>
        </w:rPr>
        <w:t>上图</w:t>
      </w:r>
      <w:r>
        <w:t>，展示三个市场的60日滚动偏度与Barycenter综合偏度的对比</w:t>
      </w:r>
      <w:r>
        <w:rPr>
          <w:rFonts w:hint="eastAsia"/>
        </w:rPr>
        <w:t>，如</w:t>
      </w:r>
      <w:r>
        <w:fldChar w:fldCharType="begin"/>
      </w:r>
      <w:r>
        <w:instrText xml:space="preserve"> </w:instrText>
      </w:r>
      <w:r>
        <w:rPr>
          <w:rFonts w:hint="eastAsia"/>
        </w:rPr>
        <w:instrText xml:space="preserve">REF _Ref230357058 \h</w:instrText>
      </w:r>
      <w:r>
        <w:instrText xml:space="preserve"> </w:instrText>
      </w:r>
      <w:r>
        <w:fldChar w:fldCharType="separate"/>
      </w:r>
      <w:r>
        <w:rPr>
          <w:rFonts w:hint="eastAsia"/>
        </w:rPr>
        <w:t>图 6</w:t>
      </w:r>
      <w:r>
        <w:fldChar w:fldCharType="end"/>
      </w:r>
      <w:r>
        <w:rPr>
          <w:rFonts w:hint="eastAsia"/>
        </w:rPr>
        <w:t>：</w:t>
      </w:r>
    </w:p>
    <w:p w14:paraId="0C04938F">
      <w:r>
        <w:drawing>
          <wp:inline distT="0" distB="0" distL="0" distR="0">
            <wp:extent cx="5274310" cy="2125980"/>
            <wp:effectExtent l="0" t="0" r="2540" b="7620"/>
            <wp:docPr id="7982532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53269" name="图片 4"/>
                    <pic:cNvPicPr>
                      <a:picLocks noChangeAspect="1" noChangeArrowheads="1"/>
                    </pic:cNvPicPr>
                  </pic:nvPicPr>
                  <pic:blipFill>
                    <a:blip r:embed="rId111" cstate="print">
                      <a:extLst>
                        <a:ext uri="{28A0092B-C50C-407E-A947-70E740481C1C}">
                          <a14:useLocalDpi xmlns:a14="http://schemas.microsoft.com/office/drawing/2010/main" val="0"/>
                        </a:ext>
                      </a:extLst>
                    </a:blip>
                    <a:srcRect t="4954"/>
                    <a:stretch>
                      <a:fillRect/>
                    </a:stretch>
                  </pic:blipFill>
                  <pic:spPr>
                    <a:xfrm>
                      <a:off x="0" y="0"/>
                      <a:ext cx="5274310" cy="2126269"/>
                    </a:xfrm>
                    <a:prstGeom prst="rect">
                      <a:avLst/>
                    </a:prstGeom>
                    <a:noFill/>
                    <a:ln>
                      <a:noFill/>
                    </a:ln>
                  </pic:spPr>
                </pic:pic>
              </a:graphicData>
            </a:graphic>
          </wp:inline>
        </w:drawing>
      </w:r>
    </w:p>
    <w:p w14:paraId="2BC9C9E7">
      <w:pPr>
        <w:pStyle w:val="11"/>
        <w:jc w:val="center"/>
        <w:rPr>
          <w:rFonts w:hint="eastAsia"/>
        </w:rPr>
      </w:pPr>
      <w:bookmarkStart w:id="13" w:name="_Ref23035705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6</w:t>
      </w:r>
      <w:r>
        <w:fldChar w:fldCharType="end"/>
      </w:r>
      <w:bookmarkEnd w:id="13"/>
      <w:r>
        <w:rPr>
          <w:rFonts w:hint="eastAsia"/>
        </w:rPr>
        <w:t>综合市场偏度与各市场偏度</w:t>
      </w:r>
    </w:p>
    <w:p w14:paraId="7997A473">
      <w:pPr>
        <w:ind w:firstLine="560" w:firstLineChars="200"/>
      </w:pPr>
      <w:r>
        <w:t>三个市场在大部分时期偏度不同步，各自受到不同的基本面因素影响。原油偏度与综合偏度相关性最高（ρ=0.80），再次确认原油对综合特征的支配作用。COVID-19期间，三个市场同步出现左偏，由系统性风险驱动而非个别市场因素，此时综合偏度降至最低值。在2022年，受俄乌冲突影响原油偏度转为正偏，而沪深300受国内经济放缓影响保持负偏，市场偏度出现分化，综合偏度接近零。这一现象表明：综合偏度在系统性危机时发挥"信号放大器"功能，在非同步时期则发挥"平滑器"功能，具有自适应的风险监测能力。</w:t>
      </w:r>
    </w:p>
    <w:p w14:paraId="4578BCB0">
      <w:pPr>
        <w:pStyle w:val="5"/>
      </w:pPr>
      <w:r>
        <w:rPr>
          <w:rFonts w:hint="eastAsia"/>
        </w:rPr>
        <w:t>5.2.5</w:t>
      </w:r>
      <w:r>
        <w:t>综合市场状态</w:t>
      </w:r>
      <w:r>
        <w:rPr>
          <w:rFonts w:hint="eastAsia"/>
        </w:rPr>
        <w:t>时间序列分析</w:t>
      </w:r>
    </w:p>
    <w:p w14:paraId="2A1146C9">
      <w:pPr>
        <w:ind w:firstLine="560" w:firstLineChars="200"/>
      </w:pPr>
      <w:r>
        <w:t>分别以w=20（交易月）和w=60（交易季度）为滚动窗口，计算综合市场状态分布的四阶矩（均值、标准差、偏度、超额峰度）时间序列，以浅色细线（w=20）和深色粗线（w=60）叠加展示，并用红色竖条标注COVID-19冲击期、2022年加息周期和2024年政策驱动期</w:t>
      </w:r>
      <w:r>
        <w:rPr>
          <w:rFonts w:hint="eastAsia"/>
        </w:rPr>
        <w:t>，具体结果如</w:t>
      </w:r>
      <w:r>
        <w:fldChar w:fldCharType="begin"/>
      </w:r>
      <w:r>
        <w:instrText xml:space="preserve"> </w:instrText>
      </w:r>
      <w:r>
        <w:rPr>
          <w:rFonts w:hint="eastAsia"/>
        </w:rPr>
        <w:instrText xml:space="preserve">REF _Ref230352506 \h</w:instrText>
      </w:r>
      <w:r>
        <w:instrText xml:space="preserve"> </w:instrText>
      </w:r>
      <w:r>
        <w:fldChar w:fldCharType="separate"/>
      </w:r>
      <w:r>
        <w:rPr>
          <w:rFonts w:hint="eastAsia"/>
        </w:rPr>
        <w:t>图 7</w:t>
      </w:r>
      <w:r>
        <w:fldChar w:fldCharType="end"/>
      </w:r>
      <w:r>
        <w:rPr>
          <w:rFonts w:hint="eastAsia"/>
        </w:rPr>
        <w:t>:</w:t>
      </w:r>
    </w:p>
    <w:p w14:paraId="73D56129">
      <w:r>
        <w:drawing>
          <wp:inline distT="0" distB="0" distL="0" distR="0">
            <wp:extent cx="5008245" cy="3296920"/>
            <wp:effectExtent l="0" t="0" r="1905" b="0"/>
            <wp:docPr id="12623464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46409" name="图片 5"/>
                    <pic:cNvPicPr>
                      <a:picLocks noChangeAspect="1" noChangeArrowheads="1"/>
                    </pic:cNvPicPr>
                  </pic:nvPicPr>
                  <pic:blipFill>
                    <a:blip r:embed="rId112">
                      <a:extLst>
                        <a:ext uri="{28A0092B-C50C-407E-A947-70E740481C1C}">
                          <a14:useLocalDpi xmlns:a14="http://schemas.microsoft.com/office/drawing/2010/main" val="0"/>
                        </a:ext>
                      </a:extLst>
                    </a:blip>
                    <a:srcRect t="2481"/>
                    <a:stretch>
                      <a:fillRect/>
                    </a:stretch>
                  </pic:blipFill>
                  <pic:spPr>
                    <a:xfrm>
                      <a:off x="0" y="0"/>
                      <a:ext cx="5041522" cy="3318712"/>
                    </a:xfrm>
                    <a:prstGeom prst="rect">
                      <a:avLst/>
                    </a:prstGeom>
                    <a:noFill/>
                    <a:ln>
                      <a:noFill/>
                    </a:ln>
                  </pic:spPr>
                </pic:pic>
              </a:graphicData>
            </a:graphic>
          </wp:inline>
        </w:drawing>
      </w:r>
    </w:p>
    <w:p w14:paraId="5BFD616C">
      <w:pPr>
        <w:pStyle w:val="11"/>
        <w:jc w:val="center"/>
        <w:rPr>
          <w:rFonts w:hint="eastAsia"/>
        </w:rPr>
      </w:pPr>
      <w:bookmarkStart w:id="14" w:name="_Ref230352506"/>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7</w:t>
      </w:r>
      <w:r>
        <w:rPr>
          <w:rFonts w:hint="eastAsia"/>
        </w:rPr>
        <w:fldChar w:fldCharType="end"/>
      </w:r>
      <w:bookmarkEnd w:id="14"/>
      <w:r>
        <w:t>综合市场状态分布</w:t>
      </w:r>
    </w:p>
    <w:p w14:paraId="70633C68">
      <w:pPr>
        <w:ind w:firstLine="560" w:firstLineChars="200"/>
      </w:pPr>
      <w:r>
        <w:rPr>
          <w:rFonts w:hint="eastAsia"/>
        </w:rPr>
        <w:t>通过图中信息，我们发现</w:t>
      </w:r>
      <w:r>
        <w:t>w=60序列相对于w=20序列更为平滑，体现了更大窗口的低通滤波效应，但两者的定性结论完全一致。标准差序列在COVID-19初期（2020年3月）出现脉冲式飙升，由正常时期的约0.015跃升至0.031以上，增幅超过100%，可作为市场恐慌的定量指标。偏度序列在COVID期间骤降至-0.94，反映极端下行风险集中释放；2022年加息周期偏度在零附近波动，表明该时期的风险特征以波动加剧而非方向性偏斜为主。超额峰度在COVID期间峰值达到+19.43，为正常时期的数十倍，能够灵敏地捕捉尾部风险的急剧膨胀，是区分正常市场状态与危机状态的关键指标。</w:t>
      </w:r>
    </w:p>
    <w:p w14:paraId="43EB8660">
      <w:r>
        <w:rPr>
          <w:rFonts w:hint="eastAsia"/>
        </w:rPr>
        <w:t>（1）</w:t>
      </w:r>
      <w:r>
        <w:t xml:space="preserve"> 特殊时期分析</w:t>
      </w:r>
    </w:p>
    <w:tbl>
      <w:tblPr>
        <w:tblStyle w:val="1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0"/>
        <w:gridCol w:w="1252"/>
        <w:gridCol w:w="1116"/>
        <w:gridCol w:w="892"/>
        <w:gridCol w:w="772"/>
        <w:gridCol w:w="1904"/>
      </w:tblGrid>
      <w:tr w14:paraId="3587F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bottom w:val="single" w:color="auto" w:sz="6" w:space="0"/>
            </w:tcBorders>
            <w:vAlign w:val="center"/>
          </w:tcPr>
          <w:p w14:paraId="3D8EF3EE">
            <w:pPr>
              <w:pStyle w:val="43"/>
              <w:jc w:val="center"/>
            </w:pPr>
            <w:r>
              <w:t>时期</w:t>
            </w:r>
          </w:p>
        </w:tc>
        <w:tc>
          <w:tcPr>
            <w:tcW w:w="0" w:type="auto"/>
            <w:tcBorders>
              <w:bottom w:val="single" w:color="auto" w:sz="6" w:space="0"/>
            </w:tcBorders>
            <w:vAlign w:val="center"/>
          </w:tcPr>
          <w:p w14:paraId="3030D03F">
            <w:pPr>
              <w:pStyle w:val="43"/>
              <w:jc w:val="center"/>
            </w:pPr>
            <w:r>
              <w:t>均值</w:t>
            </w:r>
          </w:p>
        </w:tc>
        <w:tc>
          <w:tcPr>
            <w:tcW w:w="0" w:type="auto"/>
            <w:tcBorders>
              <w:bottom w:val="single" w:color="auto" w:sz="6" w:space="0"/>
            </w:tcBorders>
            <w:vAlign w:val="center"/>
          </w:tcPr>
          <w:p w14:paraId="5BB1D21C">
            <w:pPr>
              <w:pStyle w:val="43"/>
              <w:jc w:val="center"/>
            </w:pPr>
            <w:r>
              <w:t>标准差</w:t>
            </w:r>
          </w:p>
        </w:tc>
        <w:tc>
          <w:tcPr>
            <w:tcW w:w="0" w:type="auto"/>
            <w:tcBorders>
              <w:bottom w:val="single" w:color="auto" w:sz="6" w:space="0"/>
            </w:tcBorders>
            <w:vAlign w:val="center"/>
          </w:tcPr>
          <w:p w14:paraId="4FD6521D">
            <w:pPr>
              <w:pStyle w:val="43"/>
              <w:jc w:val="center"/>
            </w:pPr>
            <w:r>
              <w:t>偏度</w:t>
            </w:r>
          </w:p>
        </w:tc>
        <w:tc>
          <w:tcPr>
            <w:tcW w:w="0" w:type="auto"/>
            <w:tcBorders>
              <w:bottom w:val="single" w:color="auto" w:sz="6" w:space="0"/>
            </w:tcBorders>
            <w:vAlign w:val="center"/>
          </w:tcPr>
          <w:p w14:paraId="6C19097C">
            <w:pPr>
              <w:pStyle w:val="43"/>
              <w:jc w:val="center"/>
            </w:pPr>
            <w:r>
              <w:t>峰度</w:t>
            </w:r>
          </w:p>
        </w:tc>
        <w:tc>
          <w:tcPr>
            <w:tcW w:w="0" w:type="auto"/>
            <w:tcBorders>
              <w:bottom w:val="single" w:color="auto" w:sz="6" w:space="0"/>
            </w:tcBorders>
            <w:vAlign w:val="center"/>
          </w:tcPr>
          <w:p w14:paraId="178DC9EB">
            <w:pPr>
              <w:pStyle w:val="43"/>
              <w:jc w:val="center"/>
            </w:pPr>
            <w:r>
              <w:t>市场状态</w:t>
            </w:r>
          </w:p>
        </w:tc>
      </w:tr>
      <w:tr w14:paraId="1A9B0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3C22DCD5">
            <w:pPr>
              <w:pStyle w:val="43"/>
              <w:jc w:val="center"/>
            </w:pPr>
            <w:r>
              <w:t>COVID-19 冲击 (2020.01-06)</w:t>
            </w:r>
          </w:p>
        </w:tc>
        <w:tc>
          <w:tcPr>
            <w:tcW w:w="0" w:type="auto"/>
            <w:tcBorders>
              <w:top w:val="single" w:color="auto" w:sz="6" w:space="0"/>
            </w:tcBorders>
            <w:vAlign w:val="center"/>
          </w:tcPr>
          <w:p w14:paraId="207E9C8A">
            <w:pPr>
              <w:pStyle w:val="43"/>
              <w:jc w:val="center"/>
            </w:pPr>
            <w:r>
              <w:t>-0.001688</w:t>
            </w:r>
          </w:p>
        </w:tc>
        <w:tc>
          <w:tcPr>
            <w:tcW w:w="0" w:type="auto"/>
            <w:tcBorders>
              <w:top w:val="single" w:color="auto" w:sz="6" w:space="0"/>
            </w:tcBorders>
            <w:vAlign w:val="center"/>
          </w:tcPr>
          <w:p w14:paraId="344826B6">
            <w:pPr>
              <w:pStyle w:val="43"/>
              <w:jc w:val="center"/>
            </w:pPr>
            <w:r>
              <w:t>0.031377</w:t>
            </w:r>
          </w:p>
        </w:tc>
        <w:tc>
          <w:tcPr>
            <w:tcW w:w="0" w:type="auto"/>
            <w:tcBorders>
              <w:top w:val="single" w:color="auto" w:sz="6" w:space="0"/>
            </w:tcBorders>
            <w:vAlign w:val="center"/>
          </w:tcPr>
          <w:p w14:paraId="4F01E005">
            <w:pPr>
              <w:pStyle w:val="43"/>
              <w:jc w:val="center"/>
            </w:pPr>
            <w:r>
              <w:t>-0.942</w:t>
            </w:r>
          </w:p>
        </w:tc>
        <w:tc>
          <w:tcPr>
            <w:tcW w:w="0" w:type="auto"/>
            <w:tcBorders>
              <w:top w:val="single" w:color="auto" w:sz="6" w:space="0"/>
            </w:tcBorders>
            <w:vAlign w:val="center"/>
          </w:tcPr>
          <w:p w14:paraId="15FBF9BC">
            <w:pPr>
              <w:pStyle w:val="43"/>
              <w:jc w:val="center"/>
            </w:pPr>
            <w:r>
              <w:t>+4.08</w:t>
            </w:r>
          </w:p>
        </w:tc>
        <w:tc>
          <w:tcPr>
            <w:tcW w:w="0" w:type="auto"/>
            <w:tcBorders>
              <w:top w:val="single" w:color="auto" w:sz="6" w:space="0"/>
            </w:tcBorders>
            <w:vAlign w:val="center"/>
          </w:tcPr>
          <w:p w14:paraId="7EA85392">
            <w:pPr>
              <w:pStyle w:val="43"/>
              <w:jc w:val="center"/>
            </w:pPr>
            <w:r>
              <w:t>高波动 + 显著左偏 + 肥尾</w:t>
            </w:r>
          </w:p>
        </w:tc>
      </w:tr>
      <w:tr w14:paraId="00A048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7E8AC3C">
            <w:pPr>
              <w:pStyle w:val="43"/>
              <w:jc w:val="center"/>
            </w:pPr>
            <w:r>
              <w:t>2022 加息周期</w:t>
            </w:r>
          </w:p>
        </w:tc>
        <w:tc>
          <w:tcPr>
            <w:tcW w:w="0" w:type="auto"/>
            <w:vAlign w:val="center"/>
          </w:tcPr>
          <w:p w14:paraId="44244FF7">
            <w:pPr>
              <w:pStyle w:val="43"/>
              <w:jc w:val="center"/>
            </w:pPr>
            <w:r>
              <w:t>-0.000424</w:t>
            </w:r>
          </w:p>
        </w:tc>
        <w:tc>
          <w:tcPr>
            <w:tcW w:w="0" w:type="auto"/>
            <w:vAlign w:val="center"/>
          </w:tcPr>
          <w:p w14:paraId="401C8C39">
            <w:pPr>
              <w:pStyle w:val="43"/>
              <w:jc w:val="center"/>
            </w:pPr>
            <w:r>
              <w:t>0.018119</w:t>
            </w:r>
          </w:p>
        </w:tc>
        <w:tc>
          <w:tcPr>
            <w:tcW w:w="0" w:type="auto"/>
            <w:vAlign w:val="center"/>
          </w:tcPr>
          <w:p w14:paraId="223C4A37">
            <w:pPr>
              <w:pStyle w:val="43"/>
              <w:jc w:val="center"/>
            </w:pPr>
            <w:r>
              <w:t>-0.225</w:t>
            </w:r>
          </w:p>
        </w:tc>
        <w:tc>
          <w:tcPr>
            <w:tcW w:w="0" w:type="auto"/>
            <w:vAlign w:val="center"/>
          </w:tcPr>
          <w:p w14:paraId="7DF7DBD8">
            <w:pPr>
              <w:pStyle w:val="43"/>
              <w:jc w:val="center"/>
            </w:pPr>
            <w:r>
              <w:t>+0.80</w:t>
            </w:r>
          </w:p>
        </w:tc>
        <w:tc>
          <w:tcPr>
            <w:tcW w:w="0" w:type="auto"/>
            <w:vAlign w:val="center"/>
          </w:tcPr>
          <w:p w14:paraId="28B9F2B1">
            <w:pPr>
              <w:pStyle w:val="43"/>
              <w:jc w:val="center"/>
            </w:pPr>
            <w:r>
              <w:t>中等波动，轻微负偏</w:t>
            </w:r>
          </w:p>
        </w:tc>
      </w:tr>
      <w:tr w14:paraId="502D8F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200F9B57">
            <w:pPr>
              <w:pStyle w:val="43"/>
              <w:jc w:val="center"/>
            </w:pPr>
            <w:r>
              <w:t>2024 政策驱动</w:t>
            </w:r>
          </w:p>
        </w:tc>
        <w:tc>
          <w:tcPr>
            <w:tcW w:w="0" w:type="auto"/>
            <w:vAlign w:val="center"/>
          </w:tcPr>
          <w:p w14:paraId="11C71155">
            <w:pPr>
              <w:pStyle w:val="43"/>
              <w:jc w:val="center"/>
            </w:pPr>
            <w:r>
              <w:t>+0.000218</w:t>
            </w:r>
          </w:p>
        </w:tc>
        <w:tc>
          <w:tcPr>
            <w:tcW w:w="0" w:type="auto"/>
            <w:vAlign w:val="center"/>
          </w:tcPr>
          <w:p w14:paraId="1CF095C0">
            <w:pPr>
              <w:pStyle w:val="43"/>
              <w:jc w:val="center"/>
            </w:pPr>
            <w:r>
              <w:t>0.015496</w:t>
            </w:r>
          </w:p>
        </w:tc>
        <w:tc>
          <w:tcPr>
            <w:tcW w:w="0" w:type="auto"/>
            <w:vAlign w:val="center"/>
          </w:tcPr>
          <w:p w14:paraId="54ADBADB">
            <w:pPr>
              <w:pStyle w:val="43"/>
              <w:jc w:val="center"/>
            </w:pPr>
            <w:r>
              <w:t>+0.181</w:t>
            </w:r>
          </w:p>
        </w:tc>
        <w:tc>
          <w:tcPr>
            <w:tcW w:w="0" w:type="auto"/>
            <w:vAlign w:val="center"/>
          </w:tcPr>
          <w:p w14:paraId="27E64C6C">
            <w:pPr>
              <w:pStyle w:val="43"/>
              <w:jc w:val="center"/>
            </w:pPr>
            <w:r>
              <w:t>+0.63</w:t>
            </w:r>
          </w:p>
        </w:tc>
        <w:tc>
          <w:tcPr>
            <w:tcW w:w="0" w:type="auto"/>
            <w:vAlign w:val="center"/>
          </w:tcPr>
          <w:p w14:paraId="490E99C2">
            <w:pPr>
              <w:pStyle w:val="43"/>
              <w:jc w:val="center"/>
            </w:pPr>
            <w:r>
              <w:t>波动回落，偏度转正</w:t>
            </w:r>
          </w:p>
        </w:tc>
      </w:tr>
    </w:tbl>
    <w:p w14:paraId="056F65CA"/>
    <w:p w14:paraId="7ED7BA4C">
      <w:r>
        <w:rPr>
          <w:rFonts w:hint="eastAsia"/>
        </w:rPr>
        <w:t>（2）</w:t>
      </w:r>
      <w:r>
        <w:t>典型时点的 Barycenter 分布形态</w:t>
      </w:r>
    </w:p>
    <w:tbl>
      <w:tblPr>
        <w:tblStyle w:val="18"/>
        <w:tblW w:w="8640"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3"/>
        <w:gridCol w:w="1241"/>
        <w:gridCol w:w="1158"/>
        <w:gridCol w:w="925"/>
        <w:gridCol w:w="925"/>
        <w:gridCol w:w="1718"/>
      </w:tblGrid>
      <w:tr w14:paraId="4F1F9D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0" w:type="auto"/>
            <w:tcBorders>
              <w:bottom w:val="single" w:color="auto" w:sz="6" w:space="0"/>
            </w:tcBorders>
            <w:vAlign w:val="center"/>
          </w:tcPr>
          <w:p w14:paraId="3512FE5B">
            <w:pPr>
              <w:pStyle w:val="43"/>
              <w:jc w:val="center"/>
            </w:pPr>
            <w:r>
              <w:t>时点</w:t>
            </w:r>
          </w:p>
        </w:tc>
        <w:tc>
          <w:tcPr>
            <w:tcW w:w="0" w:type="auto"/>
            <w:tcBorders>
              <w:bottom w:val="single" w:color="auto" w:sz="6" w:space="0"/>
            </w:tcBorders>
            <w:vAlign w:val="center"/>
          </w:tcPr>
          <w:p w14:paraId="34B4AF91">
            <w:pPr>
              <w:pStyle w:val="43"/>
              <w:jc w:val="center"/>
            </w:pPr>
            <w:r>
              <w:t>均值</w:t>
            </w:r>
          </w:p>
        </w:tc>
        <w:tc>
          <w:tcPr>
            <w:tcW w:w="0" w:type="auto"/>
            <w:tcBorders>
              <w:bottom w:val="single" w:color="auto" w:sz="6" w:space="0"/>
            </w:tcBorders>
            <w:vAlign w:val="center"/>
          </w:tcPr>
          <w:p w14:paraId="12C02498">
            <w:pPr>
              <w:pStyle w:val="43"/>
              <w:jc w:val="center"/>
            </w:pPr>
            <w:r>
              <w:t>标准差</w:t>
            </w:r>
          </w:p>
        </w:tc>
        <w:tc>
          <w:tcPr>
            <w:tcW w:w="0" w:type="auto"/>
            <w:tcBorders>
              <w:bottom w:val="single" w:color="auto" w:sz="6" w:space="0"/>
            </w:tcBorders>
            <w:vAlign w:val="center"/>
          </w:tcPr>
          <w:p w14:paraId="7048A9AB">
            <w:pPr>
              <w:pStyle w:val="43"/>
              <w:jc w:val="center"/>
            </w:pPr>
            <w:r>
              <w:t>偏度</w:t>
            </w:r>
          </w:p>
        </w:tc>
        <w:tc>
          <w:tcPr>
            <w:tcW w:w="0" w:type="auto"/>
            <w:tcBorders>
              <w:bottom w:val="single" w:color="auto" w:sz="6" w:space="0"/>
            </w:tcBorders>
            <w:vAlign w:val="center"/>
          </w:tcPr>
          <w:p w14:paraId="2EA1E5C8">
            <w:pPr>
              <w:pStyle w:val="43"/>
              <w:jc w:val="center"/>
            </w:pPr>
            <w:r>
              <w:t>峰度</w:t>
            </w:r>
          </w:p>
        </w:tc>
        <w:tc>
          <w:tcPr>
            <w:tcW w:w="0" w:type="auto"/>
            <w:tcBorders>
              <w:bottom w:val="single" w:color="auto" w:sz="6" w:space="0"/>
            </w:tcBorders>
            <w:vAlign w:val="center"/>
          </w:tcPr>
          <w:p w14:paraId="13F8E96C">
            <w:pPr>
              <w:pStyle w:val="43"/>
              <w:jc w:val="center"/>
            </w:pPr>
            <w:r>
              <w:t>含义</w:t>
            </w:r>
          </w:p>
        </w:tc>
      </w:tr>
      <w:tr w14:paraId="127A9D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trPr>
        <w:tc>
          <w:tcPr>
            <w:tcW w:w="0" w:type="auto"/>
            <w:tcBorders>
              <w:top w:val="single" w:color="auto" w:sz="6" w:space="0"/>
            </w:tcBorders>
            <w:vAlign w:val="center"/>
          </w:tcPr>
          <w:p w14:paraId="0AF61CA4">
            <w:pPr>
              <w:pStyle w:val="43"/>
              <w:jc w:val="center"/>
            </w:pPr>
            <w:r>
              <w:t>正常市 (2019-06-03)</w:t>
            </w:r>
          </w:p>
        </w:tc>
        <w:tc>
          <w:tcPr>
            <w:tcW w:w="0" w:type="auto"/>
            <w:tcBorders>
              <w:top w:val="single" w:color="auto" w:sz="6" w:space="0"/>
            </w:tcBorders>
            <w:vAlign w:val="center"/>
          </w:tcPr>
          <w:p w14:paraId="1EB57E85">
            <w:pPr>
              <w:pStyle w:val="43"/>
              <w:jc w:val="center"/>
            </w:pPr>
            <w:r>
              <w:t>-0.000497</w:t>
            </w:r>
          </w:p>
        </w:tc>
        <w:tc>
          <w:tcPr>
            <w:tcW w:w="0" w:type="auto"/>
            <w:tcBorders>
              <w:top w:val="single" w:color="auto" w:sz="6" w:space="0"/>
            </w:tcBorders>
            <w:vAlign w:val="center"/>
          </w:tcPr>
          <w:p w14:paraId="33C37DF9">
            <w:pPr>
              <w:pStyle w:val="43"/>
              <w:jc w:val="center"/>
            </w:pPr>
            <w:r>
              <w:t>0.013127</w:t>
            </w:r>
          </w:p>
        </w:tc>
        <w:tc>
          <w:tcPr>
            <w:tcW w:w="0" w:type="auto"/>
            <w:tcBorders>
              <w:top w:val="single" w:color="auto" w:sz="6" w:space="0"/>
            </w:tcBorders>
            <w:vAlign w:val="center"/>
          </w:tcPr>
          <w:p w14:paraId="6DC48223">
            <w:pPr>
              <w:pStyle w:val="43"/>
              <w:jc w:val="center"/>
            </w:pPr>
            <w:r>
              <w:t>-0.551</w:t>
            </w:r>
          </w:p>
        </w:tc>
        <w:tc>
          <w:tcPr>
            <w:tcW w:w="0" w:type="auto"/>
            <w:tcBorders>
              <w:top w:val="single" w:color="auto" w:sz="6" w:space="0"/>
            </w:tcBorders>
            <w:vAlign w:val="center"/>
          </w:tcPr>
          <w:p w14:paraId="26C159E6">
            <w:pPr>
              <w:pStyle w:val="43"/>
              <w:jc w:val="center"/>
            </w:pPr>
            <w:r>
              <w:t>+1.10</w:t>
            </w:r>
          </w:p>
        </w:tc>
        <w:tc>
          <w:tcPr>
            <w:tcW w:w="0" w:type="auto"/>
            <w:tcBorders>
              <w:top w:val="single" w:color="auto" w:sz="6" w:space="0"/>
            </w:tcBorders>
            <w:vAlign w:val="center"/>
          </w:tcPr>
          <w:p w14:paraId="62A296A8">
            <w:pPr>
              <w:pStyle w:val="43"/>
              <w:jc w:val="center"/>
            </w:pPr>
            <w:r>
              <w:t>温和波动</w:t>
            </w:r>
          </w:p>
        </w:tc>
      </w:tr>
      <w:tr w14:paraId="0919D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trPr>
        <w:tc>
          <w:tcPr>
            <w:tcW w:w="0" w:type="auto"/>
            <w:vAlign w:val="center"/>
          </w:tcPr>
          <w:p w14:paraId="04F9E624">
            <w:pPr>
              <w:pStyle w:val="43"/>
              <w:jc w:val="center"/>
            </w:pPr>
            <w:r>
              <w:t>疫情冲击 (2020-03-16)</w:t>
            </w:r>
          </w:p>
        </w:tc>
        <w:tc>
          <w:tcPr>
            <w:tcW w:w="0" w:type="auto"/>
            <w:vAlign w:val="center"/>
          </w:tcPr>
          <w:p w14:paraId="01FE98FF">
            <w:pPr>
              <w:pStyle w:val="43"/>
              <w:jc w:val="center"/>
            </w:pPr>
            <w:r>
              <w:t>-0.002898</w:t>
            </w:r>
          </w:p>
        </w:tc>
        <w:tc>
          <w:tcPr>
            <w:tcW w:w="0" w:type="auto"/>
            <w:vAlign w:val="center"/>
          </w:tcPr>
          <w:p w14:paraId="1F401EAB">
            <w:pPr>
              <w:pStyle w:val="43"/>
              <w:jc w:val="center"/>
            </w:pPr>
            <w:r>
              <w:t>0.024800</w:t>
            </w:r>
          </w:p>
        </w:tc>
        <w:tc>
          <w:tcPr>
            <w:tcW w:w="0" w:type="auto"/>
            <w:vAlign w:val="center"/>
          </w:tcPr>
          <w:p w14:paraId="79E54A28">
            <w:pPr>
              <w:pStyle w:val="43"/>
              <w:jc w:val="center"/>
            </w:pPr>
            <w:r>
              <w:t>-2.331</w:t>
            </w:r>
          </w:p>
        </w:tc>
        <w:tc>
          <w:tcPr>
            <w:tcW w:w="0" w:type="auto"/>
            <w:vAlign w:val="center"/>
          </w:tcPr>
          <w:p w14:paraId="6C5ACEAC">
            <w:pPr>
              <w:pStyle w:val="43"/>
              <w:jc w:val="center"/>
            </w:pPr>
            <w:r>
              <w:t>+12.35</w:t>
            </w:r>
          </w:p>
        </w:tc>
        <w:tc>
          <w:tcPr>
            <w:tcW w:w="0" w:type="auto"/>
            <w:vAlign w:val="center"/>
          </w:tcPr>
          <w:p w14:paraId="72B79D49">
            <w:pPr>
              <w:pStyle w:val="43"/>
              <w:jc w:val="center"/>
            </w:pPr>
            <w:r>
              <w:t>极端尾部风险</w:t>
            </w:r>
          </w:p>
        </w:tc>
      </w:tr>
      <w:tr w14:paraId="5540B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trPr>
        <w:tc>
          <w:tcPr>
            <w:tcW w:w="0" w:type="auto"/>
            <w:vAlign w:val="center"/>
          </w:tcPr>
          <w:p w14:paraId="4032B222">
            <w:pPr>
              <w:pStyle w:val="43"/>
              <w:jc w:val="center"/>
            </w:pPr>
            <w:r>
              <w:t>负油价期 (2020-04-27)</w:t>
            </w:r>
          </w:p>
        </w:tc>
        <w:tc>
          <w:tcPr>
            <w:tcW w:w="0" w:type="auto"/>
            <w:vAlign w:val="center"/>
          </w:tcPr>
          <w:p w14:paraId="73E8966B">
            <w:pPr>
              <w:pStyle w:val="43"/>
              <w:jc w:val="center"/>
            </w:pPr>
            <w:r>
              <w:t>-0.006577</w:t>
            </w:r>
          </w:p>
        </w:tc>
        <w:tc>
          <w:tcPr>
            <w:tcW w:w="0" w:type="auto"/>
            <w:vAlign w:val="center"/>
          </w:tcPr>
          <w:p w14:paraId="3CDF7F6E">
            <w:pPr>
              <w:pStyle w:val="43"/>
              <w:jc w:val="center"/>
            </w:pPr>
            <w:r>
              <w:t>0.046573</w:t>
            </w:r>
          </w:p>
        </w:tc>
        <w:tc>
          <w:tcPr>
            <w:tcW w:w="0" w:type="auto"/>
            <w:vAlign w:val="center"/>
          </w:tcPr>
          <w:p w14:paraId="652882D7">
            <w:pPr>
              <w:pStyle w:val="43"/>
              <w:jc w:val="center"/>
            </w:pPr>
            <w:r>
              <w:t>-0.804</w:t>
            </w:r>
          </w:p>
        </w:tc>
        <w:tc>
          <w:tcPr>
            <w:tcW w:w="0" w:type="auto"/>
            <w:vAlign w:val="center"/>
          </w:tcPr>
          <w:p w14:paraId="5E3050D0">
            <w:pPr>
              <w:pStyle w:val="43"/>
              <w:jc w:val="center"/>
            </w:pPr>
            <w:r>
              <w:t>+3.16</w:t>
            </w:r>
          </w:p>
        </w:tc>
        <w:tc>
          <w:tcPr>
            <w:tcW w:w="0" w:type="auto"/>
            <w:vAlign w:val="center"/>
          </w:tcPr>
          <w:p w14:paraId="7E992C2D">
            <w:pPr>
              <w:pStyle w:val="43"/>
              <w:jc w:val="center"/>
            </w:pPr>
            <w:r>
              <w:t>波动率峰值</w:t>
            </w:r>
          </w:p>
        </w:tc>
      </w:tr>
      <w:tr w14:paraId="04A98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trPr>
        <w:tc>
          <w:tcPr>
            <w:tcW w:w="0" w:type="auto"/>
            <w:vAlign w:val="center"/>
          </w:tcPr>
          <w:p w14:paraId="2F4A24A8">
            <w:pPr>
              <w:pStyle w:val="43"/>
              <w:jc w:val="center"/>
            </w:pPr>
            <w:r>
              <w:t>政策暴涨 (2024-09-30)</w:t>
            </w:r>
          </w:p>
        </w:tc>
        <w:tc>
          <w:tcPr>
            <w:tcW w:w="0" w:type="auto"/>
            <w:vAlign w:val="center"/>
          </w:tcPr>
          <w:p w14:paraId="4A6D1BFE">
            <w:pPr>
              <w:pStyle w:val="43"/>
              <w:jc w:val="center"/>
            </w:pPr>
            <w:r>
              <w:t>-0.000159</w:t>
            </w:r>
          </w:p>
        </w:tc>
        <w:tc>
          <w:tcPr>
            <w:tcW w:w="0" w:type="auto"/>
            <w:vAlign w:val="center"/>
          </w:tcPr>
          <w:p w14:paraId="56D7CCBE">
            <w:pPr>
              <w:pStyle w:val="43"/>
              <w:jc w:val="center"/>
            </w:pPr>
            <w:r>
              <w:t>0.014221</w:t>
            </w:r>
          </w:p>
        </w:tc>
        <w:tc>
          <w:tcPr>
            <w:tcW w:w="0" w:type="auto"/>
            <w:vAlign w:val="center"/>
          </w:tcPr>
          <w:p w14:paraId="2FD67D53">
            <w:pPr>
              <w:pStyle w:val="43"/>
              <w:jc w:val="center"/>
            </w:pPr>
            <w:r>
              <w:t>+0.450</w:t>
            </w:r>
          </w:p>
        </w:tc>
        <w:tc>
          <w:tcPr>
            <w:tcW w:w="0" w:type="auto"/>
            <w:vAlign w:val="center"/>
          </w:tcPr>
          <w:p w14:paraId="5292ACFF">
            <w:pPr>
              <w:pStyle w:val="43"/>
              <w:jc w:val="center"/>
            </w:pPr>
            <w:r>
              <w:t>+0.19</w:t>
            </w:r>
          </w:p>
        </w:tc>
        <w:tc>
          <w:tcPr>
            <w:tcW w:w="0" w:type="auto"/>
            <w:vAlign w:val="center"/>
          </w:tcPr>
          <w:p w14:paraId="6003964A">
            <w:pPr>
              <w:pStyle w:val="43"/>
              <w:jc w:val="center"/>
            </w:pPr>
            <w:r>
              <w:t>温和右偏</w:t>
            </w:r>
          </w:p>
        </w:tc>
      </w:tr>
    </w:tbl>
    <w:p w14:paraId="52B75F50">
      <w:pPr>
        <w:ind w:firstLine="560" w:firstLineChars="200"/>
      </w:pPr>
      <w:r>
        <w:t>选取与图1相同的四个时点，计算各时点的Wasserstein-2 Barycenter分布，通过分位函数的数值微分重建概率密度函数（PDF），同时绘制分位函数Q(p)曲线，左右两图分别展示密度域和分位域的综合分布形态</w:t>
      </w:r>
      <w:r>
        <w:rPr>
          <w:rFonts w:hint="eastAsia"/>
        </w:rPr>
        <w:t>，如</w:t>
      </w:r>
      <w:r>
        <w:fldChar w:fldCharType="begin"/>
      </w:r>
      <w:r>
        <w:instrText xml:space="preserve"> </w:instrText>
      </w:r>
      <w:r>
        <w:rPr>
          <w:rFonts w:hint="eastAsia"/>
        </w:rPr>
        <w:instrText xml:space="preserve">REF _Ref230357180 \h</w:instrText>
      </w:r>
      <w:r>
        <w:instrText xml:space="preserve"> </w:instrText>
      </w:r>
      <w:r>
        <w:fldChar w:fldCharType="separate"/>
      </w:r>
      <w:r>
        <w:rPr>
          <w:rFonts w:hint="eastAsia"/>
        </w:rPr>
        <w:t>图 8</w:t>
      </w:r>
      <w:r>
        <w:fldChar w:fldCharType="end"/>
      </w:r>
      <w:r>
        <w:rPr>
          <w:rFonts w:hint="eastAsia"/>
        </w:rPr>
        <w:t>：</w:t>
      </w:r>
    </w:p>
    <w:p w14:paraId="1C4EF12F">
      <w:r>
        <w:drawing>
          <wp:inline distT="0" distB="0" distL="0" distR="0">
            <wp:extent cx="5274310" cy="1795145"/>
            <wp:effectExtent l="0" t="0" r="2540" b="0"/>
            <wp:docPr id="11013449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4927" name="图片 8"/>
                    <pic:cNvPicPr>
                      <a:picLocks noChangeAspect="1" noChangeArrowheads="1"/>
                    </pic:cNvPicPr>
                  </pic:nvPicPr>
                  <pic:blipFill>
                    <a:blip r:embed="rId113" cstate="print">
                      <a:extLst>
                        <a:ext uri="{28A0092B-C50C-407E-A947-70E740481C1C}">
                          <a14:useLocalDpi xmlns:a14="http://schemas.microsoft.com/office/drawing/2010/main" val="0"/>
                        </a:ext>
                      </a:extLst>
                    </a:blip>
                    <a:srcRect t="8152"/>
                    <a:stretch>
                      <a:fillRect/>
                    </a:stretch>
                  </pic:blipFill>
                  <pic:spPr>
                    <a:xfrm>
                      <a:off x="0" y="0"/>
                      <a:ext cx="5274310" cy="1795203"/>
                    </a:xfrm>
                    <a:prstGeom prst="rect">
                      <a:avLst/>
                    </a:prstGeom>
                    <a:noFill/>
                    <a:ln>
                      <a:noFill/>
                    </a:ln>
                  </pic:spPr>
                </pic:pic>
              </a:graphicData>
            </a:graphic>
          </wp:inline>
        </w:drawing>
      </w:r>
    </w:p>
    <w:p w14:paraId="797900D4">
      <w:pPr>
        <w:pStyle w:val="11"/>
        <w:jc w:val="center"/>
        <w:rPr>
          <w:rFonts w:hint="eastAsia"/>
        </w:rPr>
      </w:pPr>
      <w:bookmarkStart w:id="15" w:name="_Ref23035718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8</w:t>
      </w:r>
      <w:r>
        <w:fldChar w:fldCharType="end"/>
      </w:r>
      <w:bookmarkEnd w:id="15"/>
      <w:r>
        <w:rPr>
          <w:rFonts w:hint="eastAsia"/>
        </w:rPr>
        <w:t>不同市场状态下综合分布形态</w:t>
      </w:r>
    </w:p>
    <w:p w14:paraId="3F0B17F4">
      <w:pPr>
        <w:ind w:firstLine="560" w:firstLineChars="200"/>
      </w:pPr>
      <w:r>
        <w:t>PDF子图显示，正常市的综合分布窄而对称、峰值高尖；COVID-19冲击下的综合分布明显左偏且左尾厚实；负油价期的综合分布最为平坦（方差最大）、峰值最低；政策驱动期略微右偏。分位函数子图中，曲线的斜率反映局部密度——斜率越陡对应密度越高。正常市分位函数在p≈0.5附近最陡，表明收益率高度集中在均值附近；COVID时期分位函数在p&lt;0.3区间急剧下弯，揭示了左尾极端值的出现。四种状态下的分布形态差异显著，验证了Wasserstein Barycenter能够有效区分不同的宏观市场状态。</w:t>
      </w:r>
    </w:p>
    <w:p w14:paraId="76621A56">
      <w:r>
        <w:rPr>
          <w:rFonts w:hint="eastAsia"/>
        </w:rPr>
        <w:t>（3）</w:t>
      </w:r>
      <w:r>
        <w:t>特征时间序列的关键发现</w:t>
      </w:r>
    </w:p>
    <w:p w14:paraId="2C99548C">
      <w:pPr>
        <w:pStyle w:val="34"/>
        <w:numPr>
          <w:ilvl w:val="0"/>
          <w:numId w:val="9"/>
        </w:numPr>
      </w:pPr>
      <w:r>
        <w:rPr>
          <w:b/>
          <w:bCs/>
        </w:rPr>
        <w:t>std（波动率）</w:t>
      </w:r>
      <w:r>
        <w:t xml:space="preserve">：w=60 的 Barycenter std 均值为 0.014958，介于 CSI300（0.011）和 CrudeOil（0.025）之间。该特征与原油的滚动 std </w:t>
      </w:r>
      <w:r>
        <w:rPr>
          <w:b/>
          <w:bCs/>
        </w:rPr>
        <w:t>高度相关（ρ=0.97）</w:t>
      </w:r>
      <w:r>
        <w:t>，说明综合市场波动主要由原油驱动。</w:t>
      </w:r>
    </w:p>
    <w:p w14:paraId="114D49B7">
      <w:pPr>
        <w:pStyle w:val="34"/>
        <w:numPr>
          <w:ilvl w:val="0"/>
          <w:numId w:val="9"/>
        </w:numPr>
      </w:pPr>
      <w:r>
        <w:rPr>
          <w:b/>
          <w:bCs/>
        </w:rPr>
        <w:t>skew（偏度）</w:t>
      </w:r>
      <w:r>
        <w:t>：均值始终为负（-0.20），反映市场在危机时倾向于左尾（暴跌），且偏度序列与原油偏度高度相关（ρ=0.80）。</w:t>
      </w:r>
    </w:p>
    <w:p w14:paraId="5D11B690">
      <w:pPr>
        <w:pStyle w:val="34"/>
        <w:numPr>
          <w:ilvl w:val="0"/>
          <w:numId w:val="9"/>
        </w:numPr>
      </w:pPr>
      <w:r>
        <w:rPr>
          <w:b/>
          <w:bCs/>
        </w:rPr>
        <w:t>kurt（峰度）</w:t>
      </w:r>
      <w:r>
        <w:t>：w=60 时均值 +0.73，COVID-19 期间峰值达 +19.43，准确捕捉了极端肥尾时期。</w:t>
      </w:r>
    </w:p>
    <w:p w14:paraId="05E6268C">
      <w:pPr>
        <w:pStyle w:val="34"/>
        <w:numPr>
          <w:ilvl w:val="0"/>
          <w:numId w:val="9"/>
        </w:numPr>
      </w:pPr>
      <w:r>
        <w:rPr>
          <w:b/>
          <w:bCs/>
        </w:rPr>
        <w:t>mean（均值）</w:t>
      </w:r>
      <w:r>
        <w:t>：均值特征相对稳定（w=60 σ=0.0014），但 COVID 期间骤降至 -0.0017，反映了系统性下跌。</w:t>
      </w:r>
    </w:p>
    <w:p w14:paraId="78DE8060">
      <w:pPr>
        <w:pStyle w:val="6"/>
      </w:pPr>
      <w:r>
        <w:rPr>
          <w:rFonts w:hint="eastAsia"/>
        </w:rPr>
        <w:t>5.2.6</w:t>
      </w:r>
      <w:r>
        <w:t xml:space="preserve"> 综合市场状态分布的</w:t>
      </w:r>
      <w:r>
        <w:rPr>
          <w:rFonts w:hint="eastAsia"/>
        </w:rPr>
        <w:t>统计</w:t>
      </w:r>
      <w:r>
        <w:t>特征</w:t>
      </w:r>
    </w:p>
    <w:p w14:paraId="058DA0F3">
      <w:r>
        <w:rPr>
          <w:rFonts w:hint="eastAsia"/>
        </w:rPr>
        <w:t>（1）</w:t>
      </w:r>
      <w:r>
        <w:t>特殊时期特征对比</w:t>
      </w:r>
    </w:p>
    <w:p w14:paraId="39E64999">
      <w:pPr>
        <w:ind w:firstLine="560" w:firstLineChars="200"/>
      </w:pPr>
      <w:r>
        <w:t>将全样本划分为"全样本（基准）""COVID-19冲击期""2022加息周期""2024政策驱动期"四个阶段，计算各阶段Barycenter四阶矩的均值，以条形图展示并标注具体数值</w:t>
      </w:r>
      <w:r>
        <w:rPr>
          <w:rFonts w:hint="eastAsia"/>
        </w:rPr>
        <w:t>，如</w:t>
      </w:r>
      <w:r>
        <w:fldChar w:fldCharType="begin"/>
      </w:r>
      <w:r>
        <w:instrText xml:space="preserve"> </w:instrText>
      </w:r>
      <w:r>
        <w:rPr>
          <w:rFonts w:hint="eastAsia"/>
        </w:rPr>
        <w:instrText xml:space="preserve">REF _Ref230357220 \h</w:instrText>
      </w:r>
      <w:r>
        <w:instrText xml:space="preserve"> </w:instrText>
      </w:r>
      <w:r>
        <w:fldChar w:fldCharType="separate"/>
      </w:r>
      <w:r>
        <w:rPr>
          <w:rFonts w:hint="eastAsia"/>
        </w:rPr>
        <w:t>图 9</w:t>
      </w:r>
      <w:r>
        <w:fldChar w:fldCharType="end"/>
      </w:r>
      <w:r>
        <w:rPr>
          <w:rFonts w:hint="eastAsia"/>
        </w:rPr>
        <w:t>：</w:t>
      </w:r>
    </w:p>
    <w:p w14:paraId="341342AC">
      <w:r>
        <w:drawing>
          <wp:inline distT="0" distB="0" distL="0" distR="0">
            <wp:extent cx="5274310" cy="3456940"/>
            <wp:effectExtent l="0" t="0" r="2540" b="0"/>
            <wp:docPr id="5095867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86701" name="图片 10"/>
                    <pic:cNvPicPr>
                      <a:picLocks noChangeAspect="1" noChangeArrowheads="1"/>
                    </pic:cNvPicPr>
                  </pic:nvPicPr>
                  <pic:blipFill>
                    <a:blip r:embed="rId114" cstate="print">
                      <a:extLst>
                        <a:ext uri="{28A0092B-C50C-407E-A947-70E740481C1C}">
                          <a14:useLocalDpi xmlns:a14="http://schemas.microsoft.com/office/drawing/2010/main" val="0"/>
                        </a:ext>
                      </a:extLst>
                    </a:blip>
                    <a:srcRect t="4405"/>
                    <a:stretch>
                      <a:fillRect/>
                    </a:stretch>
                  </pic:blipFill>
                  <pic:spPr>
                    <a:xfrm>
                      <a:off x="0" y="0"/>
                      <a:ext cx="5274310" cy="3456998"/>
                    </a:xfrm>
                    <a:prstGeom prst="rect">
                      <a:avLst/>
                    </a:prstGeom>
                    <a:noFill/>
                    <a:ln>
                      <a:noFill/>
                    </a:ln>
                  </pic:spPr>
                </pic:pic>
              </a:graphicData>
            </a:graphic>
          </wp:inline>
        </w:drawing>
      </w:r>
    </w:p>
    <w:p w14:paraId="345369CA">
      <w:pPr>
        <w:pStyle w:val="11"/>
        <w:jc w:val="center"/>
        <w:rPr>
          <w:rFonts w:hint="eastAsia"/>
        </w:rPr>
      </w:pPr>
      <w:bookmarkStart w:id="16" w:name="_Ref23035722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9</w:t>
      </w:r>
      <w:r>
        <w:fldChar w:fldCharType="end"/>
      </w:r>
      <w:bookmarkEnd w:id="16"/>
      <w:r>
        <w:t>不同时期的Barycenter四阶矩对比</w:t>
      </w:r>
    </w:p>
    <w:p w14:paraId="7E004227">
      <w:pPr>
        <w:ind w:firstLine="560" w:firstLineChars="200"/>
      </w:pPr>
      <w:r>
        <w:rPr>
          <w:rFonts w:hint="eastAsia"/>
        </w:rPr>
        <w:t>结果显示，</w:t>
      </w:r>
      <w:r>
        <w:t>COVID-19冲击期在所有四个维度上均呈现极端值——标准差0.031（全样本均值0.015的2.1倍）、偏度-0.942（全样本+0.122）、超额峰度+4.08（全样本+0.39的10.5倍）、均值-0.00169（全样本+0.00066，由正转负）。这四个维度的同步恶化构成了完整的"系统性危机画像"。2022年加息周期波动率与峰度虽有上升但幅度有限，且偏度接近零，属于"高波动但非极端"的市场状态。2024年政策驱动期波动率回落至0.015以下，偏度转为正值（+0.18），K=0.63，表明政策刺激有效地改善了市场尾部风险状况。</w:t>
      </w:r>
    </w:p>
    <w:p w14:paraId="1641C32E">
      <w:r>
        <w:rPr>
          <w:rFonts w:hint="eastAsia"/>
        </w:rPr>
        <w:t>（2）</w:t>
      </w:r>
      <w:r>
        <w:t>特征间相关性分析</w:t>
      </w:r>
    </w:p>
    <w:p w14:paraId="1CDBC0E6">
      <w:pPr>
        <w:ind w:firstLine="560" w:firstLineChars="200"/>
      </w:pPr>
      <w:r>
        <w:t>展示四个特征之间的相关结构，支撑多指标联合监测的必要性</w:t>
      </w:r>
      <w:r>
        <w:rPr>
          <w:rFonts w:hint="eastAsia"/>
        </w:rPr>
        <w:t>，</w:t>
      </w:r>
      <w:r>
        <w:t>计算Barycenter四个统计特征（均值、标准差、偏度、超额峰度）两两之间的Pearson相关系数，以热力图形式展示（RdBu_r配色，取值区间[-1,1]）</w:t>
      </w:r>
      <w:r>
        <w:rPr>
          <w:rFonts w:hint="eastAsia"/>
        </w:rPr>
        <w:t>，如</w:t>
      </w:r>
      <w:r>
        <w:fldChar w:fldCharType="begin"/>
      </w:r>
      <w:r>
        <w:instrText xml:space="preserve"> </w:instrText>
      </w:r>
      <w:r>
        <w:rPr>
          <w:rFonts w:hint="eastAsia"/>
        </w:rPr>
        <w:instrText xml:space="preserve">REF _Ref230357278 \h</w:instrText>
      </w:r>
      <w:r>
        <w:instrText xml:space="preserve"> </w:instrText>
      </w:r>
      <w:r>
        <w:fldChar w:fldCharType="separate"/>
      </w:r>
      <w:r>
        <w:rPr>
          <w:rFonts w:hint="eastAsia"/>
        </w:rPr>
        <w:t>图 10</w:t>
      </w:r>
      <w:r>
        <w:fldChar w:fldCharType="end"/>
      </w:r>
      <w:r>
        <w:rPr>
          <w:rFonts w:hint="eastAsia"/>
        </w:rPr>
        <w:t>：</w:t>
      </w:r>
    </w:p>
    <w:p w14:paraId="113FE5C7">
      <w:r>
        <w:drawing>
          <wp:inline distT="0" distB="0" distL="0" distR="0">
            <wp:extent cx="5274310" cy="4442460"/>
            <wp:effectExtent l="0" t="0" r="2540" b="0"/>
            <wp:docPr id="2143871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106" name="图片 11"/>
                    <pic:cNvPicPr>
                      <a:picLocks noChangeAspect="1" noChangeArrowheads="1"/>
                    </pic:cNvPicPr>
                  </pic:nvPicPr>
                  <pic:blipFill>
                    <a:blip r:embed="rId115">
                      <a:extLst>
                        <a:ext uri="{28A0092B-C50C-407E-A947-70E740481C1C}">
                          <a14:useLocalDpi xmlns:a14="http://schemas.microsoft.com/office/drawing/2010/main" val="0"/>
                        </a:ext>
                      </a:extLst>
                    </a:blip>
                    <a:srcRect t="5035"/>
                    <a:stretch>
                      <a:fillRect/>
                    </a:stretch>
                  </pic:blipFill>
                  <pic:spPr>
                    <a:xfrm>
                      <a:off x="0" y="0"/>
                      <a:ext cx="5274310" cy="4442460"/>
                    </a:xfrm>
                    <a:prstGeom prst="rect">
                      <a:avLst/>
                    </a:prstGeom>
                    <a:noFill/>
                    <a:ln>
                      <a:noFill/>
                    </a:ln>
                  </pic:spPr>
                </pic:pic>
              </a:graphicData>
            </a:graphic>
          </wp:inline>
        </w:drawing>
      </w:r>
    </w:p>
    <w:p w14:paraId="75C21A4C">
      <w:pPr>
        <w:pStyle w:val="11"/>
        <w:jc w:val="center"/>
        <w:rPr>
          <w:rFonts w:hint="eastAsia"/>
        </w:rPr>
      </w:pPr>
      <w:bookmarkStart w:id="17" w:name="_Ref23035727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10</w:t>
      </w:r>
      <w:r>
        <w:fldChar w:fldCharType="end"/>
      </w:r>
      <w:bookmarkEnd w:id="17"/>
      <w:r>
        <w:rPr>
          <w:rFonts w:hint="eastAsia"/>
        </w:rPr>
        <w:t xml:space="preserve"> </w:t>
      </w:r>
      <w:r>
        <w:t>Barycenter特征相关系数矩阵"</w:t>
      </w:r>
    </w:p>
    <w:p w14:paraId="4C75B54E">
      <w:pPr>
        <w:ind w:firstLine="560" w:firstLineChars="200"/>
      </w:pPr>
      <w:r>
        <w:rPr>
          <w:rFonts w:hint="eastAsia"/>
        </w:rPr>
        <w:t>其中，</w:t>
      </w:r>
      <w:r>
        <w:t>标准差与超额峰度呈现中等正相关（ρ≈0.6），符合金融风险</w:t>
      </w:r>
      <w:r>
        <w:rPr>
          <w:vertAlign w:val="superscript"/>
        </w:rPr>
        <w:fldChar w:fldCharType="begin"/>
      </w:r>
      <w:r>
        <w:rPr>
          <w:vertAlign w:val="superscript"/>
        </w:rPr>
        <w:instrText xml:space="preserve"> REF _Ref230504895 \r \h  \* MERGEFORMAT </w:instrText>
      </w:r>
      <w:r>
        <w:rPr>
          <w:vertAlign w:val="superscript"/>
        </w:rPr>
        <w:fldChar w:fldCharType="separate"/>
      </w:r>
      <w:r>
        <w:rPr>
          <w:vertAlign w:val="superscript"/>
        </w:rPr>
        <w:t>[2]</w:t>
      </w:r>
      <w:r>
        <w:rPr>
          <w:vertAlign w:val="superscript"/>
        </w:rPr>
        <w:fldChar w:fldCharType="end"/>
      </w:r>
      <w:r>
        <w:t>理论中的"波动率集聚"与"尾部风险联动"特征——当市场波动加剧时，极端收益发生的概率同步增大。偏度与峰度呈负相关（ρ≈-0.5），说明左偏越严重时尾部越厚，即下行风险与尾部风险具有伴生性。均值与其他特征的相关性均较弱，表明一阶矩与高阶矩包含相对独立的市场信息。这一分析建议在构建风险监测体系时，应将波动率与峰度联合使用，而非依赖单一指标。</w:t>
      </w:r>
    </w:p>
    <w:p w14:paraId="10EA9602">
      <w:pPr>
        <w:pStyle w:val="5"/>
      </w:pPr>
      <w:r>
        <w:rPr>
          <w:rFonts w:hint="eastAsia"/>
        </w:rPr>
        <w:t>5.2.7</w:t>
      </w:r>
      <w:r>
        <w:t>尾部风险预警</w:t>
      </w:r>
    </w:p>
    <w:p w14:paraId="696DF01C">
      <w:pPr>
        <w:ind w:firstLine="560" w:firstLineChars="200"/>
      </w:pPr>
      <w:r>
        <w:rPr>
          <w:rFonts w:hint="eastAsia"/>
        </w:rPr>
        <w:t>为了</w:t>
      </w:r>
      <w:r>
        <w:t>展示峰度作为尾部风险指标的识别能力</w:t>
      </w:r>
      <w:r>
        <w:rPr>
          <w:rFonts w:hint="eastAsia"/>
        </w:rPr>
        <w:t>，</w:t>
      </w:r>
      <w:r>
        <w:t>绘制Barycenter超额峰度的时间序列，以红色散点标注K&gt;3的日期，并添加K=0和K=3两条参考线</w:t>
      </w:r>
      <w:r>
        <w:rPr>
          <w:rFonts w:hint="eastAsia"/>
        </w:rPr>
        <w:t>，如</w:t>
      </w:r>
      <w:r>
        <w:fldChar w:fldCharType="begin"/>
      </w:r>
      <w:r>
        <w:instrText xml:space="preserve"> </w:instrText>
      </w:r>
      <w:r>
        <w:rPr>
          <w:rFonts w:hint="eastAsia"/>
        </w:rPr>
        <w:instrText xml:space="preserve">REF _Ref230357380 \h</w:instrText>
      </w:r>
      <w:r>
        <w:instrText xml:space="preserve"> </w:instrText>
      </w:r>
      <w:r>
        <w:fldChar w:fldCharType="separate"/>
      </w:r>
      <w:r>
        <w:rPr>
          <w:rFonts w:hint="eastAsia"/>
        </w:rPr>
        <w:t>图 11</w:t>
      </w:r>
      <w:r>
        <w:fldChar w:fldCharType="end"/>
      </w:r>
      <w:r>
        <w:rPr>
          <w:rFonts w:hint="eastAsia"/>
        </w:rPr>
        <w:t>：</w:t>
      </w:r>
    </w:p>
    <w:p w14:paraId="63318D29">
      <w:r>
        <w:drawing>
          <wp:inline distT="0" distB="0" distL="0" distR="0">
            <wp:extent cx="5274310" cy="1744980"/>
            <wp:effectExtent l="0" t="0" r="2540" b="7620"/>
            <wp:docPr id="1611088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8845" name="图片 12"/>
                    <pic:cNvPicPr>
                      <a:picLocks noChangeAspect="1" noChangeArrowheads="1"/>
                    </pic:cNvPicPr>
                  </pic:nvPicPr>
                  <pic:blipFill>
                    <a:blip r:embed="rId116" cstate="print">
                      <a:extLst>
                        <a:ext uri="{28A0092B-C50C-407E-A947-70E740481C1C}">
                          <a14:useLocalDpi xmlns:a14="http://schemas.microsoft.com/office/drawing/2010/main" val="0"/>
                        </a:ext>
                      </a:extLst>
                    </a:blip>
                    <a:srcRect t="5971"/>
                    <a:stretch>
                      <a:fillRect/>
                    </a:stretch>
                  </pic:blipFill>
                  <pic:spPr>
                    <a:xfrm>
                      <a:off x="0" y="0"/>
                      <a:ext cx="5274310" cy="1744980"/>
                    </a:xfrm>
                    <a:prstGeom prst="rect">
                      <a:avLst/>
                    </a:prstGeom>
                    <a:noFill/>
                    <a:ln>
                      <a:noFill/>
                    </a:ln>
                  </pic:spPr>
                </pic:pic>
              </a:graphicData>
            </a:graphic>
          </wp:inline>
        </w:drawing>
      </w:r>
    </w:p>
    <w:p w14:paraId="7C5F1624">
      <w:pPr>
        <w:pStyle w:val="11"/>
        <w:jc w:val="center"/>
        <w:rPr>
          <w:rFonts w:hint="eastAsia"/>
        </w:rPr>
      </w:pPr>
      <w:bookmarkStart w:id="18" w:name="_Ref23035738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11</w:t>
      </w:r>
      <w:r>
        <w:fldChar w:fldCharType="end"/>
      </w:r>
      <w:bookmarkEnd w:id="18"/>
      <w:r>
        <w:t>超额峰度时间序列与尾部风险预警"</w:t>
      </w:r>
    </w:p>
    <w:p w14:paraId="361BBDA4">
      <w:pPr>
        <w:ind w:firstLine="560" w:firstLineChars="200"/>
      </w:pPr>
      <w:r>
        <w:t>超额峰度K&gt;3的日期高度集中在2020年3月（COVID-19暴跌期），少量出现在2016年初（A股熔断），其他时期K均远低于3这一阈值。这一模式表明，超额峰度是区分"正常市场状态"与"极端尾部风险状态"的最为清晰的指标——与标准差相比，峰度的"双峰分布"特征更加鲜明（正常期集中在0-2区间，危机期跳升至3以上），不存在过渡区间。基于此可设定K&gt;3为尾部风险预警的触发阈值，构建实时监测系统，当综合市场分布的峰度超过这一阈值时自动触发风险警报机制。</w:t>
      </w:r>
    </w:p>
    <w:p w14:paraId="6191E777">
      <w:pPr>
        <w:pStyle w:val="5"/>
      </w:pPr>
      <w:r>
        <w:rPr>
          <w:rFonts w:hint="eastAsia"/>
        </w:rPr>
        <w:t>5.2.8</w:t>
      </w:r>
      <w:r>
        <w:t>市场状态聚类分析</w:t>
      </w:r>
    </w:p>
    <w:p w14:paraId="557D1F59">
      <w:pPr>
        <w:ind w:firstLine="560" w:firstLineChars="200"/>
      </w:pPr>
      <w:r>
        <w:t>构建四个二维散点子图——（σ, Skew）、（σ, Kurt）、（μ, σ）、（Skew, Kurt），每个数据点对应一个时点的Barycenter特征组合，颜色从深到浅表示时间递进，并用不同标记标注COVID-19、2022加息、2024政策三个特殊时期</w:t>
      </w:r>
      <w:r>
        <w:rPr>
          <w:rFonts w:hint="eastAsia"/>
        </w:rPr>
        <w:t>，如</w:t>
      </w:r>
      <w:r>
        <w:fldChar w:fldCharType="begin"/>
      </w:r>
      <w:r>
        <w:instrText xml:space="preserve"> </w:instrText>
      </w:r>
      <w:r>
        <w:rPr>
          <w:rFonts w:hint="eastAsia"/>
        </w:rPr>
        <w:instrText xml:space="preserve">REF _Ref230357407 \h</w:instrText>
      </w:r>
      <w:r>
        <w:instrText xml:space="preserve"> </w:instrText>
      </w:r>
      <w:r>
        <w:fldChar w:fldCharType="separate"/>
      </w:r>
      <w:r>
        <w:rPr>
          <w:rFonts w:hint="eastAsia"/>
        </w:rPr>
        <w:t>图 12</w:t>
      </w:r>
      <w:r>
        <w:fldChar w:fldCharType="end"/>
      </w:r>
      <w:r>
        <w:rPr>
          <w:rFonts w:hint="eastAsia"/>
        </w:rPr>
        <w:t>：</w:t>
      </w:r>
    </w:p>
    <w:p w14:paraId="13016766">
      <w:r>
        <w:drawing>
          <wp:inline distT="0" distB="0" distL="0" distR="0">
            <wp:extent cx="5274310" cy="3721100"/>
            <wp:effectExtent l="0" t="0" r="2540" b="0"/>
            <wp:docPr id="20295497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9710" name="图片 13"/>
                    <pic:cNvPicPr>
                      <a:picLocks noChangeAspect="1" noChangeArrowheads="1"/>
                    </pic:cNvPicPr>
                  </pic:nvPicPr>
                  <pic:blipFill>
                    <a:blip r:embed="rId117" cstate="print">
                      <a:extLst>
                        <a:ext uri="{28A0092B-C50C-407E-A947-70E740481C1C}">
                          <a14:useLocalDpi xmlns:a14="http://schemas.microsoft.com/office/drawing/2010/main" val="0"/>
                        </a:ext>
                      </a:extLst>
                    </a:blip>
                    <a:srcRect t="5621"/>
                    <a:stretch>
                      <a:fillRect/>
                    </a:stretch>
                  </pic:blipFill>
                  <pic:spPr>
                    <a:xfrm>
                      <a:off x="0" y="0"/>
                      <a:ext cx="5274310" cy="3721100"/>
                    </a:xfrm>
                    <a:prstGeom prst="rect">
                      <a:avLst/>
                    </a:prstGeom>
                    <a:noFill/>
                    <a:ln>
                      <a:noFill/>
                    </a:ln>
                  </pic:spPr>
                </pic:pic>
              </a:graphicData>
            </a:graphic>
          </wp:inline>
        </w:drawing>
      </w:r>
    </w:p>
    <w:p w14:paraId="5E7AC9DD">
      <w:pPr>
        <w:pStyle w:val="11"/>
        <w:jc w:val="center"/>
        <w:rPr>
          <w:rFonts w:hint="eastAsia"/>
        </w:rPr>
      </w:pPr>
      <w:bookmarkStart w:id="19" w:name="_Ref23035740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12</w:t>
      </w:r>
      <w:r>
        <w:fldChar w:fldCharType="end"/>
      </w:r>
      <w:bookmarkEnd w:id="19"/>
      <w:r>
        <w:t>综合市场状态二维特征演化轨迹"</w:t>
      </w:r>
    </w:p>
    <w:p w14:paraId="4C48E5E1">
      <w:pPr>
        <w:ind w:firstLine="560" w:firstLineChars="200"/>
      </w:pPr>
      <w:r>
        <w:t>（σ, Skew）子图显示，正常时期的样本点聚集在σ&lt;0.02且Skew</w:t>
      </w:r>
      <w:r>
        <w:rPr>
          <w:rFonts w:ascii="Cambria Math" w:hAnsi="Cambria Math" w:cs="Cambria Math"/>
        </w:rPr>
        <w:t>∈</w:t>
      </w:r>
      <w:r>
        <w:t>[-0.5,0.5]的区域内，而COVID时期样本点向右上方跳跃至σ&gt;0.03且Skew&lt;-1，形成了明显的"危机簇"与"正常簇"的可分性。（σ, Kurt）子图中，COVID时期的峰度值急剧增大至5以上，与正常期形成了更大的空间分离。这种二维特征空间中的聚类效应表明，综合市场状态的四维特征向量可以作为市场状态分类器的有效输入。特别地，（Skew, Kurt）组合构成了最具判别力的二维子空间——正常与危机两种状态在该平面上几乎完全分离，为进一步构建隐马尔可夫模型（HMM）或阈值规则分类器提供了理论依据。</w:t>
      </w:r>
    </w:p>
    <w:p w14:paraId="69617C08">
      <w:pPr>
        <w:pStyle w:val="5"/>
      </w:pPr>
      <w:r>
        <w:rPr>
          <w:rFonts w:hint="eastAsia"/>
        </w:rPr>
        <w:t>5.2.9</w:t>
      </w:r>
      <w:r>
        <w:t>稳定性检验</w:t>
      </w:r>
    </w:p>
    <w:p w14:paraId="5BE0416E">
      <w:pPr>
        <w:widowControl/>
        <w:spacing w:before="100" w:beforeAutospacing="1" w:after="100" w:afterAutospacing="1" w:line="240" w:lineRule="auto"/>
        <w:jc w:val="left"/>
        <w:outlineLvl w:val="2"/>
        <w:rPr>
          <w:rFonts w:hint="eastAsia" w:ascii="宋体" w:hAnsi="宋体" w:cs="宋体"/>
          <w:b/>
          <w:bCs/>
          <w:color w:val="auto"/>
          <w:kern w:val="0"/>
          <w:sz w:val="27"/>
          <w:szCs w:val="27"/>
        </w:rPr>
      </w:pPr>
      <w:r>
        <w:rPr>
          <w:rFonts w:hint="eastAsia" w:ascii="宋体" w:hAnsi="宋体" w:cs="宋体"/>
          <w:b/>
          <w:bCs/>
          <w:color w:val="auto"/>
          <w:kern w:val="0"/>
          <w:sz w:val="27"/>
          <w:szCs w:val="27"/>
        </w:rPr>
        <w:t>(1)</w:t>
      </w:r>
      <w:r>
        <w:rPr>
          <w:rFonts w:ascii="宋体" w:hAnsi="宋体" w:cs="宋体"/>
          <w:b/>
          <w:bCs/>
          <w:color w:val="auto"/>
          <w:kern w:val="0"/>
          <w:sz w:val="27"/>
          <w:szCs w:val="27"/>
        </w:rPr>
        <w:t>权重敏感性</w:t>
      </w:r>
    </w:p>
    <w:tbl>
      <w:tblPr>
        <w:tblStyle w:val="41"/>
        <w:tblW w:w="840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8"/>
        <w:gridCol w:w="1776"/>
        <w:gridCol w:w="1583"/>
        <w:gridCol w:w="1265"/>
        <w:gridCol w:w="1095"/>
      </w:tblGrid>
      <w:tr w14:paraId="590F36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0" w:type="auto"/>
            <w:tcBorders>
              <w:bottom w:val="single" w:color="auto" w:sz="6" w:space="0"/>
            </w:tcBorders>
            <w:vAlign w:val="center"/>
          </w:tcPr>
          <w:p w14:paraId="453B02D6">
            <w:pPr>
              <w:pStyle w:val="43"/>
              <w:jc w:val="center"/>
            </w:pPr>
            <w:r>
              <w:t>权重方案</w:t>
            </w:r>
          </w:p>
        </w:tc>
        <w:tc>
          <w:tcPr>
            <w:tcW w:w="0" w:type="auto"/>
            <w:tcBorders>
              <w:bottom w:val="single" w:color="auto" w:sz="6" w:space="0"/>
            </w:tcBorders>
            <w:vAlign w:val="center"/>
          </w:tcPr>
          <w:p w14:paraId="03E89879">
            <w:pPr>
              <w:pStyle w:val="43"/>
              <w:jc w:val="center"/>
            </w:pPr>
            <w:r>
              <w:t>mean</w:t>
            </w:r>
          </w:p>
        </w:tc>
        <w:tc>
          <w:tcPr>
            <w:tcW w:w="0" w:type="auto"/>
            <w:tcBorders>
              <w:bottom w:val="single" w:color="auto" w:sz="6" w:space="0"/>
            </w:tcBorders>
            <w:vAlign w:val="center"/>
          </w:tcPr>
          <w:p w14:paraId="0D2E0D70">
            <w:pPr>
              <w:pStyle w:val="43"/>
              <w:jc w:val="center"/>
            </w:pPr>
            <w:r>
              <w:t>std</w:t>
            </w:r>
          </w:p>
        </w:tc>
        <w:tc>
          <w:tcPr>
            <w:tcW w:w="0" w:type="auto"/>
            <w:tcBorders>
              <w:bottom w:val="single" w:color="auto" w:sz="6" w:space="0"/>
            </w:tcBorders>
            <w:vAlign w:val="center"/>
          </w:tcPr>
          <w:p w14:paraId="3AC62CFF">
            <w:pPr>
              <w:pStyle w:val="43"/>
              <w:jc w:val="center"/>
            </w:pPr>
            <w:r>
              <w:t>skew</w:t>
            </w:r>
          </w:p>
        </w:tc>
        <w:tc>
          <w:tcPr>
            <w:tcW w:w="0" w:type="auto"/>
            <w:tcBorders>
              <w:bottom w:val="single" w:color="auto" w:sz="6" w:space="0"/>
            </w:tcBorders>
            <w:vAlign w:val="center"/>
          </w:tcPr>
          <w:p w14:paraId="5FB90C06">
            <w:pPr>
              <w:pStyle w:val="43"/>
              <w:jc w:val="center"/>
            </w:pPr>
            <w:r>
              <w:t>kurt</w:t>
            </w:r>
          </w:p>
        </w:tc>
      </w:tr>
      <w:tr w14:paraId="5399CB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jc w:val="center"/>
        </w:trPr>
        <w:tc>
          <w:tcPr>
            <w:tcW w:w="0" w:type="auto"/>
            <w:tcBorders>
              <w:top w:val="single" w:color="auto" w:sz="6" w:space="0"/>
            </w:tcBorders>
            <w:vAlign w:val="center"/>
          </w:tcPr>
          <w:p w14:paraId="37B4EF52">
            <w:pPr>
              <w:pStyle w:val="43"/>
              <w:jc w:val="center"/>
            </w:pPr>
            <w:r>
              <w:t>等权重（基准）</w:t>
            </w:r>
          </w:p>
        </w:tc>
        <w:tc>
          <w:tcPr>
            <w:tcW w:w="0" w:type="auto"/>
            <w:tcBorders>
              <w:top w:val="single" w:color="auto" w:sz="6" w:space="0"/>
            </w:tcBorders>
            <w:vAlign w:val="center"/>
          </w:tcPr>
          <w:p w14:paraId="334DE8C4">
            <w:pPr>
              <w:pStyle w:val="43"/>
              <w:jc w:val="center"/>
            </w:pPr>
            <w:r>
              <w:t>+0.000659</w:t>
            </w:r>
          </w:p>
        </w:tc>
        <w:tc>
          <w:tcPr>
            <w:tcW w:w="0" w:type="auto"/>
            <w:tcBorders>
              <w:top w:val="single" w:color="auto" w:sz="6" w:space="0"/>
            </w:tcBorders>
            <w:vAlign w:val="center"/>
          </w:tcPr>
          <w:p w14:paraId="4EE78816">
            <w:pPr>
              <w:pStyle w:val="43"/>
              <w:jc w:val="center"/>
            </w:pPr>
            <w:r>
              <w:t>0.015185</w:t>
            </w:r>
          </w:p>
        </w:tc>
        <w:tc>
          <w:tcPr>
            <w:tcW w:w="0" w:type="auto"/>
            <w:tcBorders>
              <w:top w:val="single" w:color="auto" w:sz="6" w:space="0"/>
            </w:tcBorders>
            <w:vAlign w:val="center"/>
          </w:tcPr>
          <w:p w14:paraId="235C8883">
            <w:pPr>
              <w:pStyle w:val="43"/>
              <w:jc w:val="center"/>
            </w:pPr>
            <w:r>
              <w:t>+0.122</w:t>
            </w:r>
          </w:p>
        </w:tc>
        <w:tc>
          <w:tcPr>
            <w:tcW w:w="0" w:type="auto"/>
            <w:tcBorders>
              <w:top w:val="single" w:color="auto" w:sz="6" w:space="0"/>
            </w:tcBorders>
            <w:vAlign w:val="center"/>
          </w:tcPr>
          <w:p w14:paraId="2FEDDF3C">
            <w:pPr>
              <w:pStyle w:val="43"/>
              <w:jc w:val="center"/>
            </w:pPr>
            <w:r>
              <w:t>+0.39</w:t>
            </w:r>
          </w:p>
        </w:tc>
      </w:tr>
      <w:tr w14:paraId="1EAA4B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jc w:val="center"/>
        </w:trPr>
        <w:tc>
          <w:tcPr>
            <w:tcW w:w="0" w:type="auto"/>
            <w:vAlign w:val="center"/>
          </w:tcPr>
          <w:p w14:paraId="4E2F2A5D">
            <w:pPr>
              <w:pStyle w:val="43"/>
              <w:jc w:val="center"/>
            </w:pPr>
            <w:r>
              <w:t>CSI300 主导</w:t>
            </w:r>
          </w:p>
        </w:tc>
        <w:tc>
          <w:tcPr>
            <w:tcW w:w="0" w:type="auto"/>
            <w:vAlign w:val="center"/>
          </w:tcPr>
          <w:p w14:paraId="02791166">
            <w:pPr>
              <w:pStyle w:val="43"/>
              <w:jc w:val="center"/>
            </w:pPr>
            <w:r>
              <w:t>+0.000841</w:t>
            </w:r>
          </w:p>
        </w:tc>
        <w:tc>
          <w:tcPr>
            <w:tcW w:w="0" w:type="auto"/>
            <w:vAlign w:val="center"/>
          </w:tcPr>
          <w:p w14:paraId="799D20D6">
            <w:pPr>
              <w:pStyle w:val="43"/>
              <w:jc w:val="center"/>
            </w:pPr>
            <w:r>
              <w:t>0.013740</w:t>
            </w:r>
          </w:p>
        </w:tc>
        <w:tc>
          <w:tcPr>
            <w:tcW w:w="0" w:type="auto"/>
            <w:vAlign w:val="center"/>
          </w:tcPr>
          <w:p w14:paraId="1C01A716">
            <w:pPr>
              <w:pStyle w:val="43"/>
              <w:jc w:val="center"/>
            </w:pPr>
            <w:r>
              <w:t>+0.193</w:t>
            </w:r>
          </w:p>
        </w:tc>
        <w:tc>
          <w:tcPr>
            <w:tcW w:w="0" w:type="auto"/>
            <w:vAlign w:val="center"/>
          </w:tcPr>
          <w:p w14:paraId="0673AC6B">
            <w:pPr>
              <w:pStyle w:val="43"/>
              <w:jc w:val="center"/>
            </w:pPr>
            <w:r>
              <w:t>+0.65</w:t>
            </w:r>
          </w:p>
        </w:tc>
      </w:tr>
      <w:tr w14:paraId="269FC1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jc w:val="center"/>
        </w:trPr>
        <w:tc>
          <w:tcPr>
            <w:tcW w:w="0" w:type="auto"/>
            <w:vAlign w:val="center"/>
          </w:tcPr>
          <w:p w14:paraId="062EBE41">
            <w:pPr>
              <w:pStyle w:val="43"/>
              <w:jc w:val="center"/>
            </w:pPr>
            <w:r>
              <w:t>CrudeOil 主导</w:t>
            </w:r>
          </w:p>
        </w:tc>
        <w:tc>
          <w:tcPr>
            <w:tcW w:w="0" w:type="auto"/>
            <w:vAlign w:val="center"/>
          </w:tcPr>
          <w:p w14:paraId="4A457537">
            <w:pPr>
              <w:pStyle w:val="43"/>
              <w:jc w:val="center"/>
            </w:pPr>
            <w:r>
              <w:t>+0.000360</w:t>
            </w:r>
          </w:p>
        </w:tc>
        <w:tc>
          <w:tcPr>
            <w:tcW w:w="0" w:type="auto"/>
            <w:vAlign w:val="center"/>
          </w:tcPr>
          <w:p w14:paraId="65AEA242">
            <w:pPr>
              <w:pStyle w:val="43"/>
              <w:jc w:val="center"/>
            </w:pPr>
            <w:r>
              <w:t>0.017788</w:t>
            </w:r>
          </w:p>
        </w:tc>
        <w:tc>
          <w:tcPr>
            <w:tcW w:w="0" w:type="auto"/>
            <w:vAlign w:val="center"/>
          </w:tcPr>
          <w:p w14:paraId="7793B1AA">
            <w:pPr>
              <w:pStyle w:val="43"/>
              <w:jc w:val="center"/>
            </w:pPr>
            <w:r>
              <w:t>-0.010</w:t>
            </w:r>
          </w:p>
        </w:tc>
        <w:tc>
          <w:tcPr>
            <w:tcW w:w="0" w:type="auto"/>
            <w:vAlign w:val="center"/>
          </w:tcPr>
          <w:p w14:paraId="7813B1FA">
            <w:pPr>
              <w:pStyle w:val="43"/>
              <w:jc w:val="center"/>
            </w:pPr>
            <w:r>
              <w:t>+0.10</w:t>
            </w:r>
          </w:p>
        </w:tc>
      </w:tr>
      <w:tr w14:paraId="4791B4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jc w:val="center"/>
        </w:trPr>
        <w:tc>
          <w:tcPr>
            <w:tcW w:w="0" w:type="auto"/>
            <w:vAlign w:val="center"/>
          </w:tcPr>
          <w:p w14:paraId="59C87095">
            <w:pPr>
              <w:pStyle w:val="43"/>
              <w:jc w:val="center"/>
            </w:pPr>
            <w:r>
              <w:t>波动率倒数加权</w:t>
            </w:r>
          </w:p>
        </w:tc>
        <w:tc>
          <w:tcPr>
            <w:tcW w:w="0" w:type="auto"/>
            <w:vAlign w:val="center"/>
          </w:tcPr>
          <w:p w14:paraId="7993DF63">
            <w:pPr>
              <w:pStyle w:val="43"/>
              <w:jc w:val="center"/>
            </w:pPr>
            <w:r>
              <w:t>+0.000950</w:t>
            </w:r>
          </w:p>
        </w:tc>
        <w:tc>
          <w:tcPr>
            <w:tcW w:w="0" w:type="auto"/>
            <w:vAlign w:val="center"/>
          </w:tcPr>
          <w:p w14:paraId="38EDE24F">
            <w:pPr>
              <w:pStyle w:val="43"/>
              <w:jc w:val="center"/>
            </w:pPr>
            <w:r>
              <w:t>0.012707</w:t>
            </w:r>
          </w:p>
        </w:tc>
        <w:tc>
          <w:tcPr>
            <w:tcW w:w="0" w:type="auto"/>
            <w:vAlign w:val="center"/>
          </w:tcPr>
          <w:p w14:paraId="190FC898">
            <w:pPr>
              <w:pStyle w:val="43"/>
              <w:jc w:val="center"/>
            </w:pPr>
            <w:r>
              <w:t>+0.317</w:t>
            </w:r>
          </w:p>
        </w:tc>
        <w:tc>
          <w:tcPr>
            <w:tcW w:w="0" w:type="auto"/>
            <w:vAlign w:val="center"/>
          </w:tcPr>
          <w:p w14:paraId="0D8F252C">
            <w:pPr>
              <w:pStyle w:val="43"/>
              <w:jc w:val="center"/>
            </w:pPr>
            <w:r>
              <w:t>+0.89</w:t>
            </w:r>
          </w:p>
        </w:tc>
      </w:tr>
    </w:tbl>
    <w:p w14:paraId="3BB5DB06">
      <w:pPr>
        <w:ind w:firstLine="560" w:firstLineChars="200"/>
      </w:pPr>
      <w:r>
        <w:t>结果显示，权重选择对重心分布有可量化影响——给原油更高权重会提升 std 和左偏程度。使用等权重方案，是无偏、可解释</w:t>
      </w:r>
      <w:r>
        <w:rPr>
          <w:rFonts w:hint="eastAsia"/>
        </w:rPr>
        <w:t>的</w:t>
      </w:r>
      <w:r>
        <w:t>、且与其它方案结果一致（定性结论不变）。</w:t>
      </w:r>
    </w:p>
    <w:p w14:paraId="4AA04FC5">
      <w:pPr>
        <w:widowControl/>
        <w:spacing w:before="100" w:beforeAutospacing="1" w:after="100" w:afterAutospacing="1" w:line="240" w:lineRule="auto"/>
        <w:jc w:val="left"/>
        <w:outlineLvl w:val="2"/>
        <w:rPr>
          <w:rFonts w:hint="eastAsia" w:ascii="宋体" w:hAnsi="宋体" w:cs="宋体"/>
          <w:b/>
          <w:bCs/>
          <w:color w:val="auto"/>
          <w:kern w:val="0"/>
          <w:sz w:val="27"/>
          <w:szCs w:val="27"/>
        </w:rPr>
      </w:pPr>
      <w:r>
        <w:rPr>
          <w:rFonts w:hint="eastAsia" w:ascii="宋体" w:hAnsi="宋体" w:cs="宋体"/>
          <w:b/>
          <w:bCs/>
          <w:color w:val="auto"/>
          <w:kern w:val="0"/>
          <w:sz w:val="27"/>
          <w:szCs w:val="27"/>
        </w:rPr>
        <w:t>(2)</w:t>
      </w:r>
      <w:r>
        <w:rPr>
          <w:rFonts w:ascii="宋体" w:hAnsi="宋体" w:cs="宋体"/>
          <w:b/>
          <w:bCs/>
          <w:color w:val="auto"/>
          <w:kern w:val="0"/>
          <w:sz w:val="27"/>
          <w:szCs w:val="27"/>
        </w:rPr>
        <w:t>网格敏感性</w:t>
      </w:r>
    </w:p>
    <w:tbl>
      <w:tblPr>
        <w:tblStyle w:val="41"/>
        <w:tblW w:w="852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8"/>
        <w:gridCol w:w="1857"/>
        <w:gridCol w:w="1655"/>
        <w:gridCol w:w="1323"/>
        <w:gridCol w:w="1408"/>
      </w:tblGrid>
      <w:tr w14:paraId="4C884D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0" w:type="auto"/>
            <w:tcBorders>
              <w:bottom w:val="single" w:color="auto" w:sz="6" w:space="0"/>
            </w:tcBorders>
            <w:vAlign w:val="center"/>
          </w:tcPr>
          <w:p w14:paraId="03210333">
            <w:pPr>
              <w:pStyle w:val="43"/>
              <w:jc w:val="center"/>
            </w:pPr>
            <w:r>
              <w:t>N_grid</w:t>
            </w:r>
          </w:p>
        </w:tc>
        <w:tc>
          <w:tcPr>
            <w:tcW w:w="0" w:type="auto"/>
            <w:tcBorders>
              <w:bottom w:val="single" w:color="auto" w:sz="6" w:space="0"/>
            </w:tcBorders>
            <w:vAlign w:val="center"/>
          </w:tcPr>
          <w:p w14:paraId="24846BB5">
            <w:pPr>
              <w:pStyle w:val="43"/>
              <w:jc w:val="center"/>
            </w:pPr>
            <w:r>
              <w:t>mean</w:t>
            </w:r>
          </w:p>
        </w:tc>
        <w:tc>
          <w:tcPr>
            <w:tcW w:w="0" w:type="auto"/>
            <w:tcBorders>
              <w:bottom w:val="single" w:color="auto" w:sz="6" w:space="0"/>
            </w:tcBorders>
            <w:vAlign w:val="center"/>
          </w:tcPr>
          <w:p w14:paraId="0724D0BB">
            <w:pPr>
              <w:pStyle w:val="43"/>
              <w:jc w:val="center"/>
            </w:pPr>
            <w:r>
              <w:t>std</w:t>
            </w:r>
          </w:p>
        </w:tc>
        <w:tc>
          <w:tcPr>
            <w:tcW w:w="0" w:type="auto"/>
            <w:tcBorders>
              <w:bottom w:val="single" w:color="auto" w:sz="6" w:space="0"/>
            </w:tcBorders>
            <w:vAlign w:val="center"/>
          </w:tcPr>
          <w:p w14:paraId="2A685579">
            <w:pPr>
              <w:pStyle w:val="43"/>
              <w:jc w:val="center"/>
            </w:pPr>
            <w:r>
              <w:t>skew</w:t>
            </w:r>
          </w:p>
        </w:tc>
        <w:tc>
          <w:tcPr>
            <w:tcW w:w="1409" w:type="dxa"/>
            <w:tcBorders>
              <w:bottom w:val="single" w:color="auto" w:sz="6" w:space="0"/>
            </w:tcBorders>
            <w:vAlign w:val="center"/>
          </w:tcPr>
          <w:p w14:paraId="7FA3DDFE">
            <w:pPr>
              <w:pStyle w:val="43"/>
              <w:jc w:val="center"/>
            </w:pPr>
            <w:r>
              <w:t>kurt</w:t>
            </w:r>
          </w:p>
        </w:tc>
      </w:tr>
      <w:tr w14:paraId="374B92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0" w:type="auto"/>
            <w:tcBorders>
              <w:top w:val="single" w:color="auto" w:sz="6" w:space="0"/>
            </w:tcBorders>
            <w:vAlign w:val="center"/>
          </w:tcPr>
          <w:p w14:paraId="241A2373">
            <w:pPr>
              <w:pStyle w:val="43"/>
              <w:jc w:val="center"/>
            </w:pPr>
            <w:r>
              <w:t>50</w:t>
            </w:r>
          </w:p>
        </w:tc>
        <w:tc>
          <w:tcPr>
            <w:tcW w:w="0" w:type="auto"/>
            <w:tcBorders>
              <w:top w:val="single" w:color="auto" w:sz="6" w:space="0"/>
            </w:tcBorders>
            <w:vAlign w:val="center"/>
          </w:tcPr>
          <w:p w14:paraId="19CEAE93">
            <w:pPr>
              <w:pStyle w:val="43"/>
              <w:jc w:val="center"/>
            </w:pPr>
            <w:r>
              <w:t>+0.000587</w:t>
            </w:r>
          </w:p>
        </w:tc>
        <w:tc>
          <w:tcPr>
            <w:tcW w:w="0" w:type="auto"/>
            <w:tcBorders>
              <w:top w:val="single" w:color="auto" w:sz="6" w:space="0"/>
            </w:tcBorders>
            <w:vAlign w:val="center"/>
          </w:tcPr>
          <w:p w14:paraId="290BEEEF">
            <w:pPr>
              <w:pStyle w:val="43"/>
              <w:jc w:val="center"/>
            </w:pPr>
            <w:r>
              <w:t>0.013522</w:t>
            </w:r>
          </w:p>
        </w:tc>
        <w:tc>
          <w:tcPr>
            <w:tcW w:w="0" w:type="auto"/>
            <w:tcBorders>
              <w:top w:val="single" w:color="auto" w:sz="6" w:space="0"/>
            </w:tcBorders>
            <w:vAlign w:val="center"/>
          </w:tcPr>
          <w:p w14:paraId="49D9FCC6">
            <w:pPr>
              <w:pStyle w:val="43"/>
              <w:jc w:val="center"/>
            </w:pPr>
            <w:r>
              <w:t>+0.083</w:t>
            </w:r>
          </w:p>
        </w:tc>
        <w:tc>
          <w:tcPr>
            <w:tcW w:w="1409" w:type="dxa"/>
            <w:tcBorders>
              <w:top w:val="single" w:color="auto" w:sz="6" w:space="0"/>
            </w:tcBorders>
            <w:vAlign w:val="center"/>
          </w:tcPr>
          <w:p w14:paraId="4AC30960">
            <w:pPr>
              <w:pStyle w:val="43"/>
              <w:jc w:val="center"/>
            </w:pPr>
            <w:r>
              <w:t>-0.05</w:t>
            </w:r>
          </w:p>
        </w:tc>
      </w:tr>
      <w:tr w14:paraId="4710C6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0" w:type="auto"/>
            <w:vAlign w:val="center"/>
          </w:tcPr>
          <w:p w14:paraId="69489DCB">
            <w:pPr>
              <w:pStyle w:val="43"/>
              <w:jc w:val="center"/>
            </w:pPr>
            <w:r>
              <w:t>100</w:t>
            </w:r>
          </w:p>
        </w:tc>
        <w:tc>
          <w:tcPr>
            <w:tcW w:w="0" w:type="auto"/>
            <w:vAlign w:val="center"/>
          </w:tcPr>
          <w:p w14:paraId="21DA65BD">
            <w:pPr>
              <w:pStyle w:val="43"/>
              <w:jc w:val="center"/>
            </w:pPr>
            <w:r>
              <w:t>+0.000634</w:t>
            </w:r>
          </w:p>
        </w:tc>
        <w:tc>
          <w:tcPr>
            <w:tcW w:w="0" w:type="auto"/>
            <w:vAlign w:val="center"/>
          </w:tcPr>
          <w:p w14:paraId="527DDA34">
            <w:pPr>
              <w:pStyle w:val="43"/>
              <w:jc w:val="center"/>
            </w:pPr>
            <w:r>
              <w:t>0.014535</w:t>
            </w:r>
          </w:p>
        </w:tc>
        <w:tc>
          <w:tcPr>
            <w:tcW w:w="0" w:type="auto"/>
            <w:vAlign w:val="center"/>
          </w:tcPr>
          <w:p w14:paraId="4128CEDD">
            <w:pPr>
              <w:pStyle w:val="43"/>
              <w:jc w:val="center"/>
            </w:pPr>
            <w:r>
              <w:t>+0.108</w:t>
            </w:r>
          </w:p>
        </w:tc>
        <w:tc>
          <w:tcPr>
            <w:tcW w:w="1409" w:type="dxa"/>
            <w:vAlign w:val="center"/>
          </w:tcPr>
          <w:p w14:paraId="5594C32F">
            <w:pPr>
              <w:pStyle w:val="43"/>
              <w:jc w:val="center"/>
            </w:pPr>
            <w:r>
              <w:t>+0.19</w:t>
            </w:r>
          </w:p>
        </w:tc>
      </w:tr>
      <w:tr w14:paraId="2BD057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0" w:type="auto"/>
            <w:vAlign w:val="center"/>
          </w:tcPr>
          <w:p w14:paraId="698F9FF6">
            <w:pPr>
              <w:pStyle w:val="43"/>
              <w:jc w:val="center"/>
            </w:pPr>
            <w:r>
              <w:t>200（选用）</w:t>
            </w:r>
          </w:p>
        </w:tc>
        <w:tc>
          <w:tcPr>
            <w:tcW w:w="0" w:type="auto"/>
            <w:vAlign w:val="center"/>
          </w:tcPr>
          <w:p w14:paraId="45F8849F">
            <w:pPr>
              <w:pStyle w:val="43"/>
              <w:jc w:val="center"/>
            </w:pPr>
            <w:r>
              <w:t>+0.000659</w:t>
            </w:r>
          </w:p>
        </w:tc>
        <w:tc>
          <w:tcPr>
            <w:tcW w:w="0" w:type="auto"/>
            <w:vAlign w:val="center"/>
          </w:tcPr>
          <w:p w14:paraId="6A04A2F2">
            <w:pPr>
              <w:pStyle w:val="43"/>
              <w:jc w:val="center"/>
            </w:pPr>
            <w:r>
              <w:t>0.015185</w:t>
            </w:r>
          </w:p>
        </w:tc>
        <w:tc>
          <w:tcPr>
            <w:tcW w:w="0" w:type="auto"/>
            <w:vAlign w:val="center"/>
          </w:tcPr>
          <w:p w14:paraId="4EEC204A">
            <w:pPr>
              <w:pStyle w:val="43"/>
              <w:jc w:val="center"/>
            </w:pPr>
            <w:r>
              <w:t>+0.122</w:t>
            </w:r>
          </w:p>
        </w:tc>
        <w:tc>
          <w:tcPr>
            <w:tcW w:w="1409" w:type="dxa"/>
            <w:vAlign w:val="center"/>
          </w:tcPr>
          <w:p w14:paraId="539F92D2">
            <w:pPr>
              <w:pStyle w:val="43"/>
              <w:jc w:val="center"/>
            </w:pPr>
            <w:r>
              <w:t>+0.39</w:t>
            </w:r>
          </w:p>
        </w:tc>
      </w:tr>
      <w:tr w14:paraId="152D77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jc w:val="center"/>
        </w:trPr>
        <w:tc>
          <w:tcPr>
            <w:tcW w:w="0" w:type="auto"/>
            <w:vAlign w:val="center"/>
          </w:tcPr>
          <w:p w14:paraId="72B05810">
            <w:pPr>
              <w:pStyle w:val="43"/>
              <w:jc w:val="center"/>
            </w:pPr>
            <w:r>
              <w:t>500</w:t>
            </w:r>
          </w:p>
        </w:tc>
        <w:tc>
          <w:tcPr>
            <w:tcW w:w="0" w:type="auto"/>
            <w:vAlign w:val="center"/>
          </w:tcPr>
          <w:p w14:paraId="722F5CE3">
            <w:pPr>
              <w:pStyle w:val="43"/>
              <w:jc w:val="center"/>
            </w:pPr>
            <w:r>
              <w:t>+0.000675</w:t>
            </w:r>
          </w:p>
        </w:tc>
        <w:tc>
          <w:tcPr>
            <w:tcW w:w="0" w:type="auto"/>
            <w:vAlign w:val="center"/>
          </w:tcPr>
          <w:p w14:paraId="1E0B7311">
            <w:pPr>
              <w:pStyle w:val="43"/>
              <w:jc w:val="center"/>
            </w:pPr>
            <w:r>
              <w:t>0.015598</w:t>
            </w:r>
          </w:p>
        </w:tc>
        <w:tc>
          <w:tcPr>
            <w:tcW w:w="0" w:type="auto"/>
            <w:vAlign w:val="center"/>
          </w:tcPr>
          <w:p w14:paraId="384A1DBB">
            <w:pPr>
              <w:pStyle w:val="43"/>
              <w:jc w:val="center"/>
            </w:pPr>
            <w:r>
              <w:t>+0.130</w:t>
            </w:r>
          </w:p>
        </w:tc>
        <w:tc>
          <w:tcPr>
            <w:tcW w:w="1409" w:type="dxa"/>
            <w:vAlign w:val="center"/>
          </w:tcPr>
          <w:p w14:paraId="0E635E83">
            <w:pPr>
              <w:pStyle w:val="43"/>
              <w:jc w:val="center"/>
            </w:pPr>
            <w:r>
              <w:t>+0.51</w:t>
            </w:r>
          </w:p>
        </w:tc>
      </w:tr>
    </w:tbl>
    <w:p w14:paraId="0C475351">
      <w:r>
        <w:rPr>
          <w:rFonts w:hint="eastAsia"/>
        </w:rPr>
        <w:t>由表中数据表明，</w:t>
      </w:r>
      <w:r>
        <w:t>随 N_grid 增大结果单调收敛，N_grid=200 已足够稳定。</w:t>
      </w:r>
    </w:p>
    <w:p w14:paraId="025A764A">
      <w:pPr>
        <w:pStyle w:val="3"/>
      </w:pPr>
      <w:r>
        <w:rPr>
          <w:rFonts w:hint="eastAsia"/>
        </w:rPr>
        <w:t>6问题二</w:t>
      </w:r>
      <w:r>
        <w:t>的模型建立、求解及结果分析</w:t>
      </w:r>
    </w:p>
    <w:p w14:paraId="029457A8">
      <w:pPr>
        <w:pStyle w:val="3"/>
        <w:rPr>
          <w:szCs w:val="32"/>
        </w:rPr>
      </w:pPr>
      <w:r>
        <w:rPr>
          <w:rFonts w:hint="eastAsia"/>
        </w:rPr>
        <w:t>6.1</w:t>
      </w:r>
      <w:r>
        <w:t>问题二的模型建立</w:t>
      </w:r>
    </w:p>
    <w:p w14:paraId="13832DD1">
      <w:pPr>
        <w:widowControl/>
        <w:spacing w:before="100" w:beforeAutospacing="1" w:after="100" w:afterAutospacing="1" w:line="240" w:lineRule="auto"/>
        <w:ind w:firstLine="560" w:firstLineChars="200"/>
        <w:jc w:val="left"/>
        <w:rPr>
          <w:rFonts w:hint="eastAsia" w:ascii="宋体" w:hAnsi="宋体" w:cs="宋体"/>
          <w:color w:val="auto"/>
          <w:kern w:val="0"/>
          <w:sz w:val="24"/>
          <w:szCs w:val="24"/>
        </w:rPr>
      </w:pPr>
      <w:r>
        <w:t>问题二的核心任务是在问题一所构造的综合市场状态分布基础上，进一步研究其对未来市场风险的预测能力，其具体步骤为如下所示：</w:t>
      </w:r>
      <w:r>
        <w:rPr>
          <w:rFonts w:ascii="宋体" w:hAnsi="宋体" w:cs="宋体"/>
          <w:color w:val="auto"/>
          <w:kern w:val="0"/>
          <w:sz w:val="24"/>
          <w:szCs w:val="24"/>
        </w:rPr>
        <w:drawing>
          <wp:inline distT="0" distB="0" distL="0" distR="0">
            <wp:extent cx="5274310" cy="2375535"/>
            <wp:effectExtent l="0" t="0" r="2540" b="0"/>
            <wp:docPr id="601999954"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14:paraId="2A8158EF">
      <w:pPr>
        <w:ind w:firstLine="560" w:firstLineChars="200"/>
      </w:pPr>
      <w:r>
        <w:rPr>
          <w:rFonts w:hint="eastAsia"/>
        </w:rPr>
        <w:t>在核心市场的选取方面：</w:t>
      </w:r>
      <w:r>
        <w:t>本文选取沪深300指数（CSI300）作为核心市场的预测对象。</w:t>
      </w:r>
      <w:r>
        <w:rPr>
          <w:rFonts w:hint="eastAsia"/>
        </w:rPr>
        <w:t>其具体原因表现为如下几点：</w:t>
      </w:r>
    </w:p>
    <w:p w14:paraId="37DE84BA">
      <w:pPr>
        <w:pStyle w:val="34"/>
        <w:numPr>
          <w:ilvl w:val="0"/>
          <w:numId w:val="10"/>
        </w:numPr>
      </w:pPr>
      <w:r>
        <w:rPr>
          <w:b/>
          <w:bCs/>
        </w:rPr>
        <w:t>市场代表性强</w:t>
      </w:r>
      <w:r>
        <w:t>：沪深300覆盖中国A股核心蓝筹资产，能够反映中国股票市场的整体风险水平；</w:t>
      </w:r>
    </w:p>
    <w:p w14:paraId="6E96ACCF">
      <w:pPr>
        <w:pStyle w:val="34"/>
        <w:numPr>
          <w:ilvl w:val="0"/>
          <w:numId w:val="10"/>
        </w:numPr>
      </w:pPr>
      <w:r>
        <w:rPr>
          <w:b/>
          <w:bCs/>
        </w:rPr>
        <w:t>金融含义清晰</w:t>
      </w:r>
      <w:r>
        <w:t>：权益市场风险是投资组合风险管理、资产配置和系统性风险监测中的核心对象；</w:t>
      </w:r>
    </w:p>
    <w:p w14:paraId="257067DA">
      <w:pPr>
        <w:pStyle w:val="34"/>
        <w:numPr>
          <w:ilvl w:val="0"/>
          <w:numId w:val="10"/>
        </w:numPr>
      </w:pPr>
      <w:r>
        <w:rPr>
          <w:b/>
          <w:bCs/>
        </w:rPr>
        <w:t>与其他市场存在联动关系</w:t>
      </w:r>
      <w:r>
        <w:t>：黄金和原油分别代表避险资产和能源商品，其波动会通过风险偏好、通胀预期和宏观预期等渠道影响股票市场；</w:t>
      </w:r>
    </w:p>
    <w:p w14:paraId="644CEA57">
      <w:pPr>
        <w:pStyle w:val="34"/>
        <w:numPr>
          <w:ilvl w:val="0"/>
          <w:numId w:val="10"/>
        </w:numPr>
      </w:pPr>
      <w:r>
        <w:rPr>
          <w:b/>
          <w:bCs/>
        </w:rPr>
        <w:t>与问题一衔接自然</w:t>
      </w:r>
      <w:r>
        <w:t>：问题一构造的综合市场状态分布融合了股票、黄金和原油三个市场的信息，可用于解释和预测沪深300未来风险。</w:t>
      </w:r>
    </w:p>
    <w:p w14:paraId="6A43393F">
      <w:pPr>
        <w:ind w:firstLine="280" w:firstLineChars="100"/>
      </w:pPr>
      <w:r>
        <w:t>因此，本文将沪深300未来 (h) 个交易日累计收益的风险作为问题二的预测目标。</w:t>
      </w:r>
    </w:p>
    <w:p w14:paraId="2FF82471">
      <w:pPr>
        <w:pStyle w:val="4"/>
        <w:rPr>
          <w:rStyle w:val="23"/>
        </w:rPr>
      </w:pPr>
      <w:r>
        <w:rPr>
          <w:rFonts w:hint="eastAsia" w:ascii="宋体" w:hAnsi="宋体" w:cs="宋体"/>
          <w:b/>
          <w:bCs/>
          <w:color w:val="auto"/>
          <w:kern w:val="0"/>
          <w:sz w:val="36"/>
          <w:szCs w:val="36"/>
        </w:rPr>
        <w:t>6.1.1</w:t>
      </w:r>
      <w:r>
        <w:rPr>
          <w:rStyle w:val="23"/>
        </w:rPr>
        <w:t>未来风险度量的定义</w:t>
      </w:r>
    </w:p>
    <w:p w14:paraId="258F05A6">
      <w:r>
        <w:rPr>
          <w:rFonts w:hint="eastAsia"/>
        </w:rPr>
        <w:t>（1）</w:t>
      </w:r>
      <w:r>
        <w:t xml:space="preserve"> 未来 (h) 日累计收益</w:t>
      </w:r>
    </w:p>
    <w:p w14:paraId="17E55657">
      <w:r>
        <w:t>设 (</w:t>
      </w:r>
      <w:r>
        <w:rPr>
          <w:rFonts w:hint="eastAsia"/>
          <w:position w:val="-14"/>
        </w:rPr>
        <w:object>
          <v:shape id="_x0000_i1076" o:spt="75" type="#_x0000_t75" style="height:20.2pt;width:31.1pt;" o:ole="t" filled="f" o:preferrelative="t" stroked="f" coordsize="21600,21600">
            <v:path/>
            <v:fill on="f" focussize="0,0"/>
            <v:stroke on="f" joinstyle="miter"/>
            <v:imagedata r:id="rId124" o:title=""/>
            <o:lock v:ext="edit" aspectratio="t"/>
            <w10:wrap type="none"/>
            <w10:anchorlock/>
          </v:shape>
          <o:OLEObject Type="Embed" ProgID="Equation.DSMT4" ShapeID="_x0000_i1076" DrawAspect="Content" ObjectID="_1468075776" r:id="rId123">
            <o:LockedField>false</o:LockedField>
          </o:OLEObject>
        </w:object>
      </w:r>
      <w:r>
        <w:t>) 表示沪深300指数在第 (t) 个交易日的对数收益率，则未来 (h) 个交易日的累计收益定义为：</w:t>
      </w:r>
    </w:p>
    <w:p w14:paraId="3C0543AD">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m:t>
          </m:r>
          <m:nary>
            <m:naryPr>
              <m:chr m:val="∑"/>
              <m:grow m:val="1"/>
              <m:limLoc m:val="undOvr"/>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h</m:t>
              </m:r>
              <m:ctrlPr>
                <w:rPr>
                  <w:rFonts w:ascii="Cambria Math" w:hAnsi="Cambria Math"/>
                </w:rPr>
              </m:ctrlPr>
            </m:sup>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t+j</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nary>
        </m:oMath>
      </m:oMathPara>
    </w:p>
    <w:p w14:paraId="2CD50FF8">
      <w:r>
        <w:t>其中，(h) 表示预测期限。考虑到Distributional LSTM需要直接学习未来收益分布的动态参数，本文主实验选取：</w:t>
      </w:r>
    </w:p>
    <w:p w14:paraId="04D25D63">
      <m:oMathPara>
        <m:oMath>
          <m:r>
            <m:rPr/>
            <w:rPr>
              <w:rFonts w:ascii="Cambria Math" w:hAnsi="Cambria Math"/>
            </w:rPr>
            <m:t>h=1</m:t>
          </m:r>
        </m:oMath>
      </m:oMathPara>
    </w:p>
    <w:p w14:paraId="15554C99">
      <w:pPr>
        <w:ind w:firstLine="560" w:firstLineChars="200"/>
      </w:pPr>
      <w:r>
        <w:t>即预测未来一个交易日的市场风险。次日风险预测是金融市场风险管理中最常见的高频监测任务，能够直接服务于每日风险限额管理和短期预警。作为稳健性扩展，可进一步设定：</w:t>
      </w:r>
    </w:p>
    <w:p w14:paraId="046854D0">
      <m:oMathPara>
        <m:oMath>
          <m:r>
            <m:rPr/>
            <w:rPr>
              <w:rFonts w:ascii="Cambria Math" w:hAnsi="Cambria Math"/>
            </w:rPr>
            <m:t>h=5</m:t>
          </m:r>
        </m:oMath>
      </m:oMathPara>
    </w:p>
    <w:p w14:paraId="318A7120">
      <w:r>
        <w:t>用于刻画未来一周的累计风险。</w:t>
      </w:r>
    </w:p>
    <w:p w14:paraId="2722AFFE">
      <w:pPr>
        <w:pStyle w:val="4"/>
      </w:pPr>
      <w:r>
        <w:rPr>
          <w:rFonts w:hint="eastAsia"/>
        </w:rPr>
        <w:t>6.1.2</w:t>
      </w:r>
      <w:r>
        <w:t xml:space="preserve"> 风险价值 VaR</w:t>
      </w:r>
    </w:p>
    <w:p w14:paraId="78C6752B">
      <w:pPr>
        <w:ind w:firstLine="560" w:firstLineChars="200"/>
      </w:pPr>
      <w:r>
        <w:t xml:space="preserve">本文将未来 (h) 日累计收益的左尾分位数作为核心风险度量。设 </w:t>
      </w:r>
      <w:r>
        <w:rPr>
          <w:rFonts w:hint="eastAsia"/>
          <w:position w:val="-14"/>
        </w:rPr>
        <w:object>
          <v:shape id="_x0000_i1077" o:spt="75" type="#_x0000_t75" style="height:20.2pt;width:33.25pt;" o:ole="t" filled="f" o:preferrelative="t" stroked="f" coordsize="21600,21600">
            <v:path/>
            <v:fill on="f" focussize="0,0"/>
            <v:stroke on="f" joinstyle="miter"/>
            <v:imagedata r:id="rId126" o:title=""/>
            <o:lock v:ext="edit" aspectratio="t"/>
            <w10:wrap type="none"/>
            <w10:anchorlock/>
          </v:shape>
          <o:OLEObject Type="Embed" ProgID="Equation.DSMT4" ShapeID="_x0000_i1077" DrawAspect="Content" ObjectID="_1468075777" r:id="rId125">
            <o:LockedField>false</o:LockedField>
          </o:OLEObject>
        </w:object>
      </w:r>
      <w:r>
        <w:t xml:space="preserve"> 为在时点 (t) 条件下未来累计收益的</w:t>
      </w:r>
      <w:bookmarkStart w:id="20" w:name="OLE_LINK10"/>
      <w:r>
        <w:rPr>
          <w:rFonts w:hint="eastAsia"/>
          <w:position w:val="-16"/>
        </w:rPr>
        <w:object>
          <v:shape id="_x0000_i1078" o:spt="75" type="#_x0000_t75" style="height:21.8pt;width:44.2pt;" o:ole="t" filled="f" o:preferrelative="t" stroked="f" coordsize="21600,21600">
            <v:path/>
            <v:fill on="f" focussize="0,0"/>
            <v:stroke on="f" joinstyle="miter"/>
            <v:imagedata r:id="rId128" o:title=""/>
            <o:lock v:ext="edit" aspectratio="t"/>
            <w10:wrap type="none"/>
            <w10:anchorlock/>
          </v:shape>
          <o:OLEObject Type="Embed" ProgID="Equation.DSMT4" ShapeID="_x0000_i1078" DrawAspect="Content" ObjectID="_1468075778" r:id="rId127">
            <o:LockedField>false</o:LockedField>
          </o:OLEObject>
        </w:object>
      </w:r>
      <w:bookmarkEnd w:id="20"/>
      <w:r>
        <w:t>条件分布函数，则置信水平 (</w:t>
      </w:r>
      <m:oMath>
        <m:r>
          <m:rPr/>
          <w:rPr>
            <w:rFonts w:ascii="Cambria Math" w:hAnsi="Cambria Math"/>
          </w:rPr>
          <m:t>α</m:t>
        </m:r>
      </m:oMath>
      <w:r>
        <w:t>) 下的左尾分位数为：</w:t>
      </w:r>
    </w:p>
    <w:p w14:paraId="7089E0EA">
      <m:oMathPara>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t,h</m:t>
              </m:r>
              <m:ctrlPr>
                <w:rPr>
                  <w:rFonts w:ascii="Cambria Math" w:hAnsi="Cambria Math"/>
                </w:rPr>
              </m:ctrlPr>
            </m:sub>
            <m:sup>
              <m:r>
                <m:rPr/>
                <w:rPr>
                  <w:rFonts w:ascii="Cambria Math" w:hAnsi="Cambria Math"/>
                </w:rPr>
                <m:t>−1</m:t>
              </m:r>
              <m:ctrlPr>
                <w:rPr>
                  <w:rFonts w:ascii="Cambria Math" w:hAnsi="Cambria Math"/>
                </w:rPr>
              </m:ctrlPr>
            </m:sup>
          </m:sSubSup>
          <m:r>
            <m:rPr/>
            <w:rPr>
              <w:rFonts w:ascii="Cambria Math" w:hAnsi="Cambria Math"/>
            </w:rPr>
            <m:t>(α)</m:t>
          </m:r>
        </m:oMath>
      </m:oMathPara>
    </w:p>
    <w:p w14:paraId="7486593B">
      <w:pPr>
        <w:ind w:firstLine="560" w:firstLineChars="200"/>
      </w:pPr>
      <w:r>
        <w:t>由于金融风险通常以损失的正值形式表示，本文定义未来 (h) 日风险价值（Value at Risk, VaR）为：</w:t>
      </w:r>
    </w:p>
    <w:p w14:paraId="611A1FBF">
      <m:oMathPara>
        <m:oMath>
          <m:r>
            <m:rPr/>
            <w:rPr>
              <w:rFonts w:ascii="Cambria Math" w:hAnsi="Cambria Math"/>
            </w:rPr>
            <m:t>Va</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t,h</m:t>
              </m:r>
              <m:ctrlPr>
                <w:rPr>
                  <w:rFonts w:ascii="Cambria Math" w:hAnsi="Cambria Math"/>
                </w:rPr>
              </m:ctrlPr>
            </m:sub>
            <m:sup>
              <m:r>
                <m:rPr/>
                <w:rPr>
                  <w:rFonts w:ascii="Cambria Math" w:hAnsi="Cambria Math"/>
                </w:rPr>
                <m:t>−1</m:t>
              </m:r>
              <m:ctrlPr>
                <w:rPr>
                  <w:rFonts w:ascii="Cambria Math" w:hAnsi="Cambria Math"/>
                </w:rPr>
              </m:ctrlPr>
            </m:sup>
          </m:sSubSup>
          <m:r>
            <m:rPr/>
            <w:rPr>
              <w:rFonts w:ascii="Cambria Math" w:hAnsi="Cambria Math"/>
            </w:rPr>
            <m:t>(α)</m:t>
          </m:r>
        </m:oMath>
      </m:oMathPara>
    </w:p>
    <w:p w14:paraId="4240D135">
      <w:r>
        <w:t>其中，(</w:t>
      </w:r>
      <m:oMath>
        <m:r>
          <m:rPr/>
          <w:rPr>
            <w:rFonts w:ascii="Cambria Math" w:hAnsi="Cambria Math"/>
          </w:rPr>
          <m:t>α</m:t>
        </m:r>
      </m:oMath>
      <w:r>
        <w:t>) 表示尾部概率。本文主实验取：</w:t>
      </w:r>
    </w:p>
    <w:p w14:paraId="4BA6AA88">
      <m:oMathPara>
        <m:oMath>
          <m:r>
            <m:rPr/>
            <w:rPr>
              <w:rFonts w:ascii="Cambria Math" w:hAnsi="Cambria Math"/>
            </w:rPr>
            <m:t>α=5</m:t>
          </m:r>
          <m:r>
            <m:rPr>
              <m:sty m:val="p"/>
            </m:rPr>
            <w:rPr>
              <w:rFonts w:ascii="Cambria Math" w:hAnsi="Cambria Math"/>
            </w:rPr>
            <m:t>%</m:t>
          </m:r>
        </m:oMath>
      </m:oMathPara>
    </w:p>
    <w:p w14:paraId="53E8F9CC">
      <w:pPr>
        <w:ind w:firstLine="560" w:firstLineChars="200"/>
      </w:pPr>
      <w:r>
        <w:t>即未来一个交易日内，在5%的极端不利情形下，沪深300收益可能遭受的最低损失水平。</w:t>
      </w:r>
    </w:p>
    <w:p w14:paraId="2BC3F182">
      <w:pPr>
        <w:ind w:firstLine="560" w:firstLineChars="200"/>
      </w:pPr>
      <w:r>
        <w:t>VaR具有明确的金融含义：若</w:t>
      </w:r>
      <w:r>
        <w:rPr>
          <w:rFonts w:hint="eastAsia"/>
        </w:rPr>
        <w:t xml:space="preserve"> </w:t>
      </w:r>
      <w:r>
        <w:rPr>
          <w:rFonts w:hint="eastAsia"/>
          <w:position w:val="-18"/>
        </w:rPr>
        <w:object>
          <v:shape id="_x0000_i1079" o:spt="75" type="#_x0000_t75" style="height:24pt;width:79.1pt;" o:ole="t" filled="f" o:preferrelative="t" stroked="f" coordsize="21600,21600">
            <v:path/>
            <v:fill on="f" focussize="0,0"/>
            <v:stroke on="f" joinstyle="miter"/>
            <v:imagedata r:id="rId130" o:title=""/>
            <o:lock v:ext="edit" aspectratio="t"/>
            <w10:wrap type="none"/>
            <w10:anchorlock/>
          </v:shape>
          <o:OLEObject Type="Embed" ProgID="Equation.DSMT4" ShapeID="_x0000_i1079" DrawAspect="Content" ObjectID="_1468075779" r:id="rId129">
            <o:LockedField>false</o:LockedField>
          </o:OLEObject>
        </w:object>
      </w:r>
      <w:r>
        <w:t>，则表示在当前市场状态下，未来 (h) 个交易日内，沪深300有5%的概率损失超过4%。因此，VaR能够直接度量未来市场的下行风险。</w:t>
      </w:r>
    </w:p>
    <w:p w14:paraId="1714DF5F">
      <w:pPr>
        <w:pStyle w:val="4"/>
      </w:pPr>
      <w:r>
        <w:rPr>
          <w:rFonts w:hint="eastAsia"/>
        </w:rPr>
        <w:t>6.1.3</w:t>
      </w:r>
      <w:r>
        <w:t>预期尾部损失 ES / CVaR</w:t>
      </w:r>
    </w:p>
    <w:p w14:paraId="16C9FC82">
      <w:pPr>
        <w:ind w:firstLine="560" w:firstLineChars="200"/>
      </w:pPr>
      <w:r>
        <w:t>VaR只能给出某一置信水平下的损失阈值，但无法刻画一旦突破该阈值后损失的平均严重程度。为进一步衡量极端风险，本文同时定义预期尾部损失（Expected Shortfall, ES，也称 Conditional VaR, CVaR）</w:t>
      </w:r>
    </w:p>
    <w:p w14:paraId="381BF55E">
      <w:pPr>
        <w:rPr>
          <w:rFonts w:eastAsia="黑体" w:cstheme="majorBidi"/>
        </w:rPr>
      </w:pPr>
    </w:p>
    <w:p w14:paraId="65CC9FE1">
      <m:oMathPara>
        <m:oMath>
          <m:r>
            <m:rPr/>
            <w:rPr>
              <w:rFonts w:ascii="Cambria Math" w:hAnsi="Cambria Math"/>
            </w:rPr>
            <m:t>E</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r>
            <m:rPr>
              <m:sty m:val="p"/>
              <m:scr m:val="double-struck"/>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e>
          </m:d>
        </m:oMath>
      </m:oMathPara>
    </w:p>
    <w:p w14:paraId="761E73E5">
      <w:pPr>
        <w:ind w:firstLine="560" w:firstLineChars="200"/>
      </w:pPr>
      <w:r>
        <w:t>其中，</w:t>
      </w:r>
      <w:r>
        <w:rPr>
          <w:rFonts w:hint="eastAsia"/>
          <w:position w:val="-14"/>
        </w:rPr>
        <w:object>
          <v:shape id="_x0000_i1080" o:spt="75" type="#_x0000_t75" style="height:20.2pt;width:27.25pt;" o:ole="t" filled="f" o:preferrelative="t" stroked="f" coordsize="21600,21600">
            <v:path/>
            <v:fill on="f" focussize="0,0"/>
            <v:stroke on="f" joinstyle="miter"/>
            <v:imagedata r:id="rId132" o:title=""/>
            <o:lock v:ext="edit" aspectratio="t"/>
            <w10:wrap type="none"/>
            <w10:anchorlock/>
          </v:shape>
          <o:OLEObject Type="Embed" ProgID="Equation.DSMT4" ShapeID="_x0000_i1080" DrawAspect="Content" ObjectID="_1468075780" r:id="rId131">
            <o:LockedField>false</o:LockedField>
          </o:OLEObject>
        </w:object>
      </w:r>
      <w:r>
        <w:t xml:space="preserve"> 表示在最差 (</w:t>
      </w:r>
      <m:oMath>
        <m:r>
          <m:rPr/>
          <w:rPr>
            <w:rFonts w:ascii="Cambria Math" w:hAnsi="Cambria Math"/>
          </w:rPr>
          <m:t>α</m:t>
        </m:r>
      </m:oMath>
      <w:r>
        <w:t>) 比例情形下，未来 (h) 日累计收益的平均损失。</w:t>
      </w:r>
    </w:p>
    <w:p w14:paraId="057B1F61">
      <w:pPr>
        <w:ind w:firstLine="560" w:firstLineChars="200"/>
      </w:pPr>
      <w:r>
        <w:t>与VaR相比，ES具有更强的尾部风险刻画能力。VaR回答"损失超过多少"，而ES回答"在极端亏损发生时，平均会损失多少"。因此，本文将VaR作为主要风险度量，将ES作为补充风险度量，用于反映极端风险程度。</w:t>
      </w:r>
    </w:p>
    <w:p w14:paraId="5F6F773F">
      <w:pPr>
        <w:pStyle w:val="4"/>
      </w:pPr>
      <w:r>
        <w:rPr>
          <w:rFonts w:hint="eastAsia"/>
        </w:rPr>
        <w:t>6.1.4</w:t>
      </w:r>
      <w:r>
        <w:t>. 风险度量选取依据</w:t>
      </w:r>
    </w:p>
    <w:p w14:paraId="523E8FC4">
      <w:pPr>
        <w:ind w:firstLine="560" w:firstLineChars="200"/>
      </w:pPr>
      <w:r>
        <w:t>本文选择未来 (h) 日累计收益的VaR和ES作为预测目标，主要基于以下考虑：</w:t>
      </w:r>
    </w:p>
    <w:p w14:paraId="451E30EA">
      <w:pPr>
        <w:ind w:firstLine="562" w:firstLineChars="200"/>
      </w:pPr>
      <w:r>
        <w:rPr>
          <w:b/>
          <w:bCs/>
        </w:rPr>
        <w:t>具有明确金融含义</w:t>
      </w:r>
      <w:r>
        <w:rPr>
          <w:rFonts w:hint="eastAsia"/>
        </w:rPr>
        <w:t>：</w:t>
      </w:r>
      <w:r>
        <w:t>VaR和ES是金融风险管理中最常用的下行风险度量，广泛应用于银行、基金和监管机构的市场风险评估中。</w:t>
      </w:r>
    </w:p>
    <w:p w14:paraId="32474B43">
      <w:pPr>
        <w:ind w:firstLine="562" w:firstLineChars="200"/>
      </w:pPr>
      <w:r>
        <w:rPr>
          <w:b/>
          <w:bCs/>
        </w:rPr>
        <w:t>能够反映未来下行风险</w:t>
      </w:r>
      <w:r>
        <w:rPr>
          <w:rFonts w:hint="eastAsia"/>
        </w:rPr>
        <w:t>：</w:t>
      </w:r>
      <w:r>
        <w:t>本题要求风险度量能够反映未来市场波动、下行风险或极端风险。VaR直接刻画未来收益分布的左尾分位数，能够反映下行风险；ES进一步度量尾部亏损的平均严重程度，能够反映极端风险。</w:t>
      </w:r>
    </w:p>
    <w:p w14:paraId="741F2367">
      <w:pPr>
        <w:ind w:firstLine="562" w:firstLineChars="200"/>
      </w:pPr>
      <w:r>
        <w:rPr>
          <w:b/>
          <w:bCs/>
        </w:rPr>
        <w:t>适合与分布预测模型衔接</w:t>
      </w:r>
      <w:r>
        <w:rPr>
          <w:rFonts w:hint="eastAsia"/>
        </w:rPr>
        <w:t>：</w:t>
      </w:r>
      <w:r>
        <w:t>本文主模型输出未来收益分布的动态参数，VaR和ES均可由预测分布直接计算得到，形成从"综合市场状态分布特征"到"未来收益分布"再到"风险度量"的完整逻辑链条。</w:t>
      </w:r>
    </w:p>
    <w:p w14:paraId="699E0CFE">
      <w:pPr>
        <w:ind w:firstLine="562" w:firstLineChars="200"/>
      </w:pPr>
      <w:r>
        <w:rPr>
          <w:b/>
          <w:bCs/>
        </w:rPr>
        <w:t>便于模型回测与比较</w:t>
      </w:r>
      <w:r>
        <w:rPr>
          <w:rFonts w:hint="eastAsia"/>
        </w:rPr>
        <w:t>：</w:t>
      </w:r>
      <w:r>
        <w:t>VaR可通过违约率（Violation Rate）和Kupiec无条件覆盖检验进行回测；ES可通过尾部损失误差评估。这使得包含综合市场状态分布特征的模型能够与不包含该特征的基准模型进行量化比较。</w:t>
      </w:r>
    </w:p>
    <w:p w14:paraId="1F16ABFB">
      <w:pPr>
        <w:ind w:firstLine="560" w:firstLineChars="200"/>
      </w:pPr>
      <w:r>
        <w:t>综上，本文最终选取</w:t>
      </w:r>
      <w:bookmarkStart w:id="21" w:name="OLE_LINK8"/>
      <w:r>
        <w:rPr>
          <w:rFonts w:hint="eastAsia"/>
          <w:position w:val="-18"/>
        </w:rPr>
        <w:object>
          <v:shape id="_x0000_i1081" o:spt="75" type="#_x0000_t75" style="height:24pt;width:46.9pt;" o:ole="t" filled="f" o:preferrelative="t" stroked="f" coordsize="21600,21600">
            <v:path/>
            <v:fill on="f" focussize="0,0"/>
            <v:stroke on="f" joinstyle="miter"/>
            <v:imagedata r:id="rId134" o:title=""/>
            <o:lock v:ext="edit" aspectratio="t"/>
            <w10:wrap type="none"/>
            <w10:anchorlock/>
          </v:shape>
          <o:OLEObject Type="Embed" ProgID="Equation.DSMT4" ShapeID="_x0000_i1081" DrawAspect="Content" ObjectID="_1468075781" r:id="rId133">
            <o:LockedField>false</o:LockedField>
          </o:OLEObject>
        </w:object>
      </w:r>
      <w:bookmarkEnd w:id="21"/>
      <w:r>
        <w:t xml:space="preserve"> 作为问题二的主要预测目标，并以</w:t>
      </w:r>
      <w:r>
        <w:rPr>
          <w:rFonts w:hint="eastAsia"/>
          <w:position w:val="-18"/>
        </w:rPr>
        <w:object>
          <v:shape id="_x0000_i1082" o:spt="75" type="#_x0000_t75" style="height:24pt;width:40.9pt;" o:ole="t" filled="f" o:preferrelative="t" stroked="f" coordsize="21600,21600">
            <v:path/>
            <v:fill on="f" focussize="0,0"/>
            <v:stroke on="f" joinstyle="miter"/>
            <v:imagedata r:id="rId136" o:title=""/>
            <o:lock v:ext="edit" aspectratio="t"/>
            <w10:wrap type="none"/>
            <w10:anchorlock/>
          </v:shape>
          <o:OLEObject Type="Embed" ProgID="Equation.DSMT4" ShapeID="_x0000_i1082" DrawAspect="Content" ObjectID="_1468075782" r:id="rId135">
            <o:LockedField>false</o:LockedField>
          </o:OLEObject>
        </w:object>
      </w:r>
      <w:r>
        <w:t>作为补充极端风险指标；同时使用 (h=5) 的未来一周风险作为稳健性扩展。</w:t>
      </w:r>
    </w:p>
    <w:p w14:paraId="43D07940">
      <w:pPr>
        <w:pStyle w:val="4"/>
      </w:pPr>
      <w:r>
        <w:rPr>
          <w:rFonts w:hint="eastAsia"/>
        </w:rPr>
        <w:t>6.1.5</w:t>
      </w:r>
      <w:r>
        <w:t xml:space="preserve"> 综合市场状态分布特征</w:t>
      </w:r>
    </w:p>
    <w:p w14:paraId="2FC86784">
      <w:pPr>
        <w:ind w:firstLine="560" w:firstLineChars="200"/>
      </w:pPr>
      <w:r>
        <w:t>问题一中，本文基于沪深300、黄金和原油三个市场的局部收益分布，利用一维Wasserstein-2 Barycenter构造了综合市场状态分布 (</w:t>
      </w:r>
      <w:r>
        <w:rPr>
          <w:rFonts w:hint="eastAsia"/>
          <w:position w:val="-12"/>
        </w:rPr>
        <w:object>
          <v:shape id="_x0000_i1083" o:spt="75" type="#_x0000_t75" style="height:18pt;width:14.2pt;" o:ole="t" filled="f" o:preferrelative="t" stroked="f" coordsize="21600,21600">
            <v:path/>
            <v:fill on="f" focussize="0,0"/>
            <v:stroke on="f" joinstyle="miter"/>
            <v:imagedata r:id="rId138" o:title=""/>
            <o:lock v:ext="edit" aspectratio="t"/>
            <w10:wrap type="none"/>
            <w10:anchorlock/>
          </v:shape>
          <o:OLEObject Type="Embed" ProgID="Equation.DSMT4" ShapeID="_x0000_i1083" DrawAspect="Content" ObjectID="_1468075783" r:id="rId137">
            <o:LockedField>false</o:LockedField>
          </o:OLEObject>
        </w:object>
      </w:r>
      <w:r>
        <w:t>)，并从中提取四个统计特征：</w:t>
      </w:r>
    </w:p>
    <w:p w14:paraId="3637EF92">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d>
            <m:dPr>
              <m:sepChr m:val=","/>
              <m:ctrlPr>
                <w:rPr>
                  <w:rFonts w:ascii="Cambria Math" w:hAnsi="Cambria Math"/>
                </w:rPr>
              </m:ctrlPr>
            </m:dPr>
            <m:e>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d>
        </m:oMath>
      </m:oMathPara>
    </w:p>
    <w:p w14:paraId="1AEE8BDC">
      <w:r>
        <w:t>其中：</w:t>
      </w:r>
    </w:p>
    <w:p w14:paraId="4C7825E7">
      <w:r>
        <w:rPr>
          <w:rFonts w:hint="eastAsia"/>
          <w:position w:val="-16"/>
        </w:rPr>
        <w:object>
          <v:shape id="_x0000_i1084" o:spt="75" type="#_x0000_t75" style="height:21.8pt;width:32.2pt;" o:ole="t" filled="f" o:preferrelative="t" stroked="f" coordsize="21600,21600">
            <v:path/>
            <v:fill on="f" focussize="0,0"/>
            <v:stroke on="f" joinstyle="miter"/>
            <v:imagedata r:id="rId140" o:title=""/>
            <o:lock v:ext="edit" aspectratio="t"/>
            <w10:wrap type="none"/>
            <w10:anchorlock/>
          </v:shape>
          <o:OLEObject Type="Embed" ProgID="Equation.DSMT4" ShapeID="_x0000_i1084" DrawAspect="Content" ObjectID="_1468075784" r:id="rId139">
            <o:LockedField>false</o:LockedField>
          </o:OLEObject>
        </w:object>
      </w:r>
      <w:r>
        <w:t>：综合市场分布均值，反映整体收益位置；</w:t>
      </w:r>
    </w:p>
    <w:p w14:paraId="3852E47D">
      <w:r>
        <w:rPr>
          <w:rFonts w:hint="eastAsia"/>
          <w:position w:val="-16"/>
        </w:rPr>
        <w:object>
          <v:shape id="_x0000_i1085" o:spt="75" type="#_x0000_t75" style="height:21.8pt;width:33.25pt;" o:ole="t" filled="f" o:preferrelative="t" stroked="f" coordsize="21600,21600">
            <v:path/>
            <v:fill on="f" focussize="0,0"/>
            <v:stroke on="f" joinstyle="miter"/>
            <v:imagedata r:id="rId142" o:title=""/>
            <o:lock v:ext="edit" aspectratio="t"/>
            <w10:wrap type="none"/>
            <w10:anchorlock/>
          </v:shape>
          <o:OLEObject Type="Embed" ProgID="Equation.DSMT4" ShapeID="_x0000_i1085" DrawAspect="Content" ObjectID="_1468075785" r:id="rId141">
            <o:LockedField>false</o:LockedField>
          </o:OLEObject>
        </w:object>
      </w:r>
      <w:r>
        <w:t>：综合市场波动率，反映多市场整体不确定性；</w:t>
      </w:r>
    </w:p>
    <w:p w14:paraId="5F145385">
      <w:r>
        <w:rPr>
          <w:rFonts w:hint="eastAsia"/>
          <w:position w:val="-16"/>
        </w:rPr>
        <w:object>
          <v:shape id="_x0000_i1086" o:spt="75" type="#_x0000_t75" style="height:21.8pt;width:32.2pt;" o:ole="t" filled="f" o:preferrelative="t" stroked="f" coordsize="21600,21600">
            <v:path/>
            <v:fill on="f" focussize="0,0"/>
            <v:stroke on="f" joinstyle="miter"/>
            <v:imagedata r:id="rId144" o:title=""/>
            <o:lock v:ext="edit" aspectratio="t"/>
            <w10:wrap type="none"/>
            <w10:anchorlock/>
          </v:shape>
          <o:OLEObject Type="Embed" ProgID="Equation.DSMT4" ShapeID="_x0000_i1086" DrawAspect="Content" ObjectID="_1468075786" r:id="rId143">
            <o:LockedField>false</o:LockedField>
          </o:OLEObject>
        </w:object>
      </w:r>
      <w:r>
        <w:t>：综合市场偏度，反映收益分布的非对称性；</w:t>
      </w:r>
    </w:p>
    <w:p w14:paraId="29D4F36E">
      <w:r>
        <w:rPr>
          <w:rFonts w:hint="eastAsia"/>
          <w:position w:val="-16"/>
        </w:rPr>
        <w:object>
          <v:shape id="_x0000_i1087" o:spt="75" type="#_x0000_t75" style="height:21.8pt;width:33.8pt;" o:ole="t" filled="f" o:preferrelative="t" stroked="f" coordsize="21600,21600">
            <v:path/>
            <v:fill on="f" focussize="0,0"/>
            <v:stroke on="f" joinstyle="miter"/>
            <v:imagedata r:id="rId146" o:title=""/>
            <o:lock v:ext="edit" aspectratio="t"/>
            <w10:wrap type="none"/>
            <w10:anchorlock/>
          </v:shape>
          <o:OLEObject Type="Embed" ProgID="Equation.DSMT4" ShapeID="_x0000_i1087" DrawAspect="Content" ObjectID="_1468075787" r:id="rId145">
            <o:LockedField>false</o:LockedField>
          </o:OLEObject>
        </w:object>
      </w:r>
      <w:r>
        <w:t>：综合市场超额峰度，反映尾部风险和极端波动程度。</w:t>
      </w:r>
    </w:p>
    <w:p w14:paraId="271A6F0D">
      <w:pPr>
        <w:ind w:firstLine="560" w:firstLineChars="200"/>
      </w:pPr>
      <w:r>
        <w:t>这些特征不是来自单一市场，而是融合了股票、黄金和原油三个市场的联合风险状态。因此，它们可以被视为多市场风险信息的低维表示，适合作为预测未来核心市场风险的解释变量。</w:t>
      </w:r>
    </w:p>
    <w:p w14:paraId="226CB8E8">
      <w:pPr>
        <w:pStyle w:val="4"/>
      </w:pPr>
      <w:r>
        <w:t>6.</w:t>
      </w:r>
      <w:r>
        <w:rPr>
          <w:rFonts w:hint="eastAsia"/>
        </w:rPr>
        <w:t>1.6</w:t>
      </w:r>
      <w:r>
        <w:t>主预测模型</w:t>
      </w:r>
      <w:r>
        <w:rPr>
          <w:rFonts w:hint="eastAsia"/>
        </w:rPr>
        <w:t>的建立</w:t>
      </w:r>
      <w:r>
        <w:t>：偏态学生t分布 AdaMamba-Dist</w:t>
      </w:r>
    </w:p>
    <w:p w14:paraId="17EDF150">
      <w:pPr>
        <w:ind w:firstLine="560" w:firstLineChars="200"/>
      </w:pPr>
      <w:r>
        <w:rPr>
          <w:rFonts w:hint="eastAsia"/>
        </w:rPr>
        <w:t>本文构建了九个由浅入深的预测模型（M0至M8），涵盖传统非参数方法、参数波动率模型、计量金融模型、深度学习分布预测模型以及前沿状态空间模型，系统检验综合市场状态分布特征在未来风险预测中的增量价值。</w:t>
      </w:r>
    </w:p>
    <w:p w14:paraId="44F015E0">
      <w:pPr>
        <w:ind w:firstLine="560" w:firstLineChars="200"/>
      </w:pPr>
      <w:r>
        <w:rPr>
          <w:rFonts w:hint="eastAsia"/>
        </w:rPr>
        <w:t>所有模型的预测目标均为沪深300未来1日累计收益的条件分布。</w:t>
      </w:r>
    </w:p>
    <w:p w14:paraId="26349A64">
      <w:pPr>
        <w:rPr>
          <w:b/>
          <w:bCs/>
        </w:rPr>
      </w:pPr>
      <w:r>
        <w:rPr>
          <w:rFonts w:hint="eastAsia"/>
          <w:b/>
          <w:bCs/>
        </w:rPr>
        <w:t>（1）</w:t>
      </w:r>
      <w:r>
        <w:rPr>
          <w:b/>
          <w:bCs/>
        </w:rPr>
        <w:t>模型设计思想</w:t>
      </w:r>
    </w:p>
    <w:p w14:paraId="762B2B97">
      <w:pPr>
        <w:ind w:firstLine="560" w:firstLineChars="200"/>
      </w:pPr>
      <w:r>
        <w:t>金融收益序列通常具有以下特征：</w:t>
      </w:r>
      <w:r>
        <w:rPr>
          <w:rFonts w:hint="eastAsia"/>
        </w:rPr>
        <w:t>波动率聚集，厚尾分布，左右尾不对称，极端冲击下风险快速放大。且</w:t>
      </w:r>
      <w:r>
        <w:t>传统点预测模型只能预测未来收益的条件均值，难以刻画完整风险分布。为此，本文采用AdaMamba-Dist模型。该模型并不直接预测未来收益的单一点值，而是预测未来累计收益条件分布的参数，从而可以进一步计算VaR和ES。</w:t>
      </w:r>
    </w:p>
    <w:p w14:paraId="71343737">
      <w:pPr>
        <w:ind w:firstLine="560" w:firstLineChars="200"/>
      </w:pPr>
      <w:r>
        <w:t>考虑到金融收益分布的偏态和厚尾特征，本文假设未来 (h) 日沪深300累计收益服从偏态学生t分布：</w:t>
      </w:r>
    </w:p>
    <w:p w14:paraId="7B372074">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∼Skew</m:t>
          </m:r>
          <m:r>
            <m:rPr>
              <m:nor/>
              <m:sty m:val="p"/>
            </m:rPr>
            <m:t>-</m:t>
          </m:r>
          <m:r>
            <m:rPr/>
            <w:rPr>
              <w:rFonts w:ascii="Cambria Math" w:hAnsi="Cambria Math"/>
            </w:rPr>
            <m:t>t</m:t>
          </m:r>
          <m:d>
            <m:dPr>
              <m:sepChr m:val=","/>
              <m:ctrlPr>
                <w:rPr>
                  <w:rFonts w:ascii="Cambria Math" w:hAnsi="Cambria Math"/>
                </w:rPr>
              </m:ctrlPr>
            </m:dPr>
            <m:e>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p w14:paraId="0CE4FC81">
      <w:r>
        <w:t>其中：</w:t>
      </w:r>
    </w:p>
    <w:p w14:paraId="47B785CE">
      <w:r>
        <w:rPr>
          <w:rFonts w:hint="eastAsia"/>
          <w:position w:val="-14"/>
        </w:rPr>
        <w:object>
          <v:shape id="_x0000_i1088" o:spt="75" type="#_x0000_t75" style="height:20.2pt;width:24pt;" o:ole="t" filled="f" o:preferrelative="t" stroked="f" coordsize="21600,21600">
            <v:path/>
            <v:fill on="f" focussize="0,0"/>
            <v:stroke on="f" joinstyle="miter"/>
            <v:imagedata r:id="rId148" o:title=""/>
            <o:lock v:ext="edit" aspectratio="t"/>
            <w10:wrap type="none"/>
            <w10:anchorlock/>
          </v:shape>
          <o:OLEObject Type="Embed" ProgID="Equation.DSMT4" ShapeID="_x0000_i1088" DrawAspect="Content" ObjectID="_1468075788" r:id="rId147">
            <o:LockedField>false</o:LockedField>
          </o:OLEObject>
        </w:object>
      </w:r>
      <w:r>
        <w:rPr>
          <w:rFonts w:hint="eastAsia"/>
        </w:rPr>
        <w:t>：</w:t>
      </w:r>
      <w:r>
        <w:t>位置参数，表示未来收益的条件中心；</w:t>
      </w:r>
    </w:p>
    <w:p w14:paraId="6694F85D">
      <w:bookmarkStart w:id="22" w:name="OLE_LINK11"/>
      <w:r>
        <w:rPr>
          <w:rFonts w:hint="eastAsia"/>
          <w:position w:val="-14"/>
        </w:rPr>
        <w:object>
          <v:shape id="_x0000_i1089" o:spt="75" type="#_x0000_t75" style="height:20.2pt;width:24pt;" o:ole="t" filled="f" o:preferrelative="t" stroked="f" coordsize="21600,21600">
            <v:path/>
            <v:fill on="f" focussize="0,0"/>
            <v:stroke on="f" joinstyle="miter"/>
            <v:imagedata r:id="rId150" o:title=""/>
            <o:lock v:ext="edit" aspectratio="t"/>
            <w10:wrap type="none"/>
            <w10:anchorlock/>
          </v:shape>
          <o:OLEObject Type="Embed" ProgID="Equation.DSMT4" ShapeID="_x0000_i1089" DrawAspect="Content" ObjectID="_1468075789" r:id="rId149">
            <o:LockedField>false</o:LockedField>
          </o:OLEObject>
        </w:object>
      </w:r>
      <w:bookmarkEnd w:id="22"/>
      <w:r>
        <w:t>：尺度参数，表示未来收益分布的条件波动水平；</w:t>
      </w:r>
    </w:p>
    <w:p w14:paraId="7C090164">
      <w:bookmarkStart w:id="23" w:name="OLE_LINK12"/>
      <w:r>
        <w:rPr>
          <w:rFonts w:hint="eastAsia"/>
          <w:kern w:val="0"/>
          <w:position w:val="-14"/>
        </w:rPr>
        <w:object>
          <v:shape id="_x0000_i1090" o:spt="75" type="#_x0000_t75" style="height:20.2pt;width:21.25pt;" o:ole="t" filled="f" o:preferrelative="t" stroked="f" coordsize="21600,21600">
            <v:path/>
            <v:fill on="f" focussize="0,0"/>
            <v:stroke on="f" joinstyle="miter"/>
            <v:imagedata r:id="rId152" o:title=""/>
            <o:lock v:ext="edit" aspectratio="t"/>
            <w10:wrap type="none"/>
            <w10:anchorlock/>
          </v:shape>
          <o:OLEObject Type="Embed" ProgID="Equation.DSMT4" ShapeID="_x0000_i1090" DrawAspect="Content" ObjectID="_1468075790" r:id="rId151">
            <o:LockedField>false</o:LockedField>
          </o:OLEObject>
        </w:object>
      </w:r>
      <w:bookmarkEnd w:id="23"/>
      <w:r>
        <w:t>：自由度参数，控制分布尾部厚度；</w:t>
      </w:r>
    </w:p>
    <w:p w14:paraId="43B6D0CA">
      <w:r>
        <w:rPr>
          <w:rFonts w:hint="eastAsia"/>
          <w:kern w:val="0"/>
          <w:position w:val="-14"/>
        </w:rPr>
        <w:object>
          <v:shape id="_x0000_i1091" o:spt="75" type="#_x0000_t75" style="height:20.2pt;width:21.8pt;" o:ole="t" filled="f" o:preferrelative="t" stroked="f" coordsize="21600,21600">
            <v:path/>
            <v:fill on="f" focussize="0,0"/>
            <v:stroke on="f" joinstyle="miter"/>
            <v:imagedata r:id="rId154" o:title=""/>
            <o:lock v:ext="edit" aspectratio="t"/>
            <w10:wrap type="none"/>
            <w10:anchorlock/>
          </v:shape>
          <o:OLEObject Type="Embed" ProgID="Equation.DSMT4" ShapeID="_x0000_i1091" DrawAspect="Content" ObjectID="_1468075791" r:id="rId153">
            <o:LockedField>false</o:LockedField>
          </o:OLEObject>
        </w:object>
      </w:r>
      <w:r>
        <w:t xml:space="preserve">：偏度参数，控制收益分布的左右不对称性，且满足 </w:t>
      </w:r>
      <w:r>
        <w:rPr>
          <w:rFonts w:hint="eastAsia"/>
          <w:kern w:val="0"/>
          <w:position w:val="-14"/>
        </w:rPr>
        <w:object>
          <v:shape id="_x0000_i1092" o:spt="75" type="#_x0000_t75" style="height:20.2pt;width:21.8pt;" o:ole="t" filled="f" o:preferrelative="t" stroked="f" coordsize="21600,21600">
            <v:path/>
            <v:fill on="f" focussize="0,0"/>
            <v:stroke on="f" joinstyle="miter"/>
            <v:imagedata r:id="rId154" o:title=""/>
            <o:lock v:ext="edit" aspectratio="t"/>
            <w10:wrap type="none"/>
            <w10:anchorlock/>
          </v:shape>
          <o:OLEObject Type="Embed" ProgID="Equation.DSMT4" ShapeID="_x0000_i1092" DrawAspect="Content" ObjectID="_1468075792" r:id="rId155">
            <o:LockedField>false</o:LockedField>
          </o:OLEObject>
        </w:object>
      </w:r>
      <w:r>
        <w:t>&gt;0。</w:t>
      </w:r>
    </w:p>
    <w:p w14:paraId="475DF20A">
      <w:pPr>
        <w:ind w:firstLine="560" w:firstLineChars="200"/>
      </w:pPr>
      <w:r>
        <w:t>该分布通过分段缩放参数实现非对称尾部行为：对于</w:t>
      </w:r>
      <w:r>
        <w:rPr>
          <w:rFonts w:hint="eastAsia"/>
        </w:rPr>
        <w:t xml:space="preserve"> </w:t>
      </w:r>
      <w:r>
        <w:rPr>
          <w:rFonts w:hint="eastAsia"/>
          <w:position w:val="-10"/>
        </w:rPr>
        <w:object>
          <v:shape id="_x0000_i1093" o:spt="75" type="#_x0000_t75" style="height:13.1pt;width:31.1pt;" o:ole="t" filled="f" o:preferrelative="t" stroked="f" coordsize="21600,21600">
            <v:path/>
            <v:fill on="f" focussize="0,0"/>
            <v:stroke on="f" joinstyle="miter"/>
            <v:imagedata r:id="rId157" o:title=""/>
            <o:lock v:ext="edit" aspectratio="t"/>
            <w10:wrap type="none"/>
            <w10:anchorlock/>
          </v:shape>
          <o:OLEObject Type="Embed" ProgID="Equation.DSMT4" ShapeID="_x0000_i1093" DrawAspect="Content" ObjectID="_1468075793" r:id="rId156">
            <o:LockedField>false</o:LockedField>
          </o:OLEObject>
        </w:object>
      </w:r>
      <w:r>
        <w:t xml:space="preserve">缩放因子为 ξ，对于 </w:t>
      </w:r>
      <w:r>
        <w:rPr>
          <w:rFonts w:hint="eastAsia"/>
          <w:position w:val="-10"/>
        </w:rPr>
        <w:object>
          <v:shape id="_x0000_i1094" o:spt="75" type="#_x0000_t75" style="height:15.25pt;width:31.1pt;" o:ole="t" filled="f" o:preferrelative="t" stroked="f" coordsize="21600,21600">
            <v:path/>
            <v:fill on="f" focussize="0,0"/>
            <v:stroke on="f" joinstyle="miter"/>
            <v:imagedata r:id="rId159" o:title=""/>
            <o:lock v:ext="edit" aspectratio="t"/>
            <w10:wrap type="none"/>
            <w10:anchorlock/>
          </v:shape>
          <o:OLEObject Type="Embed" ProgID="Equation.DSMT4" ShapeID="_x0000_i1094" DrawAspect="Content" ObjectID="_1468075794" r:id="rId158">
            <o:LockedField>false</o:LockedField>
          </o:OLEObject>
        </w:object>
      </w:r>
      <w:r>
        <w:t>缩放因子为 1/ξ，从而同时捕捉条件异方差、厚尾和非对称尾部风险三个关键特征。</w:t>
      </w:r>
    </w:p>
    <w:p w14:paraId="0220B455">
      <w:pPr>
        <w:ind w:firstLine="560" w:firstLineChars="200"/>
      </w:pPr>
      <w:r>
        <w:t>传统 LSTM 在时序建模中存在以下局限性：</w:t>
      </w:r>
    </w:p>
    <w:p w14:paraId="56CE75A1">
      <w:r>
        <w:t>（i）递归计算导致梯度随序列长度衰减；</w:t>
      </w:r>
    </w:p>
    <w:p w14:paraId="030A19BC">
      <w:r>
        <w:t>（ii）门控参数在训练后固定，无法根据输入动态调整状态更新策略；（iii）缺乏显式的分布偏移校正机制，难以应对金融市场的非平稳特性。</w:t>
      </w:r>
    </w:p>
    <w:p w14:paraId="30454878">
      <w:pPr>
        <w:ind w:firstLine="560" w:firstLineChars="200"/>
      </w:pPr>
      <w:r>
        <w:t>为此，AdaMamba-Dist 结合双向 Mamba 选择性状态空间模型（Selective State-Space Model, SSM）和可逆实例归一化（Reversible Instance Normalization, RevIN），构成端到端的分布预测框架。核心创新在于：Mamba 的选择性状态空间机制允许模型在不同市场状态下动态切换时间感受野，而 RevIN 则自适应消除跨市场特征的尺度差异和分布偏移。</w:t>
      </w:r>
    </w:p>
    <w:p w14:paraId="55155623">
      <w:r>
        <w:rPr>
          <w:b/>
          <w:bCs/>
        </w:rPr>
        <w:t>（2）主模型输入变量</w:t>
      </w:r>
    </w:p>
    <w:p w14:paraId="1FE93971">
      <w:pPr>
        <w:ind w:firstLine="560" w:firstLineChars="200"/>
      </w:pPr>
      <w:r>
        <w:t>设输入窗口长度为 (L)，本文取：</w:t>
      </w:r>
    </w:p>
    <w:p w14:paraId="514D7606">
      <m:oMathPara>
        <m:oMath>
          <m:r>
            <m:rPr/>
            <w:rPr>
              <w:rFonts w:ascii="Cambria Math" w:hAnsi="Cambria Math"/>
            </w:rPr>
            <m:t>L=10</m:t>
          </m:r>
        </m:oMath>
      </m:oMathPara>
    </w:p>
    <w:p w14:paraId="23B59315">
      <w:pPr>
        <w:ind w:firstLine="560" w:firstLineChars="200"/>
      </w:pPr>
      <w:r>
        <w:t>即利用过去10个交易日的综合市场状态和核心市场自身特征预测未来1个交易日的收益分布参数。该设置能够在保留短期波动率聚集信息的同时，降低过长窗口带来的噪声累积。</w:t>
      </w:r>
    </w:p>
    <w:p w14:paraId="4D937FE8">
      <w:pPr>
        <w:widowControl/>
        <w:spacing w:line="240" w:lineRule="auto"/>
        <w:jc w:val="left"/>
        <w:rPr>
          <w:rFonts w:hint="eastAsia" w:ascii="宋体" w:hAnsi="宋体" w:cs="宋体"/>
          <w:color w:val="auto"/>
          <w:kern w:val="0"/>
          <w:sz w:val="24"/>
          <w:szCs w:val="24"/>
        </w:rPr>
      </w:pPr>
      <w:r>
        <w:t>主模型的输入由三部分组成：三个市场的历史收益率；核心市场自身滚动波动率；问题一提取的综合市场状态分布特征</w:t>
      </w:r>
      <w:r>
        <w:rPr>
          <w:rFonts w:hint="eastAsia"/>
        </w:rPr>
        <w:t>（</w:t>
      </w:r>
      <w:r>
        <w:rPr>
          <w:rFonts w:ascii="宋体" w:hAnsi="宋体" w:cs="宋体"/>
          <w:color w:val="auto"/>
          <w:kern w:val="0"/>
          <w:sz w:val="24"/>
          <w:szCs w:val="24"/>
        </w:rPr>
        <w:t xml:space="preserve">Wasserstein Barycenter 四阶矩 </w:t>
      </w:r>
      <m:oMath>
        <m:d>
          <m:dPr>
            <m:sepChr m:val=","/>
            <m:ctrlPr>
              <w:rPr>
                <w:rFonts w:ascii="Cambria Math" w:hAnsi="Cambria Math" w:cs="宋体"/>
                <w:color w:val="auto"/>
                <w:kern w:val="0"/>
                <w:sz w:val="24"/>
                <w:szCs w:val="24"/>
              </w:rPr>
            </m:ctrlPr>
          </m:dPr>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bar</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e>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bar</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e>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S</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bar</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e>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K</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r>
                  <m:rPr/>
                  <w:rPr>
                    <w:rFonts w:ascii="Cambria Math" w:hAnsi="Cambria Math" w:cs="宋体"/>
                    <w:color w:val="auto"/>
                    <w:kern w:val="0"/>
                    <w:sz w:val="24"/>
                    <w:szCs w:val="24"/>
                  </w:rPr>
                  <m:t>bar</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e>
        </m:d>
      </m:oMath>
    </w:p>
    <w:p w14:paraId="2E9EC34B">
      <w:pPr>
        <w:ind w:firstLine="560" w:firstLineChars="200"/>
      </w:pPr>
      <w:r>
        <w:t>因此，主模型输入可写为：</w:t>
      </w:r>
    </w:p>
    <w:p w14:paraId="56FCEE27">
      <m:oMathPara>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full</m:t>
              </m:r>
              <m:ctrlPr>
                <w:rPr>
                  <w:rFonts w:ascii="Cambria Math" w:hAnsi="Cambria Math"/>
                </w:rPr>
              </m:ctrlPr>
            </m:sup>
          </m:sSubSup>
          <m:r>
            <m:rPr/>
            <w:rPr>
              <w:rFonts w:ascii="Cambria Math" w:hAnsi="Cambria Math"/>
            </w:rPr>
            <m:t>=</m:t>
          </m:r>
          <m:d>
            <m:dPr>
              <m:begChr m:val="["/>
              <m:endChr m:val="]"/>
              <m:ctrlPr>
                <w:rPr>
                  <w:rFonts w:ascii="Cambria Math" w:hAnsi="Cambria Math"/>
                </w:rPr>
              </m:ctrlPr>
            </m:dPr>
            <m:e>
              <m:m>
                <m:mPr>
                  <m:mcs>
                    <m:mc>
                      <m:mcPr>
                        <m:count m:val="8"/>
                        <m:mcJc m:val="center"/>
                      </m:mcPr>
                    </m:mc>
                  </m:mcs>
                  <m:plcHide m:val="1"/>
                  <m:ctrlPr>
                    <w:rPr>
                      <w:rFonts w:ascii="Cambria Math" w:hAnsi="Cambria Math"/>
                    </w:rPr>
                  </m:ctrlPr>
                </m:mPr>
                <m:m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Gold</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Oil</m:t>
                        </m:r>
                        <m:ctrlPr>
                          <w:rPr>
                            <w:rFonts w:ascii="Cambria Math" w:hAnsi="Cambria Math"/>
                          </w:rPr>
                        </m:ctrlPr>
                      </m:sup>
                    </m:sSubSup>
                    <m:ctrlPr>
                      <w:rPr>
                        <w:rFonts w:ascii="Cambria Math" w:hAnsi="Cambria Math"/>
                      </w:rPr>
                    </m:ctrlPr>
                  </m:e>
                  <m:e>
                    <m:r>
                      <m:rPr/>
                      <w:rPr>
                        <w:rFonts w:ascii="Cambria Math" w:hAnsi="Cambria Math"/>
                      </w:rPr>
                      <m:t>R</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mr>
                <m:mr>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mr>
                <m:m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Gold</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Oil</m:t>
                        </m:r>
                        <m:ctrlPr>
                          <w:rPr>
                            <w:rFonts w:ascii="Cambria Math" w:hAnsi="Cambria Math"/>
                          </w:rPr>
                        </m:ctrlPr>
                      </m:sup>
                    </m:sSubSup>
                    <m:ctrlPr>
                      <w:rPr>
                        <w:rFonts w:ascii="Cambria Math" w:hAnsi="Cambria Math"/>
                      </w:rPr>
                    </m:ctrlPr>
                  </m:e>
                  <m:e>
                    <m:r>
                      <m:rPr/>
                      <w:rPr>
                        <w:rFonts w:ascii="Cambria Math" w:hAnsi="Cambria Math"/>
                      </w:rPr>
                      <m:t>R</m:t>
                    </m:r>
                    <m:sSubSup>
                      <m:sSubSupPr>
                        <m:ctrlPr>
                          <w:rPr>
                            <w:rFonts w:ascii="Cambria Math" w:hAnsi="Cambria Math"/>
                          </w:rPr>
                        </m:ctrlPr>
                      </m:sSubSup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bar</m:t>
                        </m:r>
                        <m:ctrlPr>
                          <w:rPr>
                            <w:rFonts w:ascii="Cambria Math" w:hAnsi="Cambria Math"/>
                          </w:rPr>
                        </m:ctrlPr>
                      </m:sup>
                    </m:sSubSup>
                    <m:ctrlPr>
                      <w:rPr>
                        <w:rFonts w:ascii="Cambria Math" w:hAnsi="Cambria Math"/>
                      </w:rPr>
                    </m:ctrlPr>
                  </m:e>
                </m:mr>
              </m:m>
              <m:ctrlPr>
                <w:rPr>
                  <w:rFonts w:ascii="Cambria Math" w:hAnsi="Cambria Math"/>
                </w:rPr>
              </m:ctrlPr>
            </m:e>
          </m:d>
        </m:oMath>
      </m:oMathPara>
    </w:p>
    <w:p w14:paraId="09489811">
      <w:pPr>
        <w:ind w:firstLine="560" w:firstLineChars="200"/>
      </w:pPr>
      <w:r>
        <w:t>其中，</w:t>
      </w:r>
      <w:r>
        <w:rPr>
          <w:rFonts w:hint="eastAsia"/>
          <w:position w:val="-16"/>
        </w:rPr>
        <w:object>
          <v:shape id="_x0000_i1095" o:spt="75" type="#_x0000_t75" style="height:21.8pt;width:52.9pt;" o:ole="t" filled="f" o:preferrelative="t" stroked="f" coordsize="21600,21600">
            <v:path/>
            <v:fill on="f" focussize="0,0"/>
            <v:stroke on="f" joinstyle="miter"/>
            <v:imagedata r:id="rId161" o:title=""/>
            <o:lock v:ext="edit" aspectratio="t"/>
            <w10:wrap type="none"/>
            <w10:anchorlock/>
          </v:shape>
          <o:OLEObject Type="Embed" ProgID="Equation.DSMT4" ShapeID="_x0000_i1095" DrawAspect="Content" ObjectID="_1468075795" r:id="rId160">
            <o:LockedField>false</o:LockedField>
          </o:OLEObject>
        </w:object>
      </w:r>
      <w:r>
        <w:t>表示沪深300过去10个交易日收益率的滚动波动率估计。该输入矩阵的维度为：</w:t>
      </w:r>
    </w:p>
    <w:p w14:paraId="40FE6BBD">
      <m:oMathPara>
        <m:oMath>
          <m:r>
            <m:rPr/>
            <w:rPr>
              <w:rFonts w:ascii="Cambria Math" w:hAnsi="Cambria Math"/>
            </w:rPr>
            <m:t>L×8</m:t>
          </m:r>
        </m:oMath>
      </m:oMathPara>
    </w:p>
    <w:p w14:paraId="7B7807E6">
      <w:pPr>
        <w:ind w:firstLine="560" w:firstLineChars="200"/>
      </w:pPr>
      <w:r>
        <w:t>其中8个特征分别为三市场收益率、核心市场滚动波动率和四个综合市场状态分布特征。</w:t>
      </w:r>
    </w:p>
    <w:p w14:paraId="15B9C5A9">
      <w:pPr>
        <w:ind w:firstLine="562" w:firstLineChars="200"/>
      </w:pPr>
      <w:r>
        <w:rPr>
          <w:b/>
          <w:bCs/>
        </w:rPr>
        <w:t>RevIN 预处理</w:t>
      </w:r>
      <w:r>
        <w:t xml:space="preserve">：与 LSTM 模型不同，AdaMamba-Dist 在输入阶段对每个 </w:t>
      </w:r>
      <m:oMath>
        <m:r>
          <m:rPr/>
          <w:rPr>
            <w:rFonts w:ascii="Cambria Math" w:hAnsi="Cambria Math"/>
          </w:rPr>
          <m:t>L×8</m:t>
        </m:r>
      </m:oMath>
      <w:r>
        <w:t>的输入实例按特征维度进行实例级归一化：</w:t>
      </w:r>
    </w:p>
    <w:p w14:paraId="12E0AD9B">
      <w:pPr>
        <w:widowControl/>
        <w:spacing w:line="240" w:lineRule="auto"/>
        <w:jc w:val="left"/>
        <w:rPr>
          <w:rFonts w:hint="eastAsia" w:ascii="宋体" w:hAnsi="宋体" w:cs="宋体"/>
          <w:color w:val="auto"/>
          <w:kern w:val="0"/>
          <w:sz w:val="24"/>
          <w:szCs w:val="24"/>
        </w:rPr>
      </w:pPr>
      <m:oMathPara>
        <m:oMath>
          <m:sSubSup>
            <m:sSubSupPr>
              <m:ctrlPr>
                <w:rPr>
                  <w:rFonts w:ascii="Cambria Math" w:hAnsi="Cambria Math" w:cs="宋体"/>
                  <w:color w:val="auto"/>
                  <w:kern w:val="0"/>
                  <w:sz w:val="24"/>
                  <w:szCs w:val="24"/>
                </w:rPr>
              </m:ctrlPr>
            </m:sSubSupPr>
            <m:e>
              <m:acc>
                <m:accPr>
                  <m:chr m:val="̃"/>
                  <m:ctrlPr>
                    <w:rPr>
                      <w:rFonts w:ascii="Cambria Math" w:hAnsi="Cambria Math" w:cs="宋体"/>
                      <w:color w:val="auto"/>
                      <w:kern w:val="0"/>
                      <w:sz w:val="24"/>
                      <w:szCs w:val="24"/>
                    </w:rPr>
                  </m:ctrlPr>
                </m:accPr>
                <m:e>
                  <m:r>
                    <m:rPr/>
                    <w:rPr>
                      <w:rFonts w:ascii="Cambria Math" w:hAnsi="Cambria Math" w:cs="宋体"/>
                      <w:color w:val="auto"/>
                      <w:kern w:val="0"/>
                      <w:sz w:val="24"/>
                      <w:szCs w:val="24"/>
                    </w:rPr>
                    <m:t>x</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d>
                <m:dPr>
                  <m:ctrlPr>
                    <w:rPr>
                      <w:rFonts w:ascii="Cambria Math" w:hAnsi="Cambria Math" w:cs="宋体"/>
                      <w:color w:val="auto"/>
                      <w:kern w:val="0"/>
                      <w:sz w:val="24"/>
                      <w:szCs w:val="24"/>
                    </w:rPr>
                  </m:ctrlPr>
                </m:dPr>
                <m:e>
                  <m:r>
                    <m:rPr/>
                    <w:rPr>
                      <w:rFonts w:ascii="Cambria Math" w:hAnsi="Cambria Math" w:cs="宋体"/>
                      <w:color w:val="auto"/>
                      <w:kern w:val="0"/>
                      <w:sz w:val="24"/>
                      <w:szCs w:val="24"/>
                    </w:rPr>
                    <m:t>k</m:t>
                  </m:r>
                  <m:ctrlPr>
                    <w:rPr>
                      <w:rFonts w:ascii="Cambria Math" w:hAnsi="Cambria Math" w:cs="宋体"/>
                      <w:color w:val="auto"/>
                      <w:kern w:val="0"/>
                      <w:sz w:val="24"/>
                      <w:szCs w:val="24"/>
                    </w:rPr>
                  </m:ctrlPr>
                </m:e>
              </m:d>
              <m:ctrlPr>
                <w:rPr>
                  <w:rFonts w:ascii="Cambria Math" w:hAnsi="Cambria Math" w:cs="宋体"/>
                  <w:color w:val="auto"/>
                  <w:kern w:val="0"/>
                  <w:sz w:val="24"/>
                  <w:szCs w:val="24"/>
                </w:rPr>
              </m:ctrlPr>
            </m:sup>
          </m:sSubSup>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up>
                  <m:d>
                    <m:dPr>
                      <m:ctrlPr>
                        <w:rPr>
                          <w:rFonts w:ascii="Cambria Math" w:hAnsi="Cambria Math" w:cs="宋体"/>
                          <w:color w:val="auto"/>
                          <w:kern w:val="0"/>
                          <w:sz w:val="24"/>
                          <w:szCs w:val="24"/>
                        </w:rPr>
                      </m:ctrlPr>
                    </m:dPr>
                    <m:e>
                      <m:r>
                        <m:rPr/>
                        <w:rPr>
                          <w:rFonts w:ascii="Cambria Math" w:hAnsi="Cambria Math" w:cs="宋体"/>
                          <w:color w:val="auto"/>
                          <w:kern w:val="0"/>
                          <w:sz w:val="24"/>
                          <w:szCs w:val="24"/>
                        </w:rPr>
                        <m:t>k</m:t>
                      </m:r>
                      <m:ctrlPr>
                        <w:rPr>
                          <w:rFonts w:ascii="Cambria Math" w:hAnsi="Cambria Math" w:cs="宋体"/>
                          <w:color w:val="auto"/>
                          <w:kern w:val="0"/>
                          <w:sz w:val="24"/>
                          <w:szCs w:val="24"/>
                        </w:rPr>
                      </m:ctrlPr>
                    </m:e>
                  </m:d>
                  <m:ctrlPr>
                    <w:rPr>
                      <w:rFonts w:ascii="Cambria Math" w:hAnsi="Cambria Math" w:cs="宋体"/>
                      <w:color w:val="auto"/>
                      <w:kern w:val="0"/>
                      <w:sz w:val="24"/>
                      <w:szCs w:val="24"/>
                    </w:rPr>
                  </m:ctrlPr>
                </m:sup>
              </m:sSubSup>
              <m:r>
                <m:rPr/>
                <w:rPr>
                  <w:rFonts w:ascii="Cambria Math" w:hAnsi="Cambria Math" w:cs="宋体"/>
                  <w:color w:val="auto"/>
                  <w:kern w:val="0"/>
                  <w:sz w:val="24"/>
                  <w:szCs w:val="24"/>
                </w:rPr>
                <m:t>−</m:t>
              </m:r>
              <m:r>
                <m:rPr>
                  <m:sty m:val="p"/>
                  <m:scr m:val="double-struck"/>
                </m:rPr>
                <w:rPr>
                  <w:rFonts w:ascii="Cambria Math" w:hAnsi="Cambria Math" w:cs="宋体"/>
                  <w:color w:val="auto"/>
                  <w:kern w:val="0"/>
                  <w:sz w:val="24"/>
                  <w:szCs w:val="24"/>
                </w:rPr>
                <m:t>E</m:t>
              </m:r>
              <m:r>
                <m:rPr/>
                <w:rPr>
                  <w:rFonts w:ascii="Cambria Math" w:hAnsi="Cambria Math" w:cs="宋体"/>
                  <w:color w:val="auto"/>
                  <w:kern w:val="0"/>
                  <w:sz w:val="24"/>
                  <w:szCs w:val="24"/>
                </w:rPr>
                <m:t>[</m:t>
              </m:r>
              <m:sSup>
                <m:sSupPr>
                  <m:ctrlPr>
                    <w:rPr>
                      <w:rFonts w:ascii="Cambria Math" w:hAnsi="Cambria Math" w:cs="宋体"/>
                      <w:color w:val="auto"/>
                      <w:kern w:val="0"/>
                      <w:sz w:val="24"/>
                      <w:szCs w:val="24"/>
                    </w:rPr>
                  </m:ctrlPr>
                </m:sSup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p>
                  <m:d>
                    <m:dPr>
                      <m:ctrlPr>
                        <w:rPr>
                          <w:rFonts w:ascii="Cambria Math" w:hAnsi="Cambria Math" w:cs="宋体"/>
                          <w:color w:val="auto"/>
                          <w:kern w:val="0"/>
                          <w:sz w:val="24"/>
                          <w:szCs w:val="24"/>
                        </w:rPr>
                      </m:ctrlPr>
                    </m:dPr>
                    <m:e>
                      <m:r>
                        <m:rPr/>
                        <w:rPr>
                          <w:rFonts w:ascii="Cambria Math" w:hAnsi="Cambria Math" w:cs="宋体"/>
                          <w:color w:val="auto"/>
                          <w:kern w:val="0"/>
                          <w:sz w:val="24"/>
                          <w:szCs w:val="24"/>
                        </w:rPr>
                        <m:t>k</m:t>
                      </m:r>
                      <m:ctrlPr>
                        <w:rPr>
                          <w:rFonts w:ascii="Cambria Math" w:hAnsi="Cambria Math" w:cs="宋体"/>
                          <w:color w:val="auto"/>
                          <w:kern w:val="0"/>
                          <w:sz w:val="24"/>
                          <w:szCs w:val="24"/>
                        </w:rPr>
                      </m:ctrlPr>
                    </m:e>
                  </m:d>
                  <m:ctrlPr>
                    <w:rPr>
                      <w:rFonts w:ascii="Cambria Math" w:hAnsi="Cambria Math" w:cs="宋体"/>
                      <w:color w:val="auto"/>
                      <w:kern w:val="0"/>
                      <w:sz w:val="24"/>
                      <w:szCs w:val="24"/>
                    </w:rPr>
                  </m:ctrlPr>
                </m:sup>
              </m:sSup>
              <m:r>
                <m:rPr/>
                <w:rPr>
                  <w:rFonts w:ascii="Cambria Math" w:hAnsi="Cambria Math" w:cs="宋体"/>
                  <w:color w:val="auto"/>
                  <w:kern w:val="0"/>
                  <w:sz w:val="24"/>
                  <w:szCs w:val="24"/>
                </w:rPr>
                <m:t>]</m:t>
              </m:r>
              <m:ctrlPr>
                <w:rPr>
                  <w:rFonts w:ascii="Cambria Math" w:hAnsi="Cambria Math" w:cs="宋体"/>
                  <w:color w:val="auto"/>
                  <w:kern w:val="0"/>
                  <w:sz w:val="24"/>
                  <w:szCs w:val="24"/>
                </w:rPr>
              </m:ctrlPr>
            </m:num>
            <m:den>
              <m:rad>
                <m:radPr>
                  <m:degHide m:val="1"/>
                  <m:ctrlPr>
                    <w:rPr>
                      <w:rFonts w:ascii="Cambria Math" w:hAnsi="Cambria Math" w:cs="宋体"/>
                      <w:color w:val="auto"/>
                      <w:kern w:val="0"/>
                      <w:sz w:val="24"/>
                      <w:szCs w:val="24"/>
                    </w:rPr>
                  </m:ctrlPr>
                </m:radPr>
                <m:deg>
                  <m:ctrlPr>
                    <w:rPr>
                      <w:rFonts w:ascii="Cambria Math" w:hAnsi="Cambria Math" w:cs="宋体"/>
                      <w:color w:val="auto"/>
                      <w:kern w:val="0"/>
                      <w:sz w:val="24"/>
                      <w:szCs w:val="24"/>
                    </w:rPr>
                  </m:ctrlPr>
                </m:deg>
                <m:e>
                  <m:r>
                    <m:rPr>
                      <m:nor/>
                      <m:sty m:val="p"/>
                    </m:rPr>
                    <w:rPr>
                      <w:rFonts w:ascii="宋体" w:hAnsi="宋体" w:cs="宋体"/>
                      <w:color w:val="auto"/>
                      <w:kern w:val="0"/>
                      <w:sz w:val="24"/>
                      <w:szCs w:val="24"/>
                    </w:rPr>
                    <m:t>Var</m:t>
                  </m:r>
                  <m:r>
                    <m:rPr/>
                    <w:rPr>
                      <w:rFonts w:ascii="Cambria Math" w:hAnsi="Cambria Math" w:cs="宋体"/>
                      <w:color w:val="auto"/>
                      <w:kern w:val="0"/>
                      <w:sz w:val="24"/>
                      <w:szCs w:val="24"/>
                    </w:rPr>
                    <m:t>[</m:t>
                  </m:r>
                  <m:sSup>
                    <m:sSupPr>
                      <m:ctrlPr>
                        <w:rPr>
                          <w:rFonts w:ascii="Cambria Math" w:hAnsi="Cambria Math" w:cs="宋体"/>
                          <w:color w:val="auto"/>
                          <w:kern w:val="0"/>
                          <w:sz w:val="24"/>
                          <w:szCs w:val="24"/>
                        </w:rPr>
                      </m:ctrlPr>
                    </m:sSup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p>
                      <m:d>
                        <m:dPr>
                          <m:ctrlPr>
                            <w:rPr>
                              <w:rFonts w:ascii="Cambria Math" w:hAnsi="Cambria Math" w:cs="宋体"/>
                              <w:color w:val="auto"/>
                              <w:kern w:val="0"/>
                              <w:sz w:val="24"/>
                              <w:szCs w:val="24"/>
                            </w:rPr>
                          </m:ctrlPr>
                        </m:dPr>
                        <m:e>
                          <m:r>
                            <m:rPr/>
                            <w:rPr>
                              <w:rFonts w:ascii="Cambria Math" w:hAnsi="Cambria Math" w:cs="宋体"/>
                              <w:color w:val="auto"/>
                              <w:kern w:val="0"/>
                              <w:sz w:val="24"/>
                              <w:szCs w:val="24"/>
                            </w:rPr>
                            <m:t>k</m:t>
                          </m:r>
                          <m:ctrlPr>
                            <w:rPr>
                              <w:rFonts w:ascii="Cambria Math" w:hAnsi="Cambria Math" w:cs="宋体"/>
                              <w:color w:val="auto"/>
                              <w:kern w:val="0"/>
                              <w:sz w:val="24"/>
                              <w:szCs w:val="24"/>
                            </w:rPr>
                          </m:ctrlPr>
                        </m:e>
                      </m:d>
                      <m:ctrlPr>
                        <w:rPr>
                          <w:rFonts w:ascii="Cambria Math" w:hAnsi="Cambria Math" w:cs="宋体"/>
                          <w:color w:val="auto"/>
                          <w:kern w:val="0"/>
                          <w:sz w:val="24"/>
                          <w:szCs w:val="24"/>
                        </w:rPr>
                      </m:ctrlPr>
                    </m:sup>
                  </m:sSup>
                  <m:r>
                    <m:rPr/>
                    <w:rPr>
                      <w:rFonts w:ascii="Cambria Math" w:hAnsi="Cambria Math" w:cs="宋体"/>
                      <w:color w:val="auto"/>
                      <w:kern w:val="0"/>
                      <w:sz w:val="24"/>
                      <w:szCs w:val="24"/>
                    </w:rPr>
                    <m:t>]+ϵ</m:t>
                  </m:r>
                  <m:ctrlPr>
                    <w:rPr>
                      <w:rFonts w:ascii="Cambria Math" w:hAnsi="Cambria Math" w:cs="宋体"/>
                      <w:color w:val="auto"/>
                      <w:kern w:val="0"/>
                      <w:sz w:val="24"/>
                      <w:szCs w:val="24"/>
                    </w:rPr>
                  </m:ctrlPr>
                </m:e>
              </m:rad>
              <m:ctrlPr>
                <w:rPr>
                  <w:rFonts w:ascii="Cambria Math" w:hAnsi="Cambria Math" w:cs="宋体"/>
                  <w:color w:val="auto"/>
                  <w:kern w:val="0"/>
                  <w:sz w:val="24"/>
                  <w:szCs w:val="24"/>
                </w:rPr>
              </m:ctrlPr>
            </m:den>
          </m:f>
          <m:r>
            <m:rPr>
              <m:sty m:val="p"/>
            </m:rPr>
            <w:rPr>
              <w:rFonts w:ascii="Cambria Math" w:hAnsi="Cambria Math" w:cs="宋体"/>
              <w:color w:val="auto"/>
              <w:kern w:val="0"/>
              <w:sz w:val="24"/>
              <w:szCs w:val="24"/>
            </w:rPr>
            <w:br w:type="textWrapping"/>
          </m:r>
        </m:oMath>
      </m:oMathPara>
    </w:p>
    <w:p w14:paraId="5070C92E">
      <w:pPr>
        <w:ind w:firstLine="560" w:firstLineChars="200"/>
      </w:pPr>
      <w:r>
        <w:t xml:space="preserve">其中均值和方差在实例内的 </w:t>
      </w:r>
      <m:oMath>
        <m:r>
          <m:rPr/>
          <w:rPr>
            <w:rFonts w:ascii="Cambria Math" w:hAnsi="Cambria Math"/>
          </w:rPr>
          <m:t>L</m:t>
        </m:r>
      </m:oMath>
      <w:r>
        <w:t xml:space="preserve">个时间步上计算。归一化统计量保留在计算图中，模型可学习仿射参数进行自适应缩放。该机制对于金融时间序列尤为关键——低波动期与危机期的特征尺度差异巨大（如收益率在 </w:t>
      </w:r>
      <m:oMath>
        <m:d>
          <m:dPr>
            <m:begChr m:val="["/>
            <m:endChr m:val="]"/>
            <m:ctrlPr>
              <w:rPr>
                <w:rFonts w:ascii="Cambria Math" w:hAnsi="Cambria Math"/>
              </w:rPr>
            </m:ctrlPr>
          </m:dPr>
          <m:e>
            <m:r>
              <m:rPr/>
              <w:rPr>
                <w:rFonts w:ascii="Cambria Math" w:hAnsi="Cambria Math"/>
              </w:rPr>
              <m:t>−0.10,0.10</m:t>
            </m:r>
            <m:ctrlPr>
              <w:rPr>
                <w:rFonts w:ascii="Cambria Math" w:hAnsi="Cambria Math"/>
              </w:rPr>
            </m:ctrlPr>
          </m:e>
        </m:d>
      </m:oMath>
      <w:r>
        <w:t xml:space="preserve">而峰度在 </w:t>
      </w:r>
      <m:oMath>
        <m:d>
          <m:dPr>
            <m:begChr m:val="["/>
            <m:sepChr m:val=","/>
            <m:endChr m:val="]"/>
            <m:ctrlPr>
              <w:rPr>
                <w:rFonts w:ascii="Cambria Math" w:hAnsi="Cambria Math"/>
              </w:rPr>
            </m:ctrlPr>
          </m:dPr>
          <m:e>
            <m:r>
              <m:rPr/>
              <w:rPr>
                <w:rFonts w:ascii="Cambria Math" w:hAnsi="Cambria Math"/>
              </w:rPr>
              <m:t>0</m:t>
            </m:r>
            <m:ctrlPr>
              <w:rPr>
                <w:rFonts w:ascii="Cambria Math" w:hAnsi="Cambria Math"/>
              </w:rPr>
            </m:ctrlPr>
          </m:e>
          <m:e>
            <m:r>
              <m:rPr/>
              <w:rPr>
                <w:rFonts w:ascii="Cambria Math" w:hAnsi="Cambria Math"/>
              </w:rPr>
              <m:t>20</m:t>
            </m:r>
            <m:ctrlPr>
              <w:rPr>
                <w:rFonts w:ascii="Cambria Math" w:hAnsi="Cambria Math"/>
              </w:rPr>
            </m:ctrlPr>
          </m:e>
        </m:d>
      </m:oMath>
      <w:r>
        <w:t>），实例级归一化比全局标准化更具自适应性。</w:t>
      </w:r>
    </w:p>
    <w:p w14:paraId="11E2DA8E">
      <w:pPr>
        <w:ind w:firstLine="560" w:firstLineChars="200"/>
      </w:pPr>
      <w:r>
        <w:t>目标变量同样在训练前进行全局标准化：</w:t>
      </w:r>
    </w:p>
    <w:p w14:paraId="46E74231">
      <w:pPr>
        <w:widowControl/>
        <w:spacing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acc>
                <m:accPr>
                  <m:chr m:val="̃"/>
                  <m:ctrlPr>
                    <w:rPr>
                      <w:rFonts w:ascii="Cambria Math" w:hAnsi="Cambria Math" w:cs="宋体"/>
                      <w:color w:val="auto"/>
                      <w:kern w:val="0"/>
                      <w:sz w:val="24"/>
                      <w:szCs w:val="24"/>
                    </w:rPr>
                  </m:ctrlPr>
                </m:accPr>
                <m:e>
                  <m:r>
                    <m:rPr/>
                    <w:rPr>
                      <w:rFonts w:ascii="Cambria Math" w:hAnsi="Cambria Math" w:cs="宋体"/>
                      <w:color w:val="auto"/>
                      <w:kern w:val="0"/>
                      <w:sz w:val="24"/>
                      <w:szCs w:val="24"/>
                    </w:rPr>
                    <m:t>y</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y</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y</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num>
            <m:den>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y</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den>
          </m:f>
        </m:oMath>
      </m:oMathPara>
    </w:p>
    <w:p w14:paraId="05293A35">
      <w:pPr>
        <w:ind w:firstLine="560" w:firstLineChars="200"/>
        <w:rPr>
          <w:rFonts w:hint="eastAsia" w:ascii="宋体" w:hAnsi="宋体"/>
        </w:rPr>
      </w:pPr>
      <w:r>
        <w:rPr>
          <w:rFonts w:ascii="宋体" w:hAnsi="宋体"/>
        </w:rPr>
        <w:t>推理时对位置和尺度参数进行逆变换：</w:t>
      </w:r>
      <m:oMath>
        <m:sSub>
          <m:sSubPr>
            <m:ctrlPr>
              <w:rPr>
                <w:rFonts w:ascii="Cambria Math" w:hAnsi="Cambria Math"/>
              </w:rPr>
            </m:ctrlPr>
          </m:sSubPr>
          <m:e>
            <m:acc>
              <m:accPr>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y</m:t>
            </m:r>
            <m:ctrlPr>
              <w:rPr>
                <w:rFonts w:ascii="Cambria Math" w:hAnsi="Cambria Math"/>
              </w:rPr>
            </m:ctrlPr>
          </m:sub>
        </m:sSub>
      </m:oMath>
      <w:r>
        <w:rPr>
          <w:rFonts w:ascii="宋体" w:hAnsi="宋体"/>
        </w:rPr>
        <w:t>，</w:t>
      </w:r>
      <m:oMath>
        <m:sSub>
          <m:sSubPr>
            <m:ctrlPr>
              <w:rPr>
                <w:rFonts w:ascii="Cambria Math" w:hAnsi="Cambria Math"/>
              </w:rPr>
            </m:ctrlPr>
          </m:sSubPr>
          <m:e>
            <m:acc>
              <m:accPr>
                <m:ctrlPr>
                  <w:rPr>
                    <w:rFonts w:ascii="Cambria Math" w:hAnsi="Cambria Math"/>
                  </w:rPr>
                </m:ctrlPr>
              </m:accPr>
              <m:e>
                <m:r>
                  <m:rPr/>
                  <w:rPr>
                    <w:rFonts w:ascii="Cambria Math" w:hAnsi="Cambria Math"/>
                  </w:rPr>
                  <m:t>σ</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σ</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oMath>
      <w:r>
        <w:rPr>
          <w:rFonts w:ascii="宋体" w:hAnsi="宋体"/>
        </w:rPr>
        <w:t xml:space="preserve">。形状参数 </w:t>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Sub>
      </m:oMath>
      <w:r>
        <w:rPr>
          <w:rFonts w:ascii="宋体" w:hAnsi="宋体"/>
        </w:rPr>
        <w:t xml:space="preserve">和 </w:t>
      </w:r>
      <m:oMath>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Sub>
      </m:oMath>
      <w:r>
        <w:rPr>
          <w:rFonts w:ascii="宋体" w:hAnsi="宋体"/>
        </w:rPr>
        <w:t>具有尺度不变性，直接使用。</w:t>
      </w:r>
    </w:p>
    <w:p w14:paraId="46D40561">
      <w:pPr>
        <w:rPr>
          <w:b/>
          <w:bCs/>
        </w:rPr>
      </w:pPr>
      <w:r>
        <w:rPr>
          <w:rFonts w:hint="eastAsia"/>
          <w:b/>
          <w:bCs/>
        </w:rPr>
        <w:t>（3）主</w:t>
      </w:r>
      <w:r>
        <w:rPr>
          <w:b/>
          <w:bCs/>
        </w:rPr>
        <w:t>模型输出</w:t>
      </w:r>
    </w:p>
    <w:p w14:paraId="4EDF39C5">
      <w:pPr>
        <w:ind w:firstLine="560" w:firstLineChars="200"/>
      </w:pPr>
      <w:r>
        <w:t>AdaMamba-Dis的输出为未来累计收益分布的动态参数：</w:t>
      </w:r>
    </w:p>
    <w:p w14:paraId="64B82B1B">
      <m:oMathPara>
        <m:oMath>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acc>
                    <m:accPr>
                      <m:ctrlPr>
                        <w:rPr>
                          <w:rFonts w:ascii="Cambria Math" w:hAnsi="Cambria Math"/>
                        </w:rPr>
                      </m:ctrlPr>
                    </m:accPr>
                    <m:e>
                      <m:r>
                        <m:rPr/>
                        <w:rPr>
                          <w:rFonts w:ascii="Cambria Math" w:hAnsi="Cambria Math"/>
                        </w:rPr>
                        <m:t>σ</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acc>
                    <m:accPr>
                      <m:ctrlPr>
                        <w:rPr>
                          <w:rFonts w:ascii="Cambria Math" w:hAnsi="Cambria Math"/>
                        </w:rPr>
                      </m:ctrlPr>
                    </m:accPr>
                    <m:e>
                      <m:r>
                        <m:rPr/>
                        <w:rPr>
                          <w:rFonts w:ascii="Cambria Math" w:hAnsi="Cambria Math"/>
                        </w:rPr>
                        <m:t>ν</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
              <m:sSub>
                <m:sSubPr>
                  <m:ctrlPr>
                    <w:rPr>
                      <w:rFonts w:ascii="Cambria Math" w:hAnsi="Cambria Math"/>
                    </w:rPr>
                  </m:ctrlPr>
                </m:sSubPr>
                <m:e>
                  <m:acc>
                    <m:accPr>
                      <m:ctrlPr>
                        <w:rPr>
                          <w:rFonts w:ascii="Cambria Math" w:hAnsi="Cambria Math"/>
                        </w:rPr>
                      </m:ctrlPr>
                    </m:accPr>
                    <m:e>
                      <m:r>
                        <m:rPr/>
                        <w:rPr>
                          <w:rFonts w:ascii="Cambria Math" w:hAnsi="Cambria Math"/>
                        </w:rPr>
                        <m:t>ξ</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p w14:paraId="26ADDCB0">
      <w:pPr>
        <w:ind w:firstLine="562" w:firstLineChars="200"/>
      </w:pPr>
      <w:r>
        <w:rPr>
          <w:b/>
          <w:bCs/>
        </w:rPr>
        <w:t>双向 Mamba SSM 编码器</w:t>
      </w:r>
      <w:r>
        <w:t>：Mamba 块作为离散化的连续系统运行：</w:t>
      </w:r>
    </w:p>
    <w:p w14:paraId="76F81763">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acc>
            <m:accPr>
              <m:chr m:val="ˉ"/>
              <m:ctrlPr>
                <w:rPr>
                  <w:rFonts w:ascii="Cambria Math" w:hAnsi="Cambria Math"/>
                </w:rPr>
              </m:ctrlPr>
            </m:accPr>
            <m:e>
              <m:r>
                <m:rPr/>
                <w:rPr>
                  <w:rFonts w:ascii="Cambria Math" w:hAnsi="Cambria Math"/>
                </w:rPr>
                <m:t>A</m:t>
              </m:r>
              <m:ctrlPr>
                <w:rPr>
                  <w:rFonts w:ascii="Cambria Math" w:hAnsi="Cambria Math"/>
                </w:rPr>
              </m:ctrlPr>
            </m:e>
          </m:acc>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acc>
            <m:accPr>
              <m:chr m:val="ˉ"/>
              <m:ctrlPr>
                <w:rPr>
                  <w:rFonts w:ascii="Cambria Math" w:hAnsi="Cambria Math"/>
                </w:rPr>
              </m:ctrlPr>
            </m:accPr>
            <m:e>
              <m:r>
                <m:rPr/>
                <w:rPr>
                  <w:rFonts w:ascii="Cambria Math" w:hAnsi="Cambria Math"/>
                </w:rPr>
                <m:t>B</m:t>
              </m:r>
              <m:ctrlPr>
                <w:rPr>
                  <w:rFonts w:ascii="Cambria Math" w:hAnsi="Cambria Math"/>
                </w:rPr>
              </m:ctrlPr>
            </m:e>
          </m:acc>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=C⋅</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m:oMathPara>
    </w:p>
    <w:p w14:paraId="26A62DCC">
      <w:pPr>
        <w:widowControl/>
        <w:spacing w:before="100" w:beforeAutospacing="1" w:after="100" w:afterAutospacing="1" w:line="240" w:lineRule="auto"/>
        <w:jc w:val="left"/>
        <w:rPr>
          <w:rFonts w:hint="eastAsia" w:ascii="宋体" w:hAnsi="宋体" w:cs="宋体"/>
          <w:color w:val="auto"/>
          <w:kern w:val="0"/>
          <w:sz w:val="24"/>
          <w:szCs w:val="24"/>
        </w:rPr>
      </w:pPr>
      <w:r>
        <w:t>其中离散化参数是输入依赖的（即选择性机制）</w:t>
      </w:r>
      <w:r>
        <w:rPr>
          <w:rFonts w:ascii="宋体" w:hAnsi="宋体" w:cs="宋体"/>
          <w:color w:val="auto"/>
          <w:kern w:val="0"/>
          <w:sz w:val="24"/>
          <w:szCs w:val="24"/>
        </w:rPr>
        <w:t>：</w:t>
      </w:r>
    </w:p>
    <w:p w14:paraId="5037B643">
      <w:pPr>
        <w:widowControl/>
        <w:spacing w:line="240" w:lineRule="auto"/>
        <w:jc w:val="left"/>
        <w:rPr>
          <w:rFonts w:hint="eastAsia" w:ascii="宋体" w:hAnsi="宋体" w:cs="宋体"/>
          <w:color w:val="auto"/>
          <w:kern w:val="0"/>
          <w:sz w:val="24"/>
          <w:szCs w:val="24"/>
        </w:rPr>
      </w:pPr>
      <m:oMathPara>
        <m:oMath>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m:t>
          </m:r>
          <m:r>
            <m:rPr>
              <m:nor/>
              <m:sty m:val="p"/>
            </m:rPr>
            <w:rPr>
              <w:rFonts w:ascii="宋体" w:hAnsi="宋体" w:cs="宋体"/>
              <w:color w:val="auto"/>
              <w:kern w:val="0"/>
              <w:sz w:val="24"/>
              <w:szCs w:val="24"/>
            </w:rPr>
            <m:t>softplus</m:t>
          </m:r>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m:sty m:val="p"/>
                </m:rPr>
                <w:rPr>
                  <w:rFonts w:ascii="Cambria Math" w:hAnsi="Cambria Math" w:cs="宋体"/>
                  <w:color w:val="auto"/>
                  <w:kern w:val="0"/>
                  <w:sz w:val="24"/>
                  <w:szCs w:val="24"/>
                </w:rPr>
                <m:t>Δ</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b</m:t>
              </m:r>
              <m:ctrlPr>
                <w:rPr>
                  <w:rFonts w:ascii="Cambria Math" w:hAnsi="Cambria Math" w:cs="宋体"/>
                  <w:color w:val="auto"/>
                  <w:kern w:val="0"/>
                  <w:sz w:val="24"/>
                  <w:szCs w:val="24"/>
                </w:rPr>
              </m:ctrlPr>
            </m:e>
            <m:sub>
              <m:r>
                <m:rPr>
                  <m:sty m:val="p"/>
                </m:rPr>
                <w:rPr>
                  <w:rFonts w:ascii="Cambria Math" w:hAnsi="Cambria Math" w:cs="宋体"/>
                  <w:color w:val="auto"/>
                  <w:kern w:val="0"/>
                  <w:sz w:val="24"/>
                  <w:szCs w:val="24"/>
                </w:rPr>
                <m:t>Δ</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A</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r>
            <m:rPr>
              <m:sty m:val="p"/>
            </m:rPr>
            <w:rPr>
              <w:rFonts w:ascii="Cambria Math" w:hAnsi="Cambria Math" w:cs="宋体"/>
              <w:color w:val="auto"/>
              <w:kern w:val="0"/>
              <w:sz w:val="24"/>
              <w:szCs w:val="24"/>
            </w:rPr>
            <m:t>exp</m:t>
          </m:r>
          <m:r>
            <m:rPr/>
            <w:rPr>
              <w:rFonts w:ascii="Cambria Math" w:hAnsi="Cambria Math" w:cs="宋体"/>
              <w:color w:val="auto"/>
              <w:kern w:val="0"/>
              <w:sz w:val="24"/>
              <w:szCs w:val="24"/>
            </w:rPr>
            <m:t>⁡(−</m:t>
          </m:r>
          <m:r>
            <m:rPr>
              <m:sty m:val="p"/>
            </m:rPr>
            <w:rPr>
              <w:rFonts w:ascii="Cambria Math" w:hAnsi="Cambria Math" w:cs="宋体"/>
              <w:color w:val="auto"/>
              <w:kern w:val="0"/>
              <w:sz w:val="24"/>
              <w:szCs w:val="24"/>
            </w:rPr>
            <m:t>exp</m:t>
          </m:r>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A</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log</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m:t>
          </m:r>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B</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⋅B</m:t>
          </m:r>
          <m:r>
            <w:rPr>
              <w:rFonts w:ascii="Cambria Math" w:hAnsi="Cambria Math" w:cs="宋体"/>
              <w:color w:val="auto"/>
              <w:kern w:val="0"/>
              <w:sz w:val="24"/>
              <w:szCs w:val="24"/>
            </w:rPr>
            <w:br w:type="textWrapping"/>
          </m:r>
        </m:oMath>
      </m:oMathPara>
    </w:p>
    <w:p w14:paraId="0458094D">
      <w:pPr>
        <w:widowControl/>
        <w:spacing w:line="240" w:lineRule="auto"/>
        <w:jc w:val="left"/>
        <w:rPr>
          <w:rFonts w:hint="eastAsia" w:ascii="宋体" w:hAnsi="宋体" w:cs="宋体"/>
          <w:color w:val="auto"/>
          <w:kern w:val="0"/>
          <w:sz w:val="24"/>
          <w:szCs w:val="24"/>
        </w:rPr>
      </w:pPr>
      <m:oMathPara>
        <m:oMath>
          <m:r>
            <m:rPr/>
            <w:rPr>
              <w:rFonts w:ascii="Cambria Math" w:hAnsi="Cambria Math" w:cs="宋体"/>
              <w:color w:val="auto"/>
              <w:kern w:val="0"/>
              <w:sz w:val="24"/>
              <w:szCs w:val="24"/>
            </w:rPr>
            <m:t>B=</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w:rPr>
                  <w:rFonts w:ascii="Cambria Math" w:hAnsi="Cambria Math" w:cs="宋体"/>
                  <w:color w:val="auto"/>
                  <w:kern w:val="0"/>
                  <w:sz w:val="24"/>
                  <w:szCs w:val="24"/>
                </w:rPr>
                <m:t>B</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,C=</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w:rPr>
                  <w:rFonts w:ascii="Cambria Math" w:hAnsi="Cambria Math" w:cs="宋体"/>
                  <w:color w:val="auto"/>
                  <w:kern w:val="0"/>
                  <w:sz w:val="24"/>
                  <w:szCs w:val="24"/>
                </w:rPr>
                <m:t>C</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oMath>
      </m:oMathPara>
    </w:p>
    <w:p w14:paraId="40698419">
      <w:pPr>
        <w:ind w:firstLine="560" w:firstLineChars="200"/>
      </w:pPr>
      <m:oMath>
        <m:r>
          <m:rPr/>
          <w:rPr>
            <w:rFonts w:ascii="Cambria Math" w:hAnsi="Cambria Math"/>
          </w:rPr>
          <m:t>A</m:t>
        </m:r>
      </m:oMath>
      <w:r>
        <w:t xml:space="preserve">的对角结构（在对数空间中参数化为 </w:t>
      </w:r>
      <m:oMath>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m:t>log</m:t>
            </m:r>
            <m:ctrlPr>
              <w:rPr>
                <w:rFonts w:ascii="Cambria Math" w:hAnsi="Cambria Math"/>
              </w:rPr>
            </m:ctrlPr>
          </m:sub>
        </m:sSub>
      </m:oMath>
      <w:r>
        <w:t xml:space="preserve">）确保状态转移总是稳定的（负特征值），并允许每个维度独立调节其记忆衰减率。输入依赖的 </w:t>
      </w:r>
      <m:oMath>
        <m:r>
          <m:rPr>
            <m:sty m:val="p"/>
          </m:rPr>
          <w:rPr>
            <w:rFonts w:ascii="Cambria Math" w:hAnsi="Cambria Math"/>
          </w:rPr>
          <m:t>Δ</m:t>
        </m:r>
      </m:oMath>
      <w:r>
        <w:t>使模型能够动态切换模式：在稳定期聚焦长期趋势追踪，在市场状态转换期间瞬时放大对短期冲击的响应。</w:t>
      </w:r>
    </w:p>
    <w:p w14:paraId="2AFD849B">
      <w:pPr>
        <w:ind w:firstLine="562" w:firstLineChars="200"/>
      </w:pPr>
      <w:r>
        <w:rPr>
          <w:b/>
          <w:bCs/>
        </w:rPr>
        <w:t>双向处理</w:t>
      </w:r>
      <w:r>
        <w:t xml:space="preserve">捕获两个时间方向的信息。令 </w:t>
      </w: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fwd</m:t>
            </m:r>
            <m:ctrlPr>
              <w:rPr>
                <w:rFonts w:ascii="Cambria Math" w:hAnsi="Cambria Math"/>
              </w:rPr>
            </m:ctrlPr>
          </m:sub>
        </m:sSub>
      </m:oMath>
      <w:r>
        <w:t>为前向 Mamba 编码（过去到未来），</w:t>
      </w: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bwd</m:t>
            </m:r>
            <m:ctrlPr>
              <w:rPr>
                <w:rFonts w:ascii="Cambria Math" w:hAnsi="Cambria Math"/>
              </w:rPr>
            </m:ctrlPr>
          </m:sub>
        </m:sSub>
      </m:oMath>
      <w:r>
        <w:t xml:space="preserve"> 为后向编码（反转序列）。双向表示为：</w:t>
      </w:r>
    </w:p>
    <w:p w14:paraId="5AD4F9C3">
      <m:oMathPara>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bi</m:t>
              </m:r>
              <m:ctrlPr>
                <w:rPr>
                  <w:rFonts w:ascii="Cambria Math" w:hAnsi="Cambria Math"/>
                </w:rPr>
              </m:ctrlPr>
            </m:sub>
          </m:sSub>
          <m:r>
            <m:rPr/>
            <w:rPr>
              <w:rFonts w:ascii="Cambria Math" w:hAnsi="Cambria Math"/>
            </w:rPr>
            <m:t>=</m:t>
          </m:r>
          <m:r>
            <m:rPr>
              <m:nor/>
              <m:sty m:val="p"/>
            </m:rPr>
            <m:t>Linear</m:t>
          </m:r>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fwd</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bwd</m:t>
              </m:r>
              <m:ctrlPr>
                <w:rPr>
                  <w:rFonts w:ascii="Cambria Math" w:hAnsi="Cambria Math"/>
                </w:rPr>
              </m:ctrlPr>
            </m:sub>
          </m:sSub>
          <m:r>
            <m:rPr/>
            <w:rPr>
              <w:rFonts w:ascii="Cambria Math" w:hAnsi="Cambria Math"/>
            </w:rPr>
            <m:t>],2d→d)</m:t>
          </m:r>
        </m:oMath>
      </m:oMathPara>
    </w:p>
    <w:p w14:paraId="377E844F">
      <w:pPr>
        <w:ind w:firstLine="560" w:firstLineChars="200"/>
      </w:pPr>
      <w:r>
        <w:t>双向处理对金融风险预测意义重大，因为当前市场状态不仅受历史演化影响，也受即将确认的新兴趋势影响——后向传播提供了一种展望式正则化，稳定了表示。</w:t>
      </w:r>
    </w:p>
    <w:p w14:paraId="0BA695B5">
      <w:pPr>
        <w:ind w:firstLine="560" w:firstLineChars="200"/>
      </w:pPr>
      <w:r>
        <w:t xml:space="preserve">Mamba 模块的具体配置：模型维度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model</m:t>
            </m:r>
            <m:ctrlPr>
              <w:rPr>
                <w:rFonts w:ascii="Cambria Math" w:hAnsi="Cambria Math"/>
              </w:rPr>
            </m:ctrlPr>
          </m:sub>
        </m:sSub>
        <m:r>
          <m:rPr/>
          <w:rPr>
            <w:rFonts w:ascii="Cambria Math" w:hAnsi="Cambria Math"/>
          </w:rPr>
          <m:t>=64</m:t>
        </m:r>
      </m:oMath>
      <w:r>
        <w:t xml:space="preserve">，状态维度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state</m:t>
            </m:r>
            <m:ctrlPr>
              <w:rPr>
                <w:rFonts w:ascii="Cambria Math" w:hAnsi="Cambria Math"/>
              </w:rPr>
            </m:ctrlPr>
          </m:sub>
        </m:sSub>
        <m:r>
          <m:rPr/>
          <w:rPr>
            <w:rFonts w:ascii="Cambria Math" w:hAnsi="Cambria Math"/>
          </w:rPr>
          <m:t>=16</m:t>
        </m:r>
      </m:oMath>
      <w:r>
        <w:t xml:space="preserve">，卷积核大小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conv</m:t>
            </m:r>
            <m:ctrlPr>
              <w:rPr>
                <w:rFonts w:ascii="Cambria Math" w:hAnsi="Cambria Math"/>
              </w:rPr>
            </m:ctrlPr>
          </m:sub>
        </m:sSub>
        <m:r>
          <m:rPr/>
          <w:rPr>
            <w:rFonts w:ascii="Cambria Math" w:hAnsi="Cambria Math"/>
          </w:rPr>
          <m:t>=4</m:t>
        </m:r>
      </m:oMath>
      <w:r>
        <w:t xml:space="preserve">，扩展因子 </w:t>
      </w:r>
      <m:oMath>
        <m:r>
          <m:rPr/>
          <w:rPr>
            <w:rFonts w:ascii="Cambria Math" w:hAnsi="Cambria Math"/>
          </w:rPr>
          <m:t>e=2</m:t>
        </m:r>
      </m:oMath>
      <w:r>
        <w:t xml:space="preserve">，堆叠 </w:t>
      </w:r>
      <m:oMath>
        <m:r>
          <m:rPr/>
          <w:rPr>
            <w:rFonts w:ascii="Cambria Math" w:hAnsi="Cambria Math"/>
          </w:rPr>
          <m:t>N=2</m:t>
        </m:r>
      </m:oMath>
      <w:r>
        <w:t>层。</w:t>
      </w:r>
    </w:p>
    <w:p w14:paraId="10C9ED6A">
      <w:pPr>
        <w:ind w:firstLine="562" w:firstLineChars="200"/>
      </w:pPr>
      <w:r>
        <w:rPr>
          <w:b/>
          <w:bCs/>
        </w:rPr>
        <w:t>分布输出头</w:t>
      </w:r>
      <w:r>
        <w:t>：双向编码器的最终隐藏状态投影为四个原始参数：</w:t>
      </w:r>
    </w:p>
    <w:p w14:paraId="2DA5B8E0">
      <m:oMathPara>
        <m:oMath>
          <m:r>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m:t>head</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up>
              <m:r>
                <m:rPr>
                  <m:nor/>
                  <m:sty m:val="p"/>
                </m:rPr>
                <m:t>bi</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m:t>head</m:t>
              </m:r>
              <m:ctrlPr>
                <w:rPr>
                  <w:rFonts w:ascii="Cambria Math" w:hAnsi="Cambria Math"/>
                </w:rPr>
              </m:ctrlPr>
            </m:sub>
          </m:sSub>
        </m:oMath>
      </m:oMathPara>
    </w:p>
    <w:p w14:paraId="49B23A26">
      <w:pPr>
        <w:ind w:firstLine="560" w:firstLineChars="200"/>
      </w:pPr>
      <w:r>
        <w:t xml:space="preserve">先钳位到 </w:t>
      </w:r>
      <m:oMath>
        <m:d>
          <m:dPr>
            <m:begChr m:val="["/>
            <m:endChr m:val="]"/>
            <m:ctrlPr>
              <w:rPr>
                <w:rFonts w:ascii="Cambria Math" w:hAnsi="Cambria Math"/>
              </w:rPr>
            </m:ctrlPr>
          </m:dPr>
          <m:e>
            <m:r>
              <m:rPr/>
              <w:rPr>
                <w:rFonts w:ascii="Cambria Math" w:hAnsi="Cambria Math"/>
              </w:rPr>
              <m:t>−10,10</m:t>
            </m:r>
            <m:ctrlPr>
              <w:rPr>
                <w:rFonts w:ascii="Cambria Math" w:hAnsi="Cambria Math"/>
              </w:rPr>
            </m:ctrlPr>
          </m:e>
        </m:d>
      </m:oMath>
      <w:r>
        <w:t>保证数值稳定，然后应用参数约束变换：</w:t>
      </w:r>
    </w:p>
    <w:p w14:paraId="556D964D">
      <m:oMathPara>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softplus</m:t>
          </m:r>
          <m:r>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)+ϵ,</m:t>
          </m:r>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softplus</m:t>
          </m:r>
          <m:r>
            <m:rPr/>
            <w:rPr>
              <w:rFonts w:ascii="Cambria Math" w:hAnsi="Cambria Math"/>
            </w:rPr>
            <m:t>(</m:t>
          </m:r>
          <m:sSubSup>
            <m:sSubSupPr>
              <m:ctrlPr>
                <w:rPr>
                  <w:rFonts w:ascii="Cambria Math" w:hAnsi="Cambria Math"/>
                </w:rPr>
              </m:ctrlPr>
            </m:sSubSup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)+2+ϵ,</m:t>
          </m:r>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nor/>
              <m:sty m:val="p"/>
            </m:rPr>
            <m:t>softplus</m:t>
          </m:r>
          <m:r>
            <m:rPr/>
            <w:rPr>
              <w:rFonts w:ascii="Cambria Math" w:hAnsi="Cambria Math"/>
            </w:rPr>
            <m:t>(</m:t>
          </m:r>
          <m:sSubSup>
            <m:sSubSupPr>
              <m:ctrlPr>
                <w:rPr>
                  <w:rFonts w:ascii="Cambria Math" w:hAnsi="Cambria Math"/>
                </w:rPr>
              </m:ctrlPr>
            </m:sSubSup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up>
              <m:r>
                <m:rPr>
                  <m:nor/>
                  <m:sty m:val="p"/>
                </m:rPr>
                <m:t>raw</m:t>
              </m:r>
              <m:ctrlPr>
                <w:rPr>
                  <w:rFonts w:ascii="Cambria Math" w:hAnsi="Cambria Math"/>
                </w:rPr>
              </m:ctrlPr>
            </m:sup>
          </m:sSubSup>
          <m:r>
            <m:rPr/>
            <w:rPr>
              <w:rFonts w:ascii="Cambria Math" w:hAnsi="Cambria Math"/>
            </w:rPr>
            <m:t>)+ϵ</m:t>
          </m:r>
        </m:oMath>
      </m:oMathPara>
    </w:p>
    <w:p w14:paraId="682BE149">
      <w:pPr>
        <w:ind w:firstLine="560" w:firstLineChars="200"/>
      </w:pPr>
      <w:r>
        <w:t xml:space="preserve">其中 </w:t>
      </w:r>
      <m:oMath>
        <m:r>
          <m:rPr/>
          <w:rPr>
            <w:rFonts w:ascii="Cambria Math" w:hAnsi="Cambria Math"/>
          </w:rPr>
          <m:t>ϵ=</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−6</m:t>
            </m:r>
            <m:ctrlPr>
              <w:rPr>
                <w:rFonts w:ascii="Cambria Math" w:hAnsi="Cambria Math"/>
              </w:rPr>
            </m:ctrlPr>
          </m:sup>
        </m:sSup>
      </m:oMath>
      <w:r>
        <w:t xml:space="preserve">为很小的正数，用于避免数值不稳定。上述变换保证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&gt;0</m:t>
        </m:r>
      </m:oMath>
      <w:r>
        <w:t>，</w:t>
      </w:r>
      <m:oMath>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&gt;2</m:t>
        </m:r>
      </m:oMath>
      <w:r>
        <w:t>，</w:t>
      </w:r>
      <m:oMath>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&gt;0</m:t>
        </m:r>
      </m:oMath>
      <w:r>
        <w:t>，确保分布参数始终在合法范围内。</w:t>
      </w:r>
    </w:p>
    <w:p w14:paraId="34E2B25F">
      <w:r>
        <w:t>AdaMamba-Dist 引入的三项关键创新总结如下：</w:t>
      </w:r>
    </w:p>
    <w:p w14:paraId="4B6974D9"/>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7"/>
        <w:gridCol w:w="2690"/>
        <w:gridCol w:w="3789"/>
      </w:tblGrid>
      <w:tr w14:paraId="10A3A9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77E1C4C5">
            <w:pPr>
              <w:pStyle w:val="43"/>
              <w:jc w:val="center"/>
            </w:pPr>
            <w:r>
              <w:t>创新</w:t>
            </w:r>
          </w:p>
        </w:tc>
        <w:tc>
          <w:tcPr>
            <w:tcW w:w="0" w:type="auto"/>
            <w:tcBorders>
              <w:bottom w:val="single" w:color="auto" w:sz="6" w:space="0"/>
            </w:tcBorders>
            <w:vAlign w:val="center"/>
          </w:tcPr>
          <w:p w14:paraId="2B46A6BD">
            <w:pPr>
              <w:pStyle w:val="43"/>
              <w:jc w:val="center"/>
            </w:pPr>
            <w:r>
              <w:t>机制</w:t>
            </w:r>
          </w:p>
        </w:tc>
        <w:tc>
          <w:tcPr>
            <w:tcW w:w="0" w:type="auto"/>
            <w:tcBorders>
              <w:bottom w:val="single" w:color="auto" w:sz="6" w:space="0"/>
            </w:tcBorders>
            <w:vAlign w:val="center"/>
          </w:tcPr>
          <w:p w14:paraId="50776D29">
            <w:pPr>
              <w:pStyle w:val="43"/>
              <w:jc w:val="center"/>
            </w:pPr>
            <w:r>
              <w:t>益处</w:t>
            </w:r>
          </w:p>
        </w:tc>
      </w:tr>
      <w:tr w14:paraId="05D99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719E9AD5">
            <w:pPr>
              <w:pStyle w:val="43"/>
              <w:jc w:val="center"/>
            </w:pPr>
            <w:r>
              <w:t>RevIN 实例归一化</w:t>
            </w:r>
          </w:p>
        </w:tc>
        <w:tc>
          <w:tcPr>
            <w:tcW w:w="0" w:type="auto"/>
            <w:tcBorders>
              <w:top w:val="single" w:color="auto" w:sz="6" w:space="0"/>
            </w:tcBorders>
            <w:vAlign w:val="center"/>
          </w:tcPr>
          <w:p w14:paraId="6CA6DC01">
            <w:pPr>
              <w:pStyle w:val="43"/>
              <w:jc w:val="center"/>
            </w:pPr>
            <w:r>
              <w:t>按特征维度自适应标准化</w:t>
            </w:r>
          </w:p>
        </w:tc>
        <w:tc>
          <w:tcPr>
            <w:tcW w:w="0" w:type="auto"/>
            <w:tcBorders>
              <w:top w:val="single" w:color="auto" w:sz="6" w:space="0"/>
            </w:tcBorders>
            <w:vAlign w:val="center"/>
          </w:tcPr>
          <w:p w14:paraId="585311AA">
            <w:pPr>
              <w:pStyle w:val="43"/>
              <w:jc w:val="center"/>
            </w:pPr>
            <w:r>
              <w:t>消除跨市场尺度差异，缓解分布偏移</w:t>
            </w:r>
          </w:p>
        </w:tc>
      </w:tr>
      <w:tr w14:paraId="354A55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7A816E8">
            <w:pPr>
              <w:pStyle w:val="43"/>
              <w:jc w:val="center"/>
            </w:pPr>
            <w:r>
              <w:t>双向 Mamba SSM</w:t>
            </w:r>
          </w:p>
        </w:tc>
        <w:tc>
          <w:tcPr>
            <w:tcW w:w="0" w:type="auto"/>
            <w:vAlign w:val="center"/>
          </w:tcPr>
          <w:p w14:paraId="568387E3">
            <w:pPr>
              <w:pStyle w:val="43"/>
              <w:jc w:val="center"/>
            </w:pPr>
            <w:r>
              <w:t>输入依赖的选择性状态空间模型</w:t>
            </w:r>
          </w:p>
        </w:tc>
        <w:tc>
          <w:tcPr>
            <w:tcW w:w="0" w:type="auto"/>
            <w:vAlign w:val="center"/>
          </w:tcPr>
          <w:p w14:paraId="0F0105DB">
            <w:pPr>
              <w:pStyle w:val="43"/>
              <w:jc w:val="center"/>
            </w:pPr>
            <w:r>
              <w:t>动态时间感受野，线性复杂度，稳定梯度传播</w:t>
            </w:r>
          </w:p>
        </w:tc>
      </w:tr>
      <w:tr w14:paraId="0DC1AD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FC7E975">
            <w:pPr>
              <w:pStyle w:val="43"/>
              <w:jc w:val="center"/>
            </w:pPr>
            <w:r>
              <w:t>偏态t分布输出头</w:t>
            </w:r>
          </w:p>
        </w:tc>
        <w:tc>
          <w:tcPr>
            <w:tcW w:w="0" w:type="auto"/>
            <w:vAlign w:val="center"/>
          </w:tcPr>
          <w:p w14:paraId="33541761">
            <w:pPr>
              <w:pStyle w:val="43"/>
              <w:jc w:val="center"/>
            </w:pPr>
            <w:r>
              <w:t>直接输出四个分布参数</w:t>
            </w:r>
          </w:p>
        </w:tc>
        <w:tc>
          <w:tcPr>
            <w:tcW w:w="0" w:type="auto"/>
            <w:vAlign w:val="center"/>
          </w:tcPr>
          <w:p w14:paraId="3C11B10A">
            <w:pPr>
              <w:pStyle w:val="43"/>
              <w:jc w:val="center"/>
            </w:pPr>
            <w:r>
              <w:t>可解释的风险分解（位置、尺度、尾部、偏态</w:t>
            </w:r>
          </w:p>
        </w:tc>
      </w:tr>
    </w:tbl>
    <w:p w14:paraId="39F8F534">
      <w:pPr>
        <w:rPr>
          <w:b/>
          <w:bCs/>
        </w:rPr>
      </w:pPr>
      <w:r>
        <w:rPr>
          <w:rFonts w:hint="eastAsia"/>
          <w:b/>
          <w:bCs/>
        </w:rPr>
        <w:t>（4）</w:t>
      </w:r>
      <w:r>
        <w:rPr>
          <w:b/>
          <w:bCs/>
        </w:rPr>
        <w:t>损失函数</w:t>
      </w:r>
    </w:p>
    <w:p w14:paraId="1EE39DA4">
      <w:pPr>
        <w:ind w:firstLine="560" w:firstLineChars="200"/>
      </w:pPr>
      <w:r>
        <w:t>模型使用负对数似然损失函数（Negative Log-Likelihood, NLL）进行训练。设偏态学生t分布的概率密度函数为：</w:t>
      </w:r>
    </w:p>
    <w:p w14:paraId="346B8C89">
      <w:pPr>
        <w:ind w:firstLine="560" w:firstLineChars="200"/>
        <w:rPr>
          <w:rFonts w:hint="eastAsia" w:ascii="宋体" w:hAnsi="宋体"/>
        </w:rPr>
      </w:pPr>
      <w:r>
        <w:rPr>
          <w:rFonts w:ascii="宋体" w:hAnsi="宋体"/>
        </w:rPr>
        <w:t xml:space="preserve">其中 </w:t>
      </w:r>
      <m:oMath>
        <m:r>
          <m:rPr/>
          <w:rPr>
            <w:rFonts w:ascii="Cambria Math" w:hAnsi="Cambria Math"/>
          </w:rPr>
          <m:t>z</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μ</m:t>
        </m:r>
        <m:r>
          <m:rPr>
            <m:sty m:val="p"/>
          </m:rPr>
          <w:rPr>
            <w:rFonts w:ascii="Cambria Math" w:hAnsi="Cambria Math"/>
          </w:rPr>
          <m:t>)/</m:t>
        </m:r>
        <m:r>
          <m:rPr/>
          <w:rPr>
            <w:rFonts w:ascii="Cambria Math" w:hAnsi="Cambria Math"/>
          </w:rPr>
          <m:t>σ</m:t>
        </m:r>
      </m:oMath>
      <w:r>
        <w:rPr>
          <w:rFonts w:ascii="宋体" w:hAnsi="宋体"/>
        </w:rPr>
        <w:t xml:space="preserve">对于 </w:t>
      </w:r>
      <m:oMath>
        <m:r>
          <m:rPr/>
          <w:rPr>
            <w:rFonts w:ascii="Cambria Math" w:hAnsi="Cambria Math"/>
          </w:rPr>
          <m:t>y</m:t>
        </m:r>
        <m:r>
          <m:rPr>
            <m:sty m:val="p"/>
          </m:rPr>
          <w:rPr>
            <w:rFonts w:ascii="Cambria Math" w:hAnsi="Cambria Math"/>
          </w:rPr>
          <m:t>&lt;</m:t>
        </m:r>
        <m:r>
          <m:rPr/>
          <w:rPr>
            <w:rFonts w:ascii="Cambria Math" w:hAnsi="Cambria Math"/>
          </w:rPr>
          <m:t>μ</m:t>
        </m:r>
      </m:oMath>
      <w:r>
        <w:rPr>
          <w:rFonts w:ascii="宋体" w:hAnsi="宋体"/>
        </w:rPr>
        <w:t>，</w:t>
      </w:r>
      <m:oMath>
        <m:r>
          <m:rPr/>
          <w:rPr>
            <w:rFonts w:ascii="Cambria Math" w:hAnsi="Cambria Math"/>
          </w:rPr>
          <m:t>z</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μ</m:t>
        </m:r>
        <m:r>
          <m:rPr>
            <m:sty m:val="p"/>
          </m:rPr>
          <w:rPr>
            <w:rFonts w:ascii="Cambria Math" w:hAnsi="Cambria Math"/>
          </w:rPr>
          <m:t>)⋅</m:t>
        </m:r>
        <m:r>
          <m:rPr/>
          <w:rPr>
            <w:rFonts w:ascii="Cambria Math" w:hAnsi="Cambria Math"/>
          </w:rPr>
          <m:t>ξ</m:t>
        </m:r>
        <m:r>
          <m:rPr>
            <m:sty m:val="p"/>
          </m:rPr>
          <w:rPr>
            <w:rFonts w:ascii="Cambria Math" w:hAnsi="Cambria Math"/>
          </w:rPr>
          <m:t>/</m:t>
        </m:r>
        <m:r>
          <m:rPr/>
          <w:rPr>
            <w:rFonts w:ascii="Cambria Math" w:hAnsi="Cambria Math"/>
          </w:rPr>
          <m:t>σ</m:t>
        </m:r>
      </m:oMath>
      <w:r>
        <w:rPr>
          <w:rFonts w:ascii="宋体" w:hAnsi="宋体"/>
        </w:rPr>
        <w:t xml:space="preserve"> 对于 </w:t>
      </w:r>
      <m:oMath>
        <m:r>
          <m:rPr/>
          <w:rPr>
            <w:rFonts w:ascii="Cambria Math" w:hAnsi="Cambria Math"/>
          </w:rPr>
          <m:t>y</m:t>
        </m:r>
        <m:r>
          <m:rPr>
            <m:sty m:val="p"/>
          </m:rPr>
          <w:rPr>
            <w:rFonts w:ascii="Cambria Math" w:hAnsi="Cambria Math"/>
          </w:rPr>
          <m:t>≥</m:t>
        </m:r>
        <m:r>
          <m:rPr/>
          <w:rPr>
            <w:rFonts w:ascii="Cambria Math" w:hAnsi="Cambria Math"/>
          </w:rPr>
          <m:t>μ</m:t>
        </m:r>
      </m:oMath>
      <w:r>
        <w:rPr>
          <w:rFonts w:ascii="宋体" w:hAnsi="宋体"/>
        </w:rPr>
        <w:t>。</w:t>
      </w:r>
    </w:p>
    <w:p w14:paraId="1CFB2F4D">
      <w:pPr>
        <w:rPr>
          <w:rFonts w:hint="eastAsia" w:ascii="宋体" w:hAnsi="宋体"/>
        </w:rPr>
      </w:pPr>
      <w:r>
        <w:rPr>
          <w:rFonts w:ascii="宋体" w:hAnsi="宋体"/>
        </w:rPr>
        <w:t>训练目标为最小化：</w:t>
      </w:r>
    </w:p>
    <w:p w14:paraId="292884BE">
      <w:pPr>
        <w:widowControl/>
        <w:spacing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m:scr m:val="script"/>
                </m:rPr>
                <w:rPr>
                  <w:rFonts w:ascii="Cambria Math" w:hAnsi="Cambria Math" w:cs="宋体"/>
                  <w:color w:val="auto"/>
                  <w:kern w:val="0"/>
                  <w:sz w:val="24"/>
                  <w:szCs w:val="24"/>
                </w:rPr>
                <m:t>ℒ</m:t>
              </m:r>
              <m:ctrlPr>
                <w:rPr>
                  <w:rFonts w:ascii="Cambria Math" w:hAnsi="Cambria Math" w:cs="宋体"/>
                  <w:color w:val="auto"/>
                  <w:kern w:val="0"/>
                  <w:sz w:val="24"/>
                  <w:szCs w:val="24"/>
                </w:rPr>
              </m:ctrlPr>
            </m:e>
            <m:sub>
              <m:r>
                <m:rPr/>
                <w:rPr>
                  <w:rFonts w:ascii="Cambria Math" w:hAnsi="Cambria Math" w:cs="宋体"/>
                  <w:color w:val="auto"/>
                  <w:kern w:val="0"/>
                  <w:sz w:val="24"/>
                  <w:szCs w:val="24"/>
                </w:rPr>
                <m:t>NLL</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f>
            <m:fPr>
              <m:ctrlPr>
                <w:rPr>
                  <w:rFonts w:ascii="Cambria Math" w:hAnsi="Cambria Math" w:cs="宋体"/>
                  <w:color w:val="auto"/>
                  <w:kern w:val="0"/>
                  <w:sz w:val="24"/>
                  <w:szCs w:val="24"/>
                </w:rPr>
              </m:ctrlPr>
            </m:fPr>
            <m:num>
              <m:r>
                <m:rPr/>
                <w:rPr>
                  <w:rFonts w:ascii="Cambria Math" w:hAnsi="Cambria Math" w:cs="宋体"/>
                  <w:color w:val="auto"/>
                  <w:kern w:val="0"/>
                  <w:sz w:val="24"/>
                  <w:szCs w:val="24"/>
                </w:rPr>
                <m:t>1</m:t>
              </m:r>
              <m:ctrlPr>
                <w:rPr>
                  <w:rFonts w:ascii="Cambria Math" w:hAnsi="Cambria Math" w:cs="宋体"/>
                  <w:color w:val="auto"/>
                  <w:kern w:val="0"/>
                  <w:sz w:val="24"/>
                  <w:szCs w:val="24"/>
                </w:rPr>
              </m:ctrlPr>
            </m:num>
            <m:den>
              <m:r>
                <m:rPr/>
                <w:rPr>
                  <w:rFonts w:ascii="Cambria Math" w:hAnsi="Cambria Math" w:cs="宋体"/>
                  <w:color w:val="auto"/>
                  <w:kern w:val="0"/>
                  <w:sz w:val="24"/>
                  <w:szCs w:val="24"/>
                </w:rPr>
                <m:t>N</m:t>
              </m:r>
              <m:ctrlPr>
                <w:rPr>
                  <w:rFonts w:ascii="Cambria Math" w:hAnsi="Cambria Math" w:cs="宋体"/>
                  <w:color w:val="auto"/>
                  <w:kern w:val="0"/>
                  <w:sz w:val="24"/>
                  <w:szCs w:val="24"/>
                </w:rPr>
              </m:ctrlPr>
            </m:den>
          </m:f>
          <m:nary>
            <m:naryPr>
              <m:chr m:val="∑"/>
              <m:grow m:val="1"/>
              <m:limLoc m:val="undOvr"/>
              <m:ctrlPr>
                <w:rPr>
                  <w:rFonts w:ascii="Cambria Math" w:hAnsi="Cambria Math" w:cs="宋体"/>
                  <w:color w:val="auto"/>
                  <w:kern w:val="0"/>
                  <w:sz w:val="24"/>
                  <w:szCs w:val="24"/>
                </w:rPr>
              </m:ctrlPr>
            </m:naryPr>
            <m:sub>
              <m:r>
                <m:rPr/>
                <w:rPr>
                  <w:rFonts w:ascii="Cambria Math" w:hAnsi="Cambria Math" w:cs="宋体"/>
                  <w:color w:val="auto"/>
                  <w:kern w:val="0"/>
                  <w:sz w:val="24"/>
                  <w:szCs w:val="24"/>
                </w:rPr>
                <m:t>t=1</m:t>
              </m:r>
              <m:ctrlPr>
                <w:rPr>
                  <w:rFonts w:ascii="Cambria Math" w:hAnsi="Cambria Math" w:cs="宋体"/>
                  <w:color w:val="auto"/>
                  <w:kern w:val="0"/>
                  <w:sz w:val="24"/>
                  <w:szCs w:val="24"/>
                </w:rPr>
              </m:ctrlPr>
            </m:sub>
            <m:sup>
              <m:r>
                <m:rPr/>
                <w:rPr>
                  <w:rFonts w:ascii="Cambria Math" w:hAnsi="Cambria Math" w:cs="宋体"/>
                  <w:color w:val="auto"/>
                  <w:kern w:val="0"/>
                  <w:sz w:val="24"/>
                  <w:szCs w:val="24"/>
                </w:rPr>
                <m:t>N</m:t>
              </m:r>
              <m:ctrlPr>
                <w:rPr>
                  <w:rFonts w:ascii="Cambria Math" w:hAnsi="Cambria Math" w:cs="宋体"/>
                  <w:color w:val="auto"/>
                  <w:kern w:val="0"/>
                  <w:sz w:val="24"/>
                  <w:szCs w:val="24"/>
                </w:rPr>
              </m:ctrlPr>
            </m:sup>
            <m:e>
              <m:r>
                <m:rPr>
                  <m:sty m:val="p"/>
                </m:rPr>
                <w:rPr>
                  <w:rFonts w:ascii="Cambria Math" w:hAnsi="Cambria Math" w:cs="宋体"/>
                  <w:color w:val="auto"/>
                  <w:kern w:val="0"/>
                  <w:sz w:val="24"/>
                  <w:szCs w:val="24"/>
                </w:rPr>
                <m:t>log</m:t>
              </m:r>
              <m:r>
                <m:rPr/>
                <w:rPr>
                  <w:rFonts w:ascii="Cambria Math" w:hAnsi="Cambria Math" w:cs="宋体"/>
                  <w:color w:val="auto"/>
                  <w:kern w:val="0"/>
                  <w:sz w:val="24"/>
                  <w:szCs w:val="24"/>
                </w:rPr>
                <m:t>⁡</m:t>
              </m:r>
              <m:ctrlPr>
                <w:rPr>
                  <w:rFonts w:ascii="Cambria Math" w:hAnsi="Cambria Math" w:cs="宋体"/>
                  <w:color w:val="auto"/>
                  <w:kern w:val="0"/>
                  <w:sz w:val="24"/>
                  <w:szCs w:val="24"/>
                </w:rPr>
              </m:ctrlPr>
            </m:e>
          </m:nary>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f</m:t>
              </m:r>
              <m:ctrlPr>
                <w:rPr>
                  <w:rFonts w:ascii="Cambria Math" w:hAnsi="Cambria Math" w:cs="宋体"/>
                  <w:color w:val="auto"/>
                  <w:kern w:val="0"/>
                  <w:sz w:val="24"/>
                  <w:szCs w:val="24"/>
                </w:rPr>
              </m:ctrlPr>
            </m:e>
            <m:sub>
              <m:r>
                <m:rPr/>
                <w:rPr>
                  <w:rFonts w:ascii="Cambria Math" w:hAnsi="Cambria Math" w:cs="宋体"/>
                  <w:color w:val="auto"/>
                  <w:kern w:val="0"/>
                  <w:sz w:val="24"/>
                  <w:szCs w:val="24"/>
                </w:rPr>
                <m:t>Skew−t</m:t>
              </m:r>
              <m:ctrlPr>
                <w:rPr>
                  <w:rFonts w:ascii="Cambria Math" w:hAnsi="Cambria Math" w:cs="宋体"/>
                  <w:color w:val="auto"/>
                  <w:kern w:val="0"/>
                  <w:sz w:val="24"/>
                  <w:szCs w:val="24"/>
                </w:rPr>
              </m:ctrlPr>
            </m:sub>
          </m:sSub>
          <m:d>
            <m:dPr>
              <m:ctrlPr>
                <w:rPr>
                  <w:rFonts w:ascii="Cambria Math" w:hAnsi="Cambria Math" w:cs="宋体"/>
                  <w:color w:val="auto"/>
                  <w:kern w:val="0"/>
                  <w:sz w:val="24"/>
                  <w:szCs w:val="24"/>
                </w:rPr>
              </m:ctrlPr>
            </m:dPr>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R</m:t>
                  </m:r>
                  <m:ctrlPr>
                    <w:rPr>
                      <w:rFonts w:ascii="Cambria Math" w:hAnsi="Cambria Math" w:cs="宋体"/>
                      <w:color w:val="auto"/>
                      <w:kern w:val="0"/>
                      <w:sz w:val="24"/>
                      <w:szCs w:val="24"/>
                    </w:rPr>
                  </m:ctrlPr>
                </m:e>
                <m:sub>
                  <m:r>
                    <m:rPr/>
                    <w:rPr>
                      <w:rFonts w:ascii="Cambria Math" w:hAnsi="Cambria Math" w:cs="宋体"/>
                      <w:color w:val="auto"/>
                      <w:kern w:val="0"/>
                      <w:sz w:val="24"/>
                      <w:szCs w:val="24"/>
                    </w:rPr>
                    <m:t>t,t+h</m:t>
                  </m:r>
                  <m:ctrlPr>
                    <w:rPr>
                      <w:rFonts w:ascii="Cambria Math" w:hAnsi="Cambria Math" w:cs="宋体"/>
                      <w:color w:val="auto"/>
                      <w:kern w:val="0"/>
                      <w:sz w:val="24"/>
                      <w:szCs w:val="24"/>
                    </w:rPr>
                  </m:ctrlPr>
                </m:sub>
                <m:sup>
                  <m:r>
                    <m:rPr/>
                    <w:rPr>
                      <w:rFonts w:ascii="Cambria Math" w:hAnsi="Cambria Math" w:cs="宋体"/>
                      <w:color w:val="auto"/>
                      <w:kern w:val="0"/>
                      <w:sz w:val="24"/>
                      <w:szCs w:val="24"/>
                    </w:rPr>
                    <m:t>CSI300</m:t>
                  </m:r>
                  <m:ctrlPr>
                    <w:rPr>
                      <w:rFonts w:ascii="Cambria Math" w:hAnsi="Cambria Math" w:cs="宋体"/>
                      <w:color w:val="auto"/>
                      <w:kern w:val="0"/>
                      <w:sz w:val="24"/>
                      <w:szCs w:val="24"/>
                    </w:rPr>
                  </m:ctrlPr>
                </m:sup>
              </m:sSubSup>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ν</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ξ</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ctrlPr>
                <w:rPr>
                  <w:rFonts w:ascii="Cambria Math" w:hAnsi="Cambria Math" w:cs="宋体"/>
                  <w:color w:val="auto"/>
                  <w:kern w:val="0"/>
                  <w:sz w:val="24"/>
                  <w:szCs w:val="24"/>
                </w:rPr>
              </m:ctrlPr>
            </m:e>
          </m:d>
        </m:oMath>
      </m:oMathPara>
    </w:p>
    <w:p w14:paraId="40E1FD84">
      <w:pPr>
        <w:ind w:firstLine="560" w:firstLineChars="200"/>
      </w:pPr>
      <w:r>
        <w:t>与均方误差不同，NLL损失不仅关注预测中心是否准确，还要求模型对未来收益的波动、厚尾和偏态给出合理估计，因此更适合风险预测任务。</w:t>
      </w:r>
    </w:p>
    <w:p w14:paraId="530C823A">
      <w:pPr>
        <w:ind w:firstLine="562" w:firstLineChars="200"/>
      </w:pPr>
      <w:r>
        <w:rPr>
          <w:b/>
          <w:bCs/>
        </w:rPr>
        <w:t>超参数设置</w:t>
      </w:r>
      <w:r>
        <w:t xml:space="preserve">：AdaMamba-Dist 采用 AdamW 优化器（lr=0.001, weight_decay=1e-5），最大训练200个epoch，早停 patience=20，批大小 batch_size=64。序列长度 </w:t>
      </w:r>
      <m:oMath>
        <m:r>
          <m:rPr/>
          <w:rPr>
            <w:rFonts w:ascii="Cambria Math" w:hAnsi="Cambria Math"/>
          </w:rPr>
          <m:t>L=10</m:t>
        </m:r>
      </m:oMath>
      <w:r>
        <w:t xml:space="preserve">，模型维度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model</m:t>
            </m:r>
            <m:ctrlPr>
              <w:rPr>
                <w:rFonts w:ascii="Cambria Math" w:hAnsi="Cambria Math"/>
              </w:rPr>
            </m:ctrlPr>
          </m:sub>
        </m:sSub>
        <m:r>
          <m:rPr/>
          <w:rPr>
            <w:rFonts w:ascii="Cambria Math" w:hAnsi="Cambria Math"/>
          </w:rPr>
          <m:t>=64</m:t>
        </m:r>
      </m:oMath>
      <w:r>
        <w:t xml:space="preserve">，状态维度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m:t>state</m:t>
            </m:r>
            <m:ctrlPr>
              <w:rPr>
                <w:rFonts w:ascii="Cambria Math" w:hAnsi="Cambria Math"/>
              </w:rPr>
            </m:ctrlPr>
          </m:sub>
        </m:sSub>
        <m:r>
          <m:rPr/>
          <w:rPr>
            <w:rFonts w:ascii="Cambria Math" w:hAnsi="Cambria Math"/>
          </w:rPr>
          <m:t>=16</m:t>
        </m:r>
      </m:oMath>
      <w:r>
        <w:t>，</w:t>
      </w:r>
      <m:oMath>
        <m:r>
          <m:rPr/>
          <w:rPr>
            <w:rFonts w:ascii="Cambria Math" w:hAnsi="Cambria Math"/>
          </w:rPr>
          <m:t>N=2</m:t>
        </m:r>
      </m:oMath>
      <w:r>
        <w:t xml:space="preserve"> 层</w:t>
      </w:r>
    </w:p>
    <w:p w14:paraId="2BB14FFC">
      <w:pPr>
        <w:rPr>
          <w:b/>
          <w:bCs/>
        </w:rPr>
      </w:pPr>
      <w:r>
        <w:rPr>
          <w:rFonts w:hint="eastAsia"/>
          <w:b/>
          <w:bCs/>
          <w:sz w:val="27"/>
          <w:szCs w:val="27"/>
        </w:rPr>
        <w:t>（</w:t>
      </w:r>
      <w:r>
        <w:rPr>
          <w:b/>
          <w:bCs/>
        </w:rPr>
        <w:t>5） VaR与ES计算</w:t>
      </w:r>
    </w:p>
    <w:p w14:paraId="581C16D3">
      <w:pPr>
        <w:ind w:firstLine="560" w:firstLineChars="200"/>
      </w:pPr>
      <w:r>
        <w:t>模型输出预测分布参数后，可计算对应的左尾分位数：</w:t>
      </w:r>
    </w:p>
    <w:p w14:paraId="48A4870D">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F</m:t>
              </m:r>
              <m:ctrlPr>
                <w:rPr>
                  <w:rFonts w:ascii="Cambria Math" w:hAnsi="Cambria Math"/>
                </w:rPr>
              </m:ctrlPr>
            </m:e>
            <m:sub>
              <m:r>
                <m:rPr/>
                <w:rPr>
                  <w:rFonts w:ascii="Cambria Math" w:hAnsi="Cambria Math"/>
                </w:rPr>
                <m:t>Skew</m:t>
              </m:r>
              <m:r>
                <m:rPr>
                  <m:nor/>
                  <m:sty m:val="p"/>
                </m:rPr>
                <m:t>-</m:t>
              </m:r>
              <m:r>
                <m:rPr/>
                <w:rPr>
                  <w:rFonts w:ascii="Cambria Math" w:hAnsi="Cambria Math"/>
                </w:rPr>
                <m:t>t</m:t>
              </m:r>
              <m:ctrlPr>
                <w:rPr>
                  <w:rFonts w:ascii="Cambria Math" w:hAnsi="Cambria Math"/>
                </w:rPr>
              </m:ctrlPr>
            </m:sub>
            <m:sup>
              <m:r>
                <m:rPr/>
                <w:rPr>
                  <w:rFonts w:ascii="Cambria Math" w:hAnsi="Cambria Math"/>
                </w:rPr>
                <m:t>−1</m:t>
              </m:r>
              <m:ctrlPr>
                <w:rPr>
                  <w:rFonts w:ascii="Cambria Math" w:hAnsi="Cambria Math"/>
                </w:rPr>
              </m:ctrlPr>
            </m:sup>
          </m:sSubSup>
          <m:d>
            <m:dPr>
              <m:ctrlPr>
                <w:rPr>
                  <w:rFonts w:ascii="Cambria Math" w:hAnsi="Cambria Math"/>
                </w:rPr>
              </m:ctrlPr>
            </m:dPr>
            <m:e>
              <m:r>
                <m:rPr/>
                <w:rPr>
                  <w:rFonts w:ascii="Cambria Math" w:hAnsi="Cambria Math"/>
                </w:rPr>
                <m:t>α;</m:t>
              </m:r>
              <m:sSub>
                <m:sSubPr>
                  <m:ctrlPr>
                    <w:rPr>
                      <w:rFonts w:ascii="Cambria Math" w:hAnsi="Cambria Math"/>
                    </w:rPr>
                  </m:ctrlPr>
                </m:sSubPr>
                <m:e>
                  <m:acc>
                    <m:accPr>
                      <m:ctrlPr>
                        <w:rPr>
                          <w:rFonts w:ascii="Cambria Math" w:hAnsi="Cambria Math"/>
                        </w:rPr>
                      </m:ctrlPr>
                    </m:accPr>
                    <m:e>
                      <m:r>
                        <m:rPr/>
                        <w:rPr>
                          <w:rFonts w:ascii="Cambria Math" w:hAnsi="Cambria Math"/>
                        </w:rPr>
                        <m:t>μ</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σ</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ν</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ξ</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p w14:paraId="6ADDD4DD">
      <w:r>
        <w:t>于是：</w:t>
      </w:r>
    </w:p>
    <w:p w14:paraId="5B3C05A4">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VaR</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oMath>
      </m:oMathPara>
    </w:p>
    <w:p w14:paraId="28B13906">
      <w:pPr>
        <w:ind w:firstLine="560" w:firstLineChars="200"/>
      </w:pPr>
      <w:r>
        <w:t>ES定义为：</w:t>
      </w:r>
    </w:p>
    <w:p w14:paraId="31E569DB">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ES</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r>
            <m:rPr>
              <m:sty m:val="p"/>
              <m:scr m:val="double-struck"/>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e>
          </m:d>
        </m:oMath>
      </m:oMathPara>
    </w:p>
    <w:p w14:paraId="491AC5C2">
      <w:pPr>
        <w:ind w:firstLine="560" w:firstLineChars="200"/>
      </w:pPr>
      <w:r>
        <w:t>实际计算中，可通过数值积分方式得到ES：</w:t>
      </w:r>
    </w:p>
    <w:p w14:paraId="56C8BE7C">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ES</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r>
            <m:rPr/>
            <w:rPr>
              <w:rFonts w:ascii="Cambria Math" w:hAnsi="Cambria Math"/>
            </w:rPr>
            <m:t>=−</m:t>
          </m:r>
          <m:f>
            <m:fPr>
              <m:ctrlPr>
                <w:rPr>
                  <w:rFonts w:ascii="Cambria Math" w:hAnsi="Cambria Math"/>
                </w:rPr>
              </m:ctrlPr>
            </m:fPr>
            <m:num>
              <m:nary>
                <m:naryPr>
                  <m:grow m:val="1"/>
                  <m:limLoc m:val="subSup"/>
                  <m:ctrlPr>
                    <w:rPr>
                      <w:rFonts w:ascii="Cambria Math" w:hAnsi="Cambria Math"/>
                    </w:rPr>
                  </m:ctrlPr>
                </m:naryPr>
                <m:sub>
                  <m:r>
                    <m:rPr/>
                    <w:rPr>
                      <w:rFonts w:ascii="Cambria Math" w:hAnsi="Cambria Math"/>
                    </w:rPr>
                    <m:t>−</m:t>
                  </m:r>
                  <m:r>
                    <m:rPr>
                      <m:sty m:val="p"/>
                    </m:rPr>
                    <w:rPr>
                      <w:rFonts w:ascii="Cambria Math" w:hAnsi="Cambria Math"/>
                    </w:rPr>
                    <m:t>∞</m:t>
                  </m:r>
                  <m:ctrlPr>
                    <w:rPr>
                      <w:rFonts w:ascii="Cambria Math" w:hAnsi="Cambria Math"/>
                    </w:rPr>
                  </m:ctrlPr>
                </m:sub>
                <m:sup>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sup>
                <m:e>
                  <m:r>
                    <m:rPr/>
                    <w:rPr>
                      <w:rFonts w:ascii="Cambria Math" w:hAnsi="Cambria Math"/>
                    </w:rPr>
                    <m:t>x</m:t>
                  </m:r>
                  <m:ctrlPr>
                    <w:rPr>
                      <w:rFonts w:ascii="Cambria Math" w:hAnsi="Cambria Math"/>
                    </w:rPr>
                  </m:ctrlPr>
                </m:e>
              </m:nary>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Skew</m:t>
                  </m:r>
                  <m:r>
                    <m:rPr>
                      <m:nor/>
                      <m:sty m:val="p"/>
                    </m:rPr>
                    <m:t>-</m:t>
                  </m:r>
                  <m:r>
                    <m:rPr/>
                    <w:rPr>
                      <w:rFonts w:ascii="Cambria Math" w:hAnsi="Cambria Math"/>
                    </w:rPr>
                    <m:t>t</m:t>
                  </m:r>
                  <m:ctrlPr>
                    <w:rPr>
                      <w:rFonts w:ascii="Cambria Math" w:hAnsi="Cambria Math"/>
                    </w:rPr>
                  </m:ctrlPr>
                </m:sub>
              </m:sSub>
              <m:r>
                <m:rPr/>
                <w:rPr>
                  <w:rFonts w:ascii="Cambria Math" w:hAnsi="Cambria Math"/>
                </w:rPr>
                <m:t>(x;</m:t>
              </m:r>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)dx</m:t>
              </m:r>
              <m:ctrlPr>
                <w:rPr>
                  <w:rFonts w:ascii="Cambria Math" w:hAnsi="Cambria Math"/>
                </w:rPr>
              </m:ctrlPr>
            </m:num>
            <m:den>
              <m:nary>
                <m:naryPr>
                  <m:grow m:val="1"/>
                  <m:limLoc m:val="subSup"/>
                  <m:ctrlPr>
                    <w:rPr>
                      <w:rFonts w:ascii="Cambria Math" w:hAnsi="Cambria Math"/>
                    </w:rPr>
                  </m:ctrlPr>
                </m:naryPr>
                <m:sub>
                  <m:r>
                    <m:rPr/>
                    <w:rPr>
                      <w:rFonts w:ascii="Cambria Math" w:hAnsi="Cambria Math"/>
                    </w:rPr>
                    <m:t>−</m:t>
                  </m:r>
                  <m:r>
                    <m:rPr>
                      <m:sty m:val="p"/>
                    </m:rPr>
                    <w:rPr>
                      <w:rFonts w:ascii="Cambria Math" w:hAnsi="Cambria Math"/>
                    </w:rPr>
                    <m:t>∞</m:t>
                  </m:r>
                  <m:ctrlPr>
                    <w:rPr>
                      <w:rFonts w:ascii="Cambria Math" w:hAnsi="Cambria Math"/>
                    </w:rPr>
                  </m:ctrlPr>
                </m:sub>
                <m:sup>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sup>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Skew</m:t>
                      </m:r>
                      <m:r>
                        <m:rPr>
                          <m:nor/>
                          <m:sty m:val="p"/>
                        </m:rPr>
                        <m:t>-</m:t>
                      </m:r>
                      <m:r>
                        <m:rPr/>
                        <w:rPr>
                          <w:rFonts w:ascii="Cambria Math" w:hAnsi="Cambria Math"/>
                        </w:rPr>
                        <m:t>t</m:t>
                      </m:r>
                      <m:ctrlPr>
                        <w:rPr>
                          <w:rFonts w:ascii="Cambria Math" w:hAnsi="Cambria Math"/>
                        </w:rPr>
                      </m:ctrlPr>
                    </m:sub>
                  </m:sSub>
                  <m:ctrlPr>
                    <w:rPr>
                      <w:rFonts w:ascii="Cambria Math" w:hAnsi="Cambria Math"/>
                    </w:rPr>
                  </m:ctrlPr>
                </m:e>
              </m:nary>
              <m:r>
                <m:rPr/>
                <w:rPr>
                  <w:rFonts w:ascii="Cambria Math" w:hAnsi="Cambria Math"/>
                </w:rPr>
                <m:t>(x;</m:t>
              </m:r>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)dx</m:t>
              </m:r>
              <m:ctrlPr>
                <w:rPr>
                  <w:rFonts w:ascii="Cambria Math" w:hAnsi="Cambria Math"/>
                </w:rPr>
              </m:ctrlPr>
            </m:den>
          </m:f>
        </m:oMath>
      </m:oMathPara>
    </w:p>
    <w:p w14:paraId="085D1D27">
      <w:pPr>
        <w:ind w:firstLine="560" w:firstLineChars="200"/>
        <w:rPr>
          <w:color w:val="auto"/>
          <w:sz w:val="24"/>
        </w:rPr>
      </w:pPr>
      <w:r>
        <w:t xml:space="preserve">实际实现中，在1200点的网格上评估积分，网格范围覆盖 </w:t>
      </w:r>
      <m:oMath>
        <m:d>
          <m:dPr>
            <m:begChr m:val="["/>
            <m:endChr m:val="]"/>
            <m:ctrlPr>
              <w:rPr>
                <w:rFonts w:ascii="Cambria Math" w:hAnsi="Cambria Math"/>
              </w:rPr>
            </m:ctrlPr>
          </m:dPr>
          <m:e>
            <m:r>
              <m:rPr/>
              <w:rPr>
                <w:rFonts w:ascii="Cambria Math" w:hAnsi="Cambria Math"/>
              </w:rPr>
              <m:t>μ−12σ</m:t>
            </m:r>
            <m:rad>
              <m:radPr>
                <m:degHide m:val="1"/>
                <m:ctrlPr>
                  <w:rPr>
                    <w:rFonts w:ascii="Cambria Math" w:hAnsi="Cambria Math"/>
                  </w:rPr>
                </m:ctrlPr>
              </m:radPr>
              <m:deg>
                <m:ctrlPr>
                  <w:rPr>
                    <w:rFonts w:ascii="Cambria Math" w:hAnsi="Cambria Math"/>
                  </w:rPr>
                </m:ctrlPr>
              </m:deg>
              <m:e>
                <m:r>
                  <m:rPr/>
                  <w:rPr>
                    <w:rFonts w:ascii="Cambria Math" w:hAnsi="Cambria Math"/>
                  </w:rPr>
                  <m:t>ν</m:t>
                </m:r>
                <m:r>
                  <m:rPr>
                    <m:sty m:val="p"/>
                  </m:rPr>
                  <w:rPr>
                    <w:rFonts w:ascii="Cambria Math" w:hAnsi="Cambria Math"/>
                  </w:rPr>
                  <m:t>/</m:t>
                </m:r>
                <m:r>
                  <m:rPr/>
                  <w:rPr>
                    <w:rFonts w:ascii="Cambria Math" w:hAnsi="Cambria Math"/>
                  </w:rPr>
                  <m:t>(ν−2)</m:t>
                </m:r>
                <m:ctrlPr>
                  <w:rPr>
                    <w:rFonts w:ascii="Cambria Math" w:hAnsi="Cambria Math"/>
                  </w:rPr>
                </m:ctrlPr>
              </m:e>
            </m:rad>
            <m:r>
              <m:rPr/>
              <w:rPr>
                <w:rFonts w:ascii="Cambria Math" w:hAnsi="Cambria Math"/>
              </w:rPr>
              <m:t>,μ+12σ</m:t>
            </m:r>
            <m:rad>
              <m:radPr>
                <m:degHide m:val="1"/>
                <m:ctrlPr>
                  <w:rPr>
                    <w:rFonts w:ascii="Cambria Math" w:hAnsi="Cambria Math"/>
                  </w:rPr>
                </m:ctrlPr>
              </m:radPr>
              <m:deg>
                <m:ctrlPr>
                  <w:rPr>
                    <w:rFonts w:ascii="Cambria Math" w:hAnsi="Cambria Math"/>
                  </w:rPr>
                </m:ctrlPr>
              </m:deg>
              <m:e>
                <m:r>
                  <m:rPr/>
                  <w:rPr>
                    <w:rFonts w:ascii="Cambria Math" w:hAnsi="Cambria Math"/>
                  </w:rPr>
                  <m:t>ν</m:t>
                </m:r>
                <m:r>
                  <m:rPr>
                    <m:sty m:val="p"/>
                  </m:rPr>
                  <w:rPr>
                    <w:rFonts w:ascii="Cambria Math" w:hAnsi="Cambria Math"/>
                  </w:rPr>
                  <m:t>/</m:t>
                </m:r>
                <m:r>
                  <m:rPr/>
                  <w:rPr>
                    <w:rFonts w:ascii="Cambria Math" w:hAnsi="Cambria Math"/>
                  </w:rPr>
                  <m:t>(ν−2)</m:t>
                </m:r>
                <m:ctrlPr>
                  <w:rPr>
                    <w:rFonts w:ascii="Cambria Math" w:hAnsi="Cambria Math"/>
                  </w:rPr>
                </m:ctrlPr>
              </m:e>
            </m:rad>
            <m:ctrlPr>
              <w:rPr>
                <w:rFonts w:ascii="Cambria Math" w:hAnsi="Cambria Math"/>
              </w:rPr>
            </m:ctrlPr>
          </m:e>
        </m:d>
      </m:oMath>
      <w:r>
        <w:t xml:space="preserve">，约等于条件分布 </w:t>
      </w:r>
      <m:oMath>
        <m:r>
          <m:rPr/>
          <w:rPr>
            <w:rFonts w:ascii="Cambria Math" w:hAnsi="Cambria Math"/>
          </w:rPr>
          <m:t>±12</m:t>
        </m:r>
      </m:oMath>
      <w:r>
        <w:t xml:space="preserve">个标准差。本文主实验取置信水平 </w:t>
      </w:r>
      <m:oMath>
        <m:r>
          <m:rPr/>
          <w:rPr>
            <w:rFonts w:ascii="Cambria Math" w:hAnsi="Cambria Math"/>
          </w:rPr>
          <m:t>α=5</m:t>
        </m:r>
        <m:r>
          <m:rPr>
            <m:sty m:val="p"/>
          </m:rPr>
          <w:rPr>
            <w:rFonts w:ascii="Cambria Math" w:hAnsi="Cambria Math"/>
          </w:rPr>
          <m:t>%</m:t>
        </m:r>
      </m:oMath>
      <w:r>
        <w:t xml:space="preserve">（即 5% 分位数），预测步长 </w:t>
      </w:r>
      <m:oMath>
        <m:r>
          <m:rPr/>
          <w:rPr>
            <w:rFonts w:ascii="Cambria Math" w:hAnsi="Cambria Math"/>
          </w:rPr>
          <m:t>h=1</m:t>
        </m:r>
      </m:oMath>
      <w:r>
        <w:t>（一日前瞻）。</w:t>
      </w:r>
    </w:p>
    <w:p w14:paraId="6E4080CC">
      <w:pPr>
        <w:pStyle w:val="4"/>
      </w:pPr>
      <w:r>
        <w:rPr>
          <w:rFonts w:hint="eastAsia"/>
        </w:rPr>
        <w:t>6.1.</w:t>
      </w:r>
      <w:r>
        <w:t>7. 基准模型设计</w:t>
      </w:r>
    </w:p>
    <w:p w14:paraId="3B9A0593">
      <w:pPr>
        <w:ind w:firstLine="560" w:firstLineChars="200"/>
      </w:pPr>
      <w:r>
        <w:t>为检验综合市场状态分布特征的增量价值，本文构造两类基准模型：传统风险模型和不含综合市场状态分布特征的深度学习模型。</w:t>
      </w:r>
    </w:p>
    <w:p w14:paraId="1ED4AECC">
      <w:pPr>
        <w:rPr>
          <w:b/>
          <w:bCs/>
          <w:sz w:val="27"/>
          <w:szCs w:val="27"/>
        </w:rPr>
      </w:pPr>
      <w:r>
        <w:rPr>
          <w:rFonts w:hint="eastAsia"/>
          <w:b/>
          <w:bCs/>
          <w:sz w:val="27"/>
          <w:szCs w:val="27"/>
        </w:rPr>
        <w:t>（1）</w:t>
      </w:r>
      <w:r>
        <w:rPr>
          <w:b/>
          <w:bCs/>
          <w:sz w:val="27"/>
          <w:szCs w:val="27"/>
        </w:rPr>
        <w:t xml:space="preserve"> M0：历史模拟法 Historical Simulation</w:t>
      </w:r>
    </w:p>
    <w:p w14:paraId="60428C25">
      <w:pPr>
        <w:ind w:firstLine="560" w:firstLineChars="200"/>
      </w:pPr>
      <w:r>
        <w:t>历史模拟法直接使用核心市场过去一段时间的经验分布估计未来风险，不引入任何参数分布假设。设滚动窗口长度为 (w=250)，则：</w:t>
      </w:r>
    </w:p>
    <w:p w14:paraId="74073E95">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VaR</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r>
                <m:rPr/>
                <w:rPr>
                  <w:rFonts w:ascii="Cambria Math" w:hAnsi="Cambria Math"/>
                </w:rPr>
                <m:t>Hist</m:t>
              </m:r>
              <m:ctrlPr>
                <w:rPr>
                  <w:rFonts w:ascii="Cambria Math" w:hAnsi="Cambria Math"/>
                </w:rPr>
              </m:ctrlPr>
            </m:sup>
          </m:sSubSup>
          <m:r>
            <m:rPr/>
            <w:rPr>
              <w:rFonts w:ascii="Cambria Math" w:hAnsi="Cambria Math"/>
            </w:rPr>
            <m:t>=−Quantil</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α</m:t>
              </m:r>
              <m:ctrlPr>
                <w:rPr>
                  <w:rFonts w:ascii="Cambria Math" w:hAnsi="Cambria Math"/>
                </w:rPr>
              </m:ctrlPr>
            </m:sub>
          </m:sSub>
          <m:d>
            <m:dPr>
              <m:sep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t−w,t−w+h</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t−h,t</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d>
        </m:oMath>
      </m:oMathPara>
    </w:p>
    <w:p w14:paraId="54F8BD7C">
      <w:pPr>
        <w:widowControl/>
        <w:spacing w:line="240" w:lineRule="auto"/>
        <w:jc w:val="left"/>
        <w:rPr>
          <w:rFonts w:hint="eastAsia" w:ascii="宋体" w:hAnsi="宋体" w:cs="宋体"/>
          <w:color w:val="auto"/>
          <w:kern w:val="0"/>
          <w:sz w:val="24"/>
          <w:szCs w:val="24"/>
        </w:rPr>
      </w:pPr>
      <m:oMathPara>
        <m:oMath>
          <m:sSubSup>
            <m:sSubSupPr>
              <m:ctrlPr>
                <w:rPr>
                  <w:rFonts w:ascii="Cambria Math" w:hAnsi="Cambria Math" w:cs="宋体"/>
                  <w:color w:val="auto"/>
                  <w:kern w:val="0"/>
                  <w:sz w:val="24"/>
                  <w:szCs w:val="24"/>
                </w:rPr>
              </m:ctrlPr>
            </m:sSubSupPr>
            <m:e>
              <m:acc>
                <m:accPr>
                  <m:ctrlPr>
                    <w:rPr>
                      <w:rFonts w:ascii="Cambria Math" w:hAnsi="Cambria Math" w:cs="宋体"/>
                      <w:color w:val="auto"/>
                      <w:kern w:val="0"/>
                      <w:sz w:val="24"/>
                      <w:szCs w:val="24"/>
                    </w:rPr>
                  </m:ctrlPr>
                </m:accPr>
                <m:e>
                  <m:r>
                    <m:rPr/>
                    <w:rPr>
                      <w:rFonts w:ascii="Cambria Math" w:hAnsi="Cambria Math" w:cs="宋体"/>
                      <w:color w:val="auto"/>
                      <w:kern w:val="0"/>
                      <w:sz w:val="24"/>
                      <w:szCs w:val="24"/>
                    </w:rPr>
                    <m:t>ES</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α,t</m:t>
              </m:r>
              <m:ctrlPr>
                <w:rPr>
                  <w:rFonts w:ascii="Cambria Math" w:hAnsi="Cambria Math" w:cs="宋体"/>
                  <w:color w:val="auto"/>
                  <w:kern w:val="0"/>
                  <w:sz w:val="24"/>
                  <w:szCs w:val="24"/>
                </w:rPr>
              </m:ctrlPr>
            </m:sub>
            <m:sup>
              <m:r>
                <m:rPr/>
                <w:rPr>
                  <w:rFonts w:ascii="Cambria Math" w:hAnsi="Cambria Math" w:cs="宋体"/>
                  <w:color w:val="auto"/>
                  <w:kern w:val="0"/>
                  <w:sz w:val="24"/>
                  <w:szCs w:val="24"/>
                </w:rPr>
                <m:t>Hist</m:t>
              </m:r>
              <m:ctrlPr>
                <w:rPr>
                  <w:rFonts w:ascii="Cambria Math" w:hAnsi="Cambria Math" w:cs="宋体"/>
                  <w:color w:val="auto"/>
                  <w:kern w:val="0"/>
                  <w:sz w:val="24"/>
                  <w:szCs w:val="24"/>
                </w:rPr>
              </m:ctrlPr>
            </m:sup>
          </m:sSubSup>
          <m:r>
            <m:rPr/>
            <w:rPr>
              <w:rFonts w:ascii="Cambria Math" w:hAnsi="Cambria Math" w:cs="宋体"/>
              <w:color w:val="auto"/>
              <w:kern w:val="0"/>
              <w:sz w:val="24"/>
              <w:szCs w:val="24"/>
            </w:rPr>
            <m:t>=−Mean</m:t>
          </m:r>
          <m:d>
            <m:dPr>
              <m:ctrlPr>
                <w:rPr>
                  <w:rFonts w:ascii="Cambria Math" w:hAnsi="Cambria Math" w:cs="宋体"/>
                  <w:color w:val="auto"/>
                  <w:kern w:val="0"/>
                  <w:sz w:val="24"/>
                  <w:szCs w:val="24"/>
                </w:rPr>
              </m:ctrlPr>
            </m:dPr>
            <m:e>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R</m:t>
                  </m:r>
                  <m:ctrlPr>
                    <w:rPr>
                      <w:rFonts w:ascii="Cambria Math" w:hAnsi="Cambria Math" w:cs="宋体"/>
                      <w:color w:val="auto"/>
                      <w:kern w:val="0"/>
                      <w:sz w:val="24"/>
                      <w:szCs w:val="24"/>
                    </w:rPr>
                  </m:ctrlPr>
                </m:e>
                <m:sub>
                  <m:r>
                    <m:rPr/>
                    <w:rPr>
                      <w:rFonts w:ascii="Cambria Math" w:hAnsi="Cambria Math" w:cs="宋体"/>
                      <w:color w:val="auto"/>
                      <w:kern w:val="0"/>
                      <w:sz w:val="24"/>
                      <w:szCs w:val="24"/>
                    </w:rPr>
                    <m:t>τ,τ+h</m:t>
                  </m:r>
                  <m:ctrlPr>
                    <w:rPr>
                      <w:rFonts w:ascii="Cambria Math" w:hAnsi="Cambria Math" w:cs="宋体"/>
                      <w:color w:val="auto"/>
                      <w:kern w:val="0"/>
                      <w:sz w:val="24"/>
                      <w:szCs w:val="24"/>
                    </w:rPr>
                  </m:ctrlPr>
                </m:sub>
                <m:sup>
                  <m:r>
                    <m:rPr/>
                    <w:rPr>
                      <w:rFonts w:ascii="Cambria Math" w:hAnsi="Cambria Math" w:cs="宋体"/>
                      <w:color w:val="auto"/>
                      <w:kern w:val="0"/>
                      <w:sz w:val="24"/>
                      <w:szCs w:val="24"/>
                    </w:rPr>
                    <m:t>CSI300</m:t>
                  </m:r>
                  <m:ctrlPr>
                    <w:rPr>
                      <w:rFonts w:ascii="Cambria Math" w:hAnsi="Cambria Math" w:cs="宋体"/>
                      <w:color w:val="auto"/>
                      <w:kern w:val="0"/>
                      <w:sz w:val="24"/>
                      <w:szCs w:val="24"/>
                    </w:rPr>
                  </m:ctrlPr>
                </m:sup>
              </m:sSubSup>
              <m:r>
                <m:rPr/>
                <w:rPr>
                  <w:rFonts w:ascii="Cambria Math" w:hAnsi="Cambria Math" w:cs="宋体"/>
                  <w:color w:val="auto"/>
                  <w:kern w:val="0"/>
                  <w:sz w:val="24"/>
                  <w:szCs w:val="24"/>
                </w:rPr>
                <m:t>∣</m:t>
              </m:r>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R</m:t>
                  </m:r>
                  <m:ctrlPr>
                    <w:rPr>
                      <w:rFonts w:ascii="Cambria Math" w:hAnsi="Cambria Math" w:cs="宋体"/>
                      <w:color w:val="auto"/>
                      <w:kern w:val="0"/>
                      <w:sz w:val="24"/>
                      <w:szCs w:val="24"/>
                    </w:rPr>
                  </m:ctrlPr>
                </m:e>
                <m:sub>
                  <m:r>
                    <m:rPr/>
                    <w:rPr>
                      <w:rFonts w:ascii="Cambria Math" w:hAnsi="Cambria Math" w:cs="宋体"/>
                      <w:color w:val="auto"/>
                      <w:kern w:val="0"/>
                      <w:sz w:val="24"/>
                      <w:szCs w:val="24"/>
                    </w:rPr>
                    <m:t>τ,τ+h</m:t>
                  </m:r>
                  <m:ctrlPr>
                    <w:rPr>
                      <w:rFonts w:ascii="Cambria Math" w:hAnsi="Cambria Math" w:cs="宋体"/>
                      <w:color w:val="auto"/>
                      <w:kern w:val="0"/>
                      <w:sz w:val="24"/>
                      <w:szCs w:val="24"/>
                    </w:rPr>
                  </m:ctrlPr>
                </m:sub>
                <m:sup>
                  <m:r>
                    <m:rPr/>
                    <w:rPr>
                      <w:rFonts w:ascii="Cambria Math" w:hAnsi="Cambria Math" w:cs="宋体"/>
                      <w:color w:val="auto"/>
                      <w:kern w:val="0"/>
                      <w:sz w:val="24"/>
                      <w:szCs w:val="24"/>
                    </w:rPr>
                    <m:t>CSI300</m:t>
                  </m:r>
                  <m:ctrlPr>
                    <w:rPr>
                      <w:rFonts w:ascii="Cambria Math" w:hAnsi="Cambria Math" w:cs="宋体"/>
                      <w:color w:val="auto"/>
                      <w:kern w:val="0"/>
                      <w:sz w:val="24"/>
                      <w:szCs w:val="24"/>
                    </w:rPr>
                  </m:ctrlPr>
                </m:sup>
              </m:sSubSup>
              <m:r>
                <m:rPr/>
                <w:rPr>
                  <w:rFonts w:ascii="Cambria Math" w:hAnsi="Cambria Math" w:cs="宋体"/>
                  <w:color w:val="auto"/>
                  <w:kern w:val="0"/>
                  <w:sz w:val="24"/>
                  <w:szCs w:val="24"/>
                </w:rPr>
                <m:t>≤</m:t>
              </m:r>
              <m:sSubSup>
                <m:sSubSupPr>
                  <m:ctrlPr>
                    <w:rPr>
                      <w:rFonts w:ascii="Cambria Math" w:hAnsi="Cambria Math" w:cs="宋体"/>
                      <w:color w:val="auto"/>
                      <w:kern w:val="0"/>
                      <w:sz w:val="24"/>
                      <w:szCs w:val="24"/>
                    </w:rPr>
                  </m:ctrlPr>
                </m:sSubSupPr>
                <m:e>
                  <m:r>
                    <m:rPr/>
                    <w:rPr>
                      <w:rFonts w:ascii="Cambria Math" w:hAnsi="Cambria Math" w:cs="宋体"/>
                      <w:color w:val="auto"/>
                      <w:kern w:val="0"/>
                      <w:sz w:val="24"/>
                      <w:szCs w:val="24"/>
                    </w:rPr>
                    <m:t>q</m:t>
                  </m:r>
                  <m:ctrlPr>
                    <w:rPr>
                      <w:rFonts w:ascii="Cambria Math" w:hAnsi="Cambria Math" w:cs="宋体"/>
                      <w:color w:val="auto"/>
                      <w:kern w:val="0"/>
                      <w:sz w:val="24"/>
                      <w:szCs w:val="24"/>
                    </w:rPr>
                  </m:ctrlPr>
                </m:e>
                <m:sub>
                  <m:r>
                    <m:rPr/>
                    <w:rPr>
                      <w:rFonts w:ascii="Cambria Math" w:hAnsi="Cambria Math" w:cs="宋体"/>
                      <w:color w:val="auto"/>
                      <w:kern w:val="0"/>
                      <w:sz w:val="24"/>
                      <w:szCs w:val="24"/>
                    </w:rPr>
                    <m:t>α,t</m:t>
                  </m:r>
                  <m:ctrlPr>
                    <w:rPr>
                      <w:rFonts w:ascii="Cambria Math" w:hAnsi="Cambria Math" w:cs="宋体"/>
                      <w:color w:val="auto"/>
                      <w:kern w:val="0"/>
                      <w:sz w:val="24"/>
                      <w:szCs w:val="24"/>
                    </w:rPr>
                  </m:ctrlPr>
                </m:sub>
                <m:sup>
                  <m:r>
                    <m:rPr/>
                    <w:rPr>
                      <w:rFonts w:ascii="Cambria Math" w:hAnsi="Cambria Math" w:cs="宋体"/>
                      <w:color w:val="auto"/>
                      <w:kern w:val="0"/>
                      <w:sz w:val="24"/>
                      <w:szCs w:val="24"/>
                    </w:rPr>
                    <m:t>Hist</m:t>
                  </m:r>
                  <m:ctrlPr>
                    <w:rPr>
                      <w:rFonts w:ascii="Cambria Math" w:hAnsi="Cambria Math" w:cs="宋体"/>
                      <w:color w:val="auto"/>
                      <w:kern w:val="0"/>
                      <w:sz w:val="24"/>
                      <w:szCs w:val="24"/>
                    </w:rPr>
                  </m:ctrlPr>
                </m:sup>
              </m:sSubSup>
              <m:ctrlPr>
                <w:rPr>
                  <w:rFonts w:ascii="Cambria Math" w:hAnsi="Cambria Math" w:cs="宋体"/>
                  <w:color w:val="auto"/>
                  <w:kern w:val="0"/>
                  <w:sz w:val="24"/>
                  <w:szCs w:val="24"/>
                </w:rPr>
              </m:ctrlPr>
            </m:e>
          </m:d>
        </m:oMath>
      </m:oMathPara>
    </w:p>
    <w:p w14:paraId="30761452">
      <w:pPr>
        <w:ind w:firstLine="560" w:firstLineChars="200"/>
      </w:pPr>
      <w:r>
        <w:t>该模型作为最基础的非参数风险管理基准。</w:t>
      </w:r>
    </w:p>
    <w:p w14:paraId="3C624C51">
      <w:pPr>
        <w:rPr>
          <w:b/>
          <w:bCs/>
          <w:sz w:val="27"/>
          <w:szCs w:val="27"/>
        </w:rPr>
      </w:pPr>
      <w:r>
        <w:rPr>
          <w:rFonts w:hint="eastAsia"/>
          <w:b/>
          <w:bCs/>
          <w:sz w:val="27"/>
          <w:szCs w:val="27"/>
        </w:rPr>
        <w:t>（2）</w:t>
      </w:r>
      <w:r>
        <w:rPr>
          <w:b/>
          <w:bCs/>
          <w:sz w:val="27"/>
          <w:szCs w:val="27"/>
        </w:rPr>
        <w:t>M1：EWMA-Normal模型</w:t>
      </w:r>
    </w:p>
    <w:p w14:paraId="22168EC7">
      <w:pPr>
        <w:ind w:firstLine="560" w:firstLineChars="200"/>
      </w:pPr>
      <w:r>
        <w:t>EWMA模型采用指数加权移动平均方式估计动态波动率：</w:t>
      </w:r>
    </w:p>
    <w:p w14:paraId="5670297B">
      <m:oMathPara>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=λ</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+(1−λ)(</m:t>
          </m:r>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CSI300</m:t>
              </m:r>
              <m:ctrlPr>
                <w:rPr>
                  <w:rFonts w:ascii="Cambria Math" w:hAnsi="Cambria Math"/>
                </w:rPr>
              </m:ctrlPr>
            </m:sup>
          </m:sSubSup>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oMath>
      </m:oMathPara>
    </w:p>
    <w:p w14:paraId="27F42E93">
      <w:r>
        <w:t>其中，</w:t>
      </w:r>
      <w:r>
        <w:rPr>
          <w:rFonts w:hint="eastAsia"/>
          <w:kern w:val="0"/>
          <w:position w:val="-14"/>
        </w:rPr>
        <w:object>
          <v:shape id="_x0000_i1096" o:spt="75" type="#_x0000_t75" style="height:20.2pt;width:52.9pt;" o:ole="t" filled="f" o:preferrelative="t" stroked="f" coordsize="21600,21600">
            <v:path/>
            <v:fill on="f" focussize="0,0"/>
            <v:stroke on="f" joinstyle="miter"/>
            <v:imagedata r:id="rId163" o:title=""/>
            <o:lock v:ext="edit" aspectratio="t"/>
            <w10:wrap type="none"/>
            <w10:anchorlock/>
          </v:shape>
          <o:OLEObject Type="Embed" ProgID="Equation.DSMT4" ShapeID="_x0000_i1096" DrawAspect="Content" ObjectID="_1468075796" r:id="rId162">
            <o:LockedField>false</o:LockedField>
          </o:OLEObject>
        </w:object>
      </w:r>
      <w:r>
        <w:t>。在正态分布假设下：</w:t>
      </w:r>
    </w:p>
    <w:p w14:paraId="5DAB7D8A">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∼N(0,h</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m:t>
          </m:r>
        </m:oMath>
      </m:oMathPara>
    </w:p>
    <w:p w14:paraId="16FC038F">
      <w:r>
        <w:t>则：</w:t>
      </w:r>
    </w:p>
    <w:p w14:paraId="5D21320E">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VaR</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r>
                <m:rPr/>
                <w:rPr>
                  <w:rFonts w:ascii="Cambria Math" w:hAnsi="Cambria Math"/>
                </w:rPr>
                <m:t>EWMA</m:t>
              </m:r>
              <m:ctrlPr>
                <w:rPr>
                  <w:rFonts w:ascii="Cambria Math" w:hAnsi="Cambria Math"/>
                </w:rPr>
              </m:ctrlPr>
            </m:sup>
          </m:sSub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h</m:t>
              </m:r>
              <m:ctrlPr>
                <w:rPr>
                  <w:rFonts w:ascii="Cambria Math" w:hAnsi="Cambria Math"/>
                </w:rPr>
              </m:ctrlPr>
            </m:e>
          </m:rad>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r>
                <m:rPr>
                  <m:sty m:val="p"/>
                </m:rPr>
                <w:rPr>
                  <w:rFonts w:ascii="Cambria Math" w:hAnsi="Cambria Math"/>
                </w:rPr>
                <m:t>Φ</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(α)</m:t>
          </m:r>
        </m:oMath>
      </m:oMathPara>
    </w:p>
    <w:p w14:paraId="5D8A2A43">
      <m:oMathPara>
        <m:oMath>
          <m:sSubSup>
            <m:sSubSupPr>
              <m:ctrlPr>
                <w:rPr>
                  <w:rFonts w:ascii="Cambria Math" w:hAnsi="Cambria Math"/>
                </w:rPr>
              </m:ctrlPr>
            </m:sSubSupPr>
            <m:e>
              <m:acc>
                <m:accPr>
                  <m:ctrlPr>
                    <w:rPr>
                      <w:rFonts w:ascii="Cambria Math" w:hAnsi="Cambria Math"/>
                    </w:rPr>
                  </m:ctrlPr>
                </m:accPr>
                <m:e>
                  <m:r>
                    <m:rPr/>
                    <w:rPr>
                      <w:rFonts w:ascii="Cambria Math" w:hAnsi="Cambria Math"/>
                    </w:rPr>
                    <m:t>ES</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r>
                <m:rPr/>
                <w:rPr>
                  <w:rFonts w:ascii="Cambria Math" w:hAnsi="Cambria Math"/>
                </w:rPr>
                <m:t>EWMA</m:t>
              </m:r>
              <m:ctrlPr>
                <w:rPr>
                  <w:rFonts w:ascii="Cambria Math" w:hAnsi="Cambria Math"/>
                </w:rPr>
              </m:ctrlPr>
            </m:sup>
          </m:sSub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h</m:t>
              </m:r>
              <m:ctrlPr>
                <w:rPr>
                  <w:rFonts w:ascii="Cambria Math" w:hAnsi="Cambria Math"/>
                </w:rPr>
              </m:ctrlPr>
            </m:e>
          </m:rad>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f>
            <m:fPr>
              <m:ctrlPr>
                <w:rPr>
                  <w:rFonts w:ascii="Cambria Math" w:hAnsi="Cambria Math"/>
                </w:rPr>
              </m:ctrlPr>
            </m:fPr>
            <m:num>
              <m:r>
                <m:rPr/>
                <w:rPr>
                  <w:rFonts w:ascii="Cambria Math" w:hAnsi="Cambria Math"/>
                </w:rPr>
                <m:t>ϕ(</m:t>
              </m:r>
              <m:sSup>
                <m:sSupPr>
                  <m:ctrlPr>
                    <w:rPr>
                      <w:rFonts w:ascii="Cambria Math" w:hAnsi="Cambria Math"/>
                    </w:rPr>
                  </m:ctrlPr>
                </m:sSupPr>
                <m:e>
                  <m:r>
                    <m:rPr>
                      <m:sty m:val="p"/>
                    </m:rPr>
                    <w:rPr>
                      <w:rFonts w:ascii="Cambria Math" w:hAnsi="Cambria Math"/>
                    </w:rPr>
                    <m:t>Φ</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(α))</m:t>
              </m:r>
              <m:ctrlPr>
                <w:rPr>
                  <w:rFonts w:ascii="Cambria Math" w:hAnsi="Cambria Math"/>
                </w:rPr>
              </m:ctrlPr>
            </m:num>
            <m:den>
              <m:r>
                <m:rPr/>
                <w:rPr>
                  <w:rFonts w:ascii="Cambria Math" w:hAnsi="Cambria Math"/>
                </w:rPr>
                <m:t>α</m:t>
              </m:r>
              <m:ctrlPr>
                <w:rPr>
                  <w:rFonts w:ascii="Cambria Math" w:hAnsi="Cambria Math"/>
                </w:rPr>
              </m:ctrlPr>
            </m:den>
          </m:f>
        </m:oMath>
      </m:oMathPara>
    </w:p>
    <w:p w14:paraId="18842AC1">
      <w:r>
        <w:t>其中，</w:t>
      </w:r>
      <w:r>
        <w:rPr>
          <w:rFonts w:hint="eastAsia"/>
          <w:kern w:val="0"/>
          <w:position w:val="-14"/>
        </w:rPr>
        <w:object>
          <v:shape id="_x0000_i1097" o:spt="75" type="#_x0000_t75" style="height:20.2pt;width:22.9pt;" o:ole="t" filled="f" o:preferrelative="t" stroked="f" coordsize="21600,21600">
            <v:path/>
            <v:fill on="f" focussize="0,0"/>
            <v:stroke on="f" joinstyle="miter"/>
            <v:imagedata r:id="rId165" o:title=""/>
            <o:lock v:ext="edit" aspectratio="t"/>
            <w10:wrap type="none"/>
            <w10:anchorlock/>
          </v:shape>
          <o:OLEObject Type="Embed" ProgID="Equation.DSMT4" ShapeID="_x0000_i1097" DrawAspect="Content" ObjectID="_1468075797" r:id="rId164">
            <o:LockedField>false</o:LockedField>
          </o:OLEObject>
        </w:object>
      </w:r>
      <w:r>
        <w:t xml:space="preserve"> 和 </w:t>
      </w:r>
      <w:r>
        <w:rPr>
          <w:rFonts w:hint="eastAsia"/>
          <w:kern w:val="0"/>
          <w:position w:val="-14"/>
        </w:rPr>
        <w:object>
          <v:shape id="_x0000_i1098" o:spt="75" type="#_x0000_t75" style="height:20.2pt;width:24pt;" o:ole="t" filled="f" o:preferrelative="t" stroked="f" coordsize="21600,21600">
            <v:path/>
            <v:fill on="f" focussize="0,0"/>
            <v:stroke on="f" joinstyle="miter"/>
            <v:imagedata r:id="rId167" o:title=""/>
            <o:lock v:ext="edit" aspectratio="t"/>
            <w10:wrap type="none"/>
            <w10:anchorlock/>
          </v:shape>
          <o:OLEObject Type="Embed" ProgID="Equation.DSMT4" ShapeID="_x0000_i1098" DrawAspect="Content" ObjectID="_1468075798" r:id="rId166">
            <o:LockedField>false</o:LockedField>
          </o:OLEObject>
        </w:object>
      </w:r>
      <w:r>
        <w:t xml:space="preserve"> 分别为标准正态分布函数和密度函数。</w:t>
      </w:r>
    </w:p>
    <w:p w14:paraId="2168DC7F">
      <w:pPr>
        <w:rPr>
          <w:b/>
          <w:bCs/>
          <w:sz w:val="27"/>
          <w:szCs w:val="27"/>
        </w:rPr>
      </w:pPr>
      <w:r>
        <w:rPr>
          <w:rFonts w:hint="eastAsia"/>
          <w:b/>
          <w:bCs/>
          <w:sz w:val="27"/>
          <w:szCs w:val="27"/>
        </w:rPr>
        <w:t>（3）</w:t>
      </w:r>
      <w:r>
        <w:rPr>
          <w:b/>
          <w:bCs/>
          <w:sz w:val="27"/>
          <w:szCs w:val="27"/>
        </w:rPr>
        <w:t xml:space="preserve"> M2：GARCH-Normal模型</w:t>
      </w:r>
    </w:p>
    <w:p w14:paraId="4EDFB852">
      <w:pPr>
        <w:ind w:firstLine="560" w:firstLineChars="200"/>
      </w:pPr>
      <w:r>
        <w:t>GARCH模型用于刻画金融收益序列中的波动率聚集现象。其形式为：</w:t>
      </w:r>
    </w:p>
    <w:p w14:paraId="77AF06DD">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CSI300</m:t>
              </m:r>
              <m:ctrlPr>
                <w:rPr>
                  <w:rFonts w:ascii="Cambria Math" w:hAnsi="Cambria Math"/>
                </w:rPr>
              </m:ctrlPr>
            </m:sup>
          </m:sSubSup>
          <m:r>
            <m:rPr/>
            <w:rPr>
              <w:rFonts w:ascii="Cambria Math" w:hAnsi="Cambria Math"/>
            </w:rPr>
            <m:t>=μ+</m:t>
          </m:r>
          <m:sSub>
            <m:sSubPr>
              <m:ctrlPr>
                <w:rPr>
                  <w:rFonts w:ascii="Cambria Math" w:hAnsi="Cambria Math"/>
                </w:rPr>
              </m:ctrlPr>
            </m:sSubPr>
            <m:e>
              <m:r>
                <m:rPr/>
                <w:rPr>
                  <w:rFonts w:ascii="Cambria Math" w:hAnsi="Cambria Math"/>
                </w:rPr>
                <m:t>ϵ</m:t>
              </m:r>
              <m:ctrlPr>
                <w:rPr>
                  <w:rFonts w:ascii="Cambria Math" w:hAnsi="Cambria Math"/>
                </w:rPr>
              </m:ctrlPr>
            </m:e>
            <m:sub>
              <m:r>
                <m:rPr/>
                <w:rPr>
                  <w:rFonts w:ascii="Cambria Math" w:hAnsi="Cambria Math"/>
                </w:rPr>
                <m:t>t</m:t>
              </m:r>
              <m:ctrlPr>
                <w:rPr>
                  <w:rFonts w:ascii="Cambria Math" w:hAnsi="Cambria Math"/>
                </w:rPr>
              </m:ctrlPr>
            </m:sub>
          </m:sSub>
        </m:oMath>
      </m:oMathPara>
    </w:p>
    <w:p w14:paraId="10A74DC4">
      <m:oMathPara>
        <m:oMath>
          <m:sSub>
            <m:sSubPr>
              <m:ctrlPr>
                <w:rPr>
                  <w:rFonts w:ascii="Cambria Math" w:hAnsi="Cambria Math"/>
                </w:rPr>
              </m:ctrlPr>
            </m:sSubPr>
            <m:e>
              <m:r>
                <m:rPr/>
                <w:rPr>
                  <w:rFonts w:ascii="Cambria Math" w:hAnsi="Cambria Math"/>
                </w:rPr>
                <m:t>ϵ</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∼N(0,1)</m:t>
          </m:r>
        </m:oMath>
      </m:oMathPara>
    </w:p>
    <w:p w14:paraId="7D5F06E1">
      <m:oMathPara>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=ω+β</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2</m:t>
              </m:r>
              <m:ctrlPr>
                <w:rPr>
                  <w:rFonts w:ascii="Cambria Math" w:hAnsi="Cambria Math"/>
                </w:rPr>
              </m:ctrlPr>
            </m:sup>
          </m:sSubSup>
          <m:r>
            <m:rPr/>
            <w:rPr>
              <w:rFonts w:ascii="Cambria Math" w:hAnsi="Cambria Math"/>
            </w:rPr>
            <m:t>+γ</m:t>
          </m:r>
          <m:sSubSup>
            <m:sSubSupPr>
              <m:ctrlPr>
                <w:rPr>
                  <w:rFonts w:ascii="Cambria Math" w:hAnsi="Cambria Math"/>
                </w:rPr>
              </m:ctrlPr>
            </m:sSubSupPr>
            <m:e>
              <m:r>
                <m:rPr/>
                <w:rPr>
                  <w:rFonts w:ascii="Cambria Math" w:hAnsi="Cambria Math"/>
                </w:rPr>
                <m:t>ϵ</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4197EC29">
      <w:pPr>
        <w:ind w:firstLine="560" w:firstLineChars="200"/>
      </w:pPr>
      <w:r>
        <w:t>该模型能够动态估计未来条件波动率，但残差服从正态分布的假设难以刻画金融收益的厚尾特征。</w:t>
      </w:r>
    </w:p>
    <w:p w14:paraId="7C4BB5A3">
      <w:pPr>
        <w:rPr>
          <w:b/>
          <w:bCs/>
          <w:sz w:val="27"/>
          <w:szCs w:val="27"/>
        </w:rPr>
      </w:pPr>
      <w:r>
        <w:rPr>
          <w:rFonts w:hint="eastAsia"/>
          <w:b/>
          <w:bCs/>
          <w:sz w:val="27"/>
          <w:szCs w:val="27"/>
        </w:rPr>
        <w:t>（4）</w:t>
      </w:r>
      <w:r>
        <w:rPr>
          <w:b/>
          <w:bCs/>
          <w:sz w:val="27"/>
          <w:szCs w:val="27"/>
        </w:rPr>
        <w:t>M3：GARCH-t模型</w:t>
      </w:r>
    </w:p>
    <w:p w14:paraId="7F8418C2">
      <w:pPr>
        <w:ind w:firstLine="560" w:firstLineChars="200"/>
      </w:pPr>
      <w:r>
        <w:t>GARCH-t模型在GARCH-Normal基础上，将标准化残差分布替换为学生t分布：</w:t>
      </w:r>
    </w:p>
    <w:p w14:paraId="3565F34F">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ν</m:t>
              </m:r>
              <m:ctrlPr>
                <w:rPr>
                  <w:rFonts w:ascii="Cambria Math" w:hAnsi="Cambria Math"/>
                </w:rPr>
              </m:ctrlPr>
            </m:sub>
          </m:sSub>
        </m:oMath>
      </m:oMathPara>
    </w:p>
    <w:p w14:paraId="2333F392">
      <w:pPr>
        <w:ind w:firstLine="560" w:firstLineChars="200"/>
      </w:pPr>
      <w:r>
        <w:t>该模型在保留波动率聚集机制的同时，通过自由度参数 (\nu) 刻画收益分布的厚尾特征，通常比GARCH-Normal更适合金融风险预测。</w:t>
      </w:r>
    </w:p>
    <w:p w14:paraId="1B13E1A9">
      <w:pPr>
        <w:rPr>
          <w:b/>
          <w:bCs/>
          <w:sz w:val="27"/>
          <w:szCs w:val="27"/>
        </w:rPr>
      </w:pPr>
      <w:r>
        <w:rPr>
          <w:rFonts w:hint="eastAsia"/>
          <w:b/>
          <w:bCs/>
          <w:sz w:val="27"/>
          <w:szCs w:val="27"/>
        </w:rPr>
        <w:t>（5）</w:t>
      </w:r>
      <w:r>
        <w:rPr>
          <w:b/>
          <w:bCs/>
          <w:sz w:val="27"/>
          <w:szCs w:val="27"/>
        </w:rPr>
        <w:t xml:space="preserve"> M4：GARCH-skew-t模型</w:t>
      </w:r>
    </w:p>
    <w:p w14:paraId="64C4DE05">
      <w:pPr>
        <w:ind w:firstLine="560" w:firstLineChars="200"/>
      </w:pPr>
      <w:r>
        <w:t>为进一步刻画金融收益中的非对称尾部风险，可将GARCH模型的残差分布设为偏态学生t分布：</w:t>
      </w:r>
    </w:p>
    <w:p w14:paraId="6F86468C">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∼Skew</m:t>
          </m:r>
          <m:r>
            <m:rPr>
              <m:nor/>
              <m:sty m:val="p"/>
            </m:rPr>
            <m:t>-</m:t>
          </m:r>
          <m:r>
            <m:rPr/>
            <w:rPr>
              <w:rFonts w:ascii="Cambria Math" w:hAnsi="Cambria Math"/>
            </w:rPr>
            <m:t>t(ν,ξ)</m:t>
          </m:r>
        </m:oMath>
      </m:oMathPara>
    </w:p>
    <w:p w14:paraId="0D4D55CF">
      <w:pPr>
        <w:ind w:firstLine="560" w:firstLineChars="200"/>
      </w:pPr>
      <w:r>
        <w:t>GARCH-skew-t模型同时具备波动率聚集、厚尾和偏态建模能力，是传统计量金融模型中与本文主模型最接近的对照模型。</w:t>
      </w:r>
    </w:p>
    <w:p w14:paraId="6AE19DDE">
      <w:pPr>
        <w:rPr>
          <w:b/>
          <w:bCs/>
          <w:sz w:val="27"/>
          <w:szCs w:val="27"/>
        </w:rPr>
      </w:pPr>
      <w:r>
        <w:rPr>
          <w:rFonts w:hint="eastAsia"/>
          <w:b/>
          <w:bCs/>
          <w:sz w:val="27"/>
          <w:szCs w:val="27"/>
        </w:rPr>
        <w:t>（6）</w:t>
      </w:r>
      <w:r>
        <w:rPr>
          <w:b/>
          <w:bCs/>
          <w:sz w:val="27"/>
          <w:szCs w:val="27"/>
        </w:rPr>
        <w:t>M5：Distributional LSTM-Core</w:t>
      </w:r>
    </w:p>
    <w:p w14:paraId="6C724C46">
      <w:pPr>
        <w:ind w:firstLine="560" w:firstLineChars="200"/>
      </w:pPr>
      <w:r>
        <w:t>该模型为单市场深度学习基准，仅使用沪深300历史收益作为输入：</w:t>
      </w:r>
    </w:p>
    <w:p w14:paraId="77E518BB">
      <m:oMathPara>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core</m:t>
              </m:r>
              <m:ctrlPr>
                <w:rPr>
                  <w:rFonts w:ascii="Cambria Math" w:hAnsi="Cambria Math"/>
                </w:rPr>
              </m:ctrlPr>
            </m:sup>
          </m:sSubSup>
          <m:r>
            <m:rPr/>
            <w:rPr>
              <w:rFonts w:ascii="Cambria Math" w:hAnsi="Cambria Math"/>
            </w:rPr>
            <m:t>=</m:t>
          </m:r>
          <m:d>
            <m:dPr>
              <m:begChr m:val="["/>
              <m:sepChr m:val=","/>
              <m:end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d>
        </m:oMath>
      </m:oMathPara>
    </w:p>
    <w:p w14:paraId="2AF2AF27">
      <w:pPr>
        <w:ind w:firstLine="560" w:firstLineChars="200"/>
      </w:pPr>
      <w:r>
        <w:t>模型结构与主模型一致，输出偏态学生t分布参数，并以NLL损失训练。该模型用于检验LSTM序列模型自身相较于传统模型的改进效果。</w:t>
      </w:r>
    </w:p>
    <w:p w14:paraId="3B363054">
      <w:pPr>
        <w:rPr>
          <w:b/>
          <w:bCs/>
          <w:sz w:val="27"/>
          <w:szCs w:val="27"/>
        </w:rPr>
      </w:pPr>
      <w:r>
        <w:rPr>
          <w:rFonts w:hint="eastAsia"/>
          <w:b/>
          <w:bCs/>
          <w:sz w:val="27"/>
          <w:szCs w:val="27"/>
        </w:rPr>
        <w:t>（7）</w:t>
      </w:r>
      <w:r>
        <w:rPr>
          <w:b/>
          <w:bCs/>
          <w:sz w:val="27"/>
          <w:szCs w:val="27"/>
        </w:rPr>
        <w:t xml:space="preserve"> M6：Distributional LSTM-Market</w:t>
      </w:r>
    </w:p>
    <w:p w14:paraId="28E8D318">
      <w:pPr>
        <w:ind w:firstLine="560" w:firstLineChars="200"/>
      </w:pPr>
      <w:r>
        <w:t>该模型为多市场深度学习基准，输入三个市场的历史收益率，但不包含问题一的综合市场状态分布特征：</w:t>
      </w:r>
    </w:p>
    <w:p w14:paraId="06F70BA0">
      <m:oMathPara>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market</m:t>
              </m:r>
              <m:ctrlPr>
                <w:rPr>
                  <w:rFonts w:ascii="Cambria Math" w:hAnsi="Cambria Math"/>
                </w:rPr>
              </m:ctrlPr>
            </m:sup>
          </m:sSubSup>
          <m:r>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Gold</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t−L+1</m:t>
                        </m:r>
                        <m:ctrlPr>
                          <w:rPr>
                            <w:rFonts w:ascii="Cambria Math" w:hAnsi="Cambria Math"/>
                          </w:rPr>
                        </m:ctrlPr>
                      </m:sub>
                      <m:sup>
                        <m:r>
                          <m:rPr/>
                          <w:rPr>
                            <w:rFonts w:ascii="Cambria Math" w:hAnsi="Cambria Math"/>
                          </w:rPr>
                          <m:t>Oil</m:t>
                        </m:r>
                        <m:ctrlPr>
                          <w:rPr>
                            <w:rFonts w:ascii="Cambria Math" w:hAnsi="Cambria Math"/>
                          </w:rPr>
                        </m:ctrlPr>
                      </m:sup>
                    </m:sSubSup>
                    <m:ctrlPr>
                      <w:rPr>
                        <w:rFonts w:ascii="Cambria Math" w:hAnsi="Cambria Math"/>
                      </w:rPr>
                    </m:ctrlPr>
                  </m:e>
                </m:mr>
                <m:mr>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e>
                    <m:r>
                      <m:rPr>
                        <m:sty m:val="p"/>
                      </m:rPr>
                      <w:rPr>
                        <w:rFonts w:ascii="Cambria Math" w:hAnsi="Cambria Math"/>
                      </w:rPr>
                      <m:t>⋮</m:t>
                    </m:r>
                    <m:phant>
                      <m:phantPr>
                        <m:zeroAsc m:val="1"/>
                        <m:ctrlPr>
                          <w:rPr>
                            <w:rFonts w:ascii="Cambria Math" w:hAnsi="Cambria Math"/>
                          </w:rPr>
                        </m:ctrlPr>
                      </m:phantPr>
                      <m:e>
                        <m:ctrlPr>
                          <w:rPr>
                            <w:rFonts w:ascii="Cambria Math" w:hAnsi="Cambria Math"/>
                          </w:rPr>
                        </m:ctrlPr>
                      </m:e>
                    </m:phant>
                    <m:ctrlPr>
                      <w:rPr>
                        <w:rFonts w:ascii="Cambria Math" w:hAnsi="Cambria Math"/>
                      </w:rPr>
                    </m:ctrlPr>
                  </m:e>
                </m:mr>
                <m:m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Gold</m:t>
                        </m:r>
                        <m:ctrlPr>
                          <w:rPr>
                            <w:rFonts w:ascii="Cambria Math" w:hAnsi="Cambria Math"/>
                          </w:rPr>
                        </m:ctrlPr>
                      </m:sup>
                    </m:sSubSup>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Oil</m:t>
                        </m:r>
                        <m:ctrlPr>
                          <w:rPr>
                            <w:rFonts w:ascii="Cambria Math" w:hAnsi="Cambria Math"/>
                          </w:rPr>
                        </m:ctrlPr>
                      </m:sup>
                    </m:sSubSup>
                    <m:ctrlPr>
                      <w:rPr>
                        <w:rFonts w:ascii="Cambria Math" w:hAnsi="Cambria Math"/>
                      </w:rPr>
                    </m:ctrlPr>
                  </m:e>
                </m:mr>
              </m:m>
              <m:ctrlPr>
                <w:rPr>
                  <w:rFonts w:ascii="Cambria Math" w:hAnsi="Cambria Math"/>
                </w:rPr>
              </m:ctrlPr>
            </m:e>
          </m:d>
        </m:oMath>
      </m:oMathPara>
    </w:p>
    <w:p w14:paraId="224C59C3">
      <w:pPr>
        <w:ind w:firstLine="560" w:firstLineChars="200"/>
      </w:pPr>
      <w:r>
        <w:t>该模型用于检验"原始多市场收益信息"是否能够提升预测能力。</w:t>
      </w:r>
    </w:p>
    <w:p w14:paraId="661C510C">
      <w:pPr>
        <w:ind w:firstLine="560" w:firstLineChars="200"/>
        <w:rPr>
          <w:rFonts w:hint="eastAsia" w:ascii="宋体" w:hAnsi="宋体" w:cs="宋体"/>
          <w:kern w:val="0"/>
          <w:szCs w:val="24"/>
        </w:rPr>
      </w:pPr>
      <w:r>
        <w:rPr>
          <w:rFonts w:hint="eastAsia" w:ascii="宋体" w:hAnsi="宋体" w:cs="宋体"/>
          <w:kern w:val="0"/>
          <w:szCs w:val="24"/>
        </w:rPr>
        <w:t>其中，</w:t>
      </w:r>
      <w:r>
        <w:rPr>
          <w:rFonts w:ascii="宋体" w:hAnsi="宋体" w:cs="宋体"/>
          <w:kern w:val="0"/>
          <w:szCs w:val="24"/>
        </w:rPr>
        <w:t>M5、M6、M7 共享相同的 LSTM 网络架构，区别仅在于输入特征组合：</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4377"/>
        <w:gridCol w:w="1642"/>
      </w:tblGrid>
      <w:tr w14:paraId="363DE4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675E36F0">
            <w:pPr>
              <w:pStyle w:val="43"/>
              <w:jc w:val="center"/>
            </w:pPr>
            <w:r>
              <w:t>模型</w:t>
            </w:r>
          </w:p>
        </w:tc>
        <w:tc>
          <w:tcPr>
            <w:tcW w:w="0" w:type="auto"/>
            <w:tcBorders>
              <w:bottom w:val="single" w:color="auto" w:sz="6" w:space="0"/>
            </w:tcBorders>
            <w:vAlign w:val="center"/>
          </w:tcPr>
          <w:p w14:paraId="246E7F83">
            <w:pPr>
              <w:pStyle w:val="43"/>
              <w:jc w:val="center"/>
            </w:pPr>
            <w:r>
              <w:t>输入特征</w:t>
            </w:r>
          </w:p>
        </w:tc>
        <w:tc>
          <w:tcPr>
            <w:tcW w:w="0" w:type="auto"/>
            <w:tcBorders>
              <w:bottom w:val="single" w:color="auto" w:sz="6" w:space="0"/>
            </w:tcBorders>
            <w:vAlign w:val="center"/>
          </w:tcPr>
          <w:p w14:paraId="3E1E94C3">
            <w:pPr>
              <w:pStyle w:val="43"/>
              <w:jc w:val="center"/>
            </w:pPr>
            <w:r>
              <w:t>说明</w:t>
            </w:r>
          </w:p>
        </w:tc>
      </w:tr>
      <w:tr w14:paraId="7D4C91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7F6CCB58">
            <w:pPr>
              <w:pStyle w:val="43"/>
              <w:jc w:val="center"/>
            </w:pPr>
            <w:r>
              <w:t>M5 LSTM-Core</w:t>
            </w:r>
          </w:p>
        </w:tc>
        <w:tc>
          <w:tcPr>
            <w:tcW w:w="0" w:type="auto"/>
            <w:tcBorders>
              <w:top w:val="single" w:color="auto" w:sz="6" w:space="0"/>
            </w:tcBorders>
            <w:vAlign w:val="center"/>
          </w:tcPr>
          <w:p w14:paraId="0BC1D998">
            <w:pPr>
              <w:pStyle w:val="43"/>
              <w:jc w:val="center"/>
            </w:pPr>
            <w:r>
              <w:t>仅CSI300收益率 + 滚动波动率</w:t>
            </w:r>
          </w:p>
        </w:tc>
        <w:tc>
          <w:tcPr>
            <w:tcW w:w="0" w:type="auto"/>
            <w:tcBorders>
              <w:top w:val="single" w:color="auto" w:sz="6" w:space="0"/>
            </w:tcBorders>
            <w:vAlign w:val="center"/>
          </w:tcPr>
          <w:p w14:paraId="26C561FB">
            <w:pPr>
              <w:pStyle w:val="43"/>
              <w:jc w:val="center"/>
            </w:pPr>
            <w:r>
              <w:t>单市场基线</w:t>
            </w:r>
          </w:p>
        </w:tc>
      </w:tr>
      <w:tr w14:paraId="754A83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D8176F3">
            <w:pPr>
              <w:pStyle w:val="43"/>
              <w:jc w:val="center"/>
            </w:pPr>
            <w:r>
              <w:t>M6 LSTM-Market</w:t>
            </w:r>
          </w:p>
        </w:tc>
        <w:tc>
          <w:tcPr>
            <w:tcW w:w="0" w:type="auto"/>
            <w:vAlign w:val="center"/>
          </w:tcPr>
          <w:p w14:paraId="6ABD4BA0">
            <w:pPr>
              <w:pStyle w:val="43"/>
              <w:jc w:val="center"/>
            </w:pPr>
            <w:r>
              <w:t>三市场收益率 + 滚动波动率</w:t>
            </w:r>
          </w:p>
        </w:tc>
        <w:tc>
          <w:tcPr>
            <w:tcW w:w="0" w:type="auto"/>
            <w:vAlign w:val="center"/>
          </w:tcPr>
          <w:p w14:paraId="7B0B22FF">
            <w:pPr>
              <w:pStyle w:val="43"/>
              <w:jc w:val="center"/>
            </w:pPr>
            <w:r>
              <w:t>多市场信息基线</w:t>
            </w:r>
          </w:p>
        </w:tc>
      </w:tr>
      <w:tr w14:paraId="772E3F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6AC5069">
            <w:pPr>
              <w:pStyle w:val="43"/>
              <w:jc w:val="center"/>
            </w:pPr>
            <w:r>
              <w:t>M7 LSTM-Barycenter</w:t>
            </w:r>
          </w:p>
        </w:tc>
        <w:tc>
          <w:tcPr>
            <w:tcW w:w="0" w:type="auto"/>
            <w:vAlign w:val="center"/>
          </w:tcPr>
          <w:p w14:paraId="5B959DE4">
            <w:pPr>
              <w:pStyle w:val="43"/>
              <w:jc w:val="center"/>
            </w:pPr>
            <w:r>
              <w:t>三市场收益率 + 滚动波动率 + Barycenter四特征</w:t>
            </w:r>
          </w:p>
        </w:tc>
        <w:tc>
          <w:tcPr>
            <w:tcW w:w="0" w:type="auto"/>
            <w:vAlign w:val="center"/>
          </w:tcPr>
          <w:p w14:paraId="15D71430">
            <w:pPr>
              <w:pStyle w:val="43"/>
              <w:jc w:val="center"/>
            </w:pPr>
            <w:r>
              <w:t>LSTM主模型</w:t>
            </w:r>
          </w:p>
        </w:tc>
      </w:tr>
    </w:tbl>
    <w:p w14:paraId="17920C11">
      <w:r>
        <w:t xml:space="preserve"> dropout=0.2。</w:t>
      </w:r>
    </w:p>
    <w:p w14:paraId="793E417C">
      <w:pPr>
        <w:rPr>
          <w:b/>
          <w:bCs/>
          <w:sz w:val="27"/>
          <w:szCs w:val="27"/>
        </w:rPr>
      </w:pPr>
      <w:r>
        <w:rPr>
          <w:rFonts w:hint="eastAsia"/>
          <w:b/>
          <w:bCs/>
          <w:sz w:val="27"/>
          <w:szCs w:val="27"/>
        </w:rPr>
        <w:t>（8）</w:t>
      </w:r>
      <w:r>
        <w:rPr>
          <w:b/>
          <w:bCs/>
          <w:sz w:val="27"/>
          <w:szCs w:val="27"/>
        </w:rPr>
        <w:t xml:space="preserve"> M7：Distributional LSTM-Barycenter</w:t>
      </w:r>
    </w:p>
    <w:p w14:paraId="64632DAD">
      <w:pPr>
        <w:ind w:firstLine="840" w:firstLineChars="300"/>
      </w:pPr>
      <w:r>
        <w:t>在M6基础上进一步加入问题一提取的综合市场状态分布特征：</w:t>
      </w:r>
    </w:p>
    <w:p w14:paraId="4BDC3AF6">
      <m:oMathPara>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full</m:t>
              </m:r>
              <m:ctrlPr>
                <w:rPr>
                  <w:rFonts w:ascii="Cambria Math" w:hAnsi="Cambria Math"/>
                </w:rPr>
              </m:ctrlPr>
            </m:sup>
          </m:sSubSup>
          <m:r>
            <m:rPr/>
            <w:rPr>
              <w:rFonts w:ascii="Cambria Math" w:hAnsi="Cambria Math"/>
            </w:rPr>
            <m:t>=</m:t>
          </m:r>
          <m:sSub>
            <m:sSubPr>
              <m:ctrlPr>
                <w:rPr>
                  <w:rFonts w:ascii="Cambria Math" w:hAnsi="Cambria Math"/>
                </w:rPr>
              </m:ctrlPr>
            </m:sSubPr>
            <m:e>
              <m:d>
                <m:dPr>
                  <m:begChr m:val="["/>
                  <m:sepChr m:val=","/>
                  <m:endChr m:val="]"/>
                  <m:ctrlPr>
                    <w:rPr>
                      <w:rFonts w:ascii="Cambria Math" w:hAnsi="Cambria Math"/>
                    </w:rPr>
                  </m:ctrlPr>
                </m:dPr>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CSI300</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Gold</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Oil</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μ</m:t>
                      </m:r>
                      <m:ctrlPr>
                        <w:rPr>
                          <w:rFonts w:ascii="Cambria Math" w:hAnsi="Cambria Math"/>
                        </w:rPr>
                      </m:ctrlPr>
                    </m:e>
                    <m:sup>
                      <m:r>
                        <m:rPr/>
                        <w:rPr>
                          <w:rFonts w:ascii="Cambria Math" w:hAnsi="Cambria Math"/>
                        </w:rPr>
                        <m:t>bar</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bar</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bar</m:t>
                      </m:r>
                      <m:ctrlPr>
                        <w:rPr>
                          <w:rFonts w:ascii="Cambria Math" w:hAnsi="Cambria Math"/>
                        </w:rPr>
                      </m:ctrlPr>
                    </m:sup>
                  </m:sSup>
                  <m:ctrlPr>
                    <w:rPr>
                      <w:rFonts w:ascii="Cambria Math" w:hAnsi="Cambria Math"/>
                    </w:rPr>
                  </m:ctrlPr>
                </m:e>
                <m:e>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bar</m:t>
                      </m:r>
                      <m:ctrlPr>
                        <w:rPr>
                          <w:rFonts w:ascii="Cambria Math" w:hAnsi="Cambria Math"/>
                        </w:rPr>
                      </m:ctrlPr>
                    </m:sup>
                  </m:sSup>
                  <m:ctrlPr>
                    <w:rPr>
                      <w:rFonts w:ascii="Cambria Math" w:hAnsi="Cambria Math"/>
                    </w:rPr>
                  </m:ctrlPr>
                </m:e>
              </m:d>
              <m:ctrlPr>
                <w:rPr>
                  <w:rFonts w:ascii="Cambria Math" w:hAnsi="Cambria Math"/>
                </w:rPr>
              </m:ctrlPr>
            </m:e>
            <m:sub>
              <m:r>
                <m:rPr/>
                <w:rPr>
                  <w:rFonts w:ascii="Cambria Math" w:hAnsi="Cambria Math"/>
                </w:rPr>
                <m:t>t−L+1:t</m:t>
              </m:r>
              <m:ctrlPr>
                <w:rPr>
                  <w:rFonts w:ascii="Cambria Math" w:hAnsi="Cambria Math"/>
                </w:rPr>
              </m:ctrlPr>
            </m:sub>
          </m:sSub>
        </m:oMath>
      </m:oMathPara>
    </w:p>
    <w:p w14:paraId="20E049A1">
      <w:pPr>
        <w:ind w:firstLine="560" w:firstLineChars="200"/>
      </w:pPr>
      <w:r>
        <w:t>该模型用于检验综合市场状态分布信息是否能够为核心市场未来风险预测提供增量解释力。</w:t>
      </w:r>
    </w:p>
    <w:p w14:paraId="240CF5D7">
      <w:pPr>
        <w:ind w:firstLine="560" w:firstLineChars="200"/>
      </w:pPr>
      <w:r>
        <w:rPr>
          <w:rFonts w:hint="eastAsia"/>
        </w:rPr>
        <w:t>作为与 AdaMamba-Dist 对比的深度学习基线，本文采用 Distributional LSTM-Barycenter（M7）模型。该模型采用相同的偏态学生t分布假设和VaR/ES计算流程，但使用三层堆叠LSTM作为时序编码器，且不使用RevIN归一化。M7 的核心作用是验证 Barycenter 综合市场状态分布特征的增量预测价值——通过对比 M7（含Barycenter特征）与 M6（不含Barycenter特征）的表现差异。</w:t>
      </w:r>
    </w:p>
    <w:p w14:paraId="5A51193B">
      <w:r>
        <w:t>最关键的模型比较为：</w:t>
      </w:r>
    </w:p>
    <w:p w14:paraId="7441CC44">
      <m:oMathPara>
        <m:oMath>
          <m:r>
            <m:rPr/>
            <w:rPr>
              <w:rFonts w:ascii="Cambria Math" w:hAnsi="Cambria Math"/>
            </w:rPr>
            <m:t>M7vsM6</m:t>
          </m:r>
        </m:oMath>
      </m:oMathPara>
    </w:p>
    <w:p w14:paraId="4D96F121">
      <w:pPr>
        <w:ind w:firstLine="560" w:firstLineChars="200"/>
      </w:pPr>
      <w:r>
        <w:t>若M7相较M6具有更低的NLL、更合理的VaR违约率、更低的ES误差，则说明问题一构造的综合市场状态分布特征具有显著预测价值。</w:t>
      </w:r>
    </w:p>
    <w:p w14:paraId="2892E101">
      <w:r>
        <w:rPr>
          <w:rFonts w:hint="eastAsia"/>
          <w:b/>
          <w:bCs/>
        </w:rPr>
        <w:t>（9）</w:t>
      </w:r>
      <w:r>
        <w:rPr>
          <w:b/>
          <w:bCs/>
        </w:rPr>
        <w:t>M8：AdaMamba-Core（单市场Mamba基线）</w:t>
      </w:r>
    </w:p>
    <w:p w14:paraId="61D029A7">
      <w:pPr>
        <w:ind w:firstLine="560" w:firstLineChars="200"/>
      </w:pPr>
      <w:r>
        <w:t xml:space="preserve">该模型为单市场Mamba基线，仅使用沪深300历史收益率作为输入，采用双向Mamba SSM + RevIN架构，输出偏态t分布参数。M8与M5构成架构对照——在相同单市场输入下，验证Mamba是否优于LSTM。7.10 </w:t>
      </w:r>
    </w:p>
    <w:p w14:paraId="04BF2247">
      <w:r>
        <w:rPr>
          <w:rFonts w:hint="eastAsia"/>
          <w:b/>
          <w:bCs/>
        </w:rPr>
        <w:t>（10）</w:t>
      </w:r>
      <w:r>
        <w:rPr>
          <w:b/>
          <w:bCs/>
        </w:rPr>
        <w:t>M9：AdaMamba-Market（多市场Mamba基线）</w:t>
      </w:r>
    </w:p>
    <w:p w14:paraId="7358A074">
      <w:pPr>
        <w:ind w:firstLine="560" w:firstLineChars="200"/>
      </w:pPr>
      <w:r>
        <w:t>该模型为多市场Mamba基线，在M8基础上加入三市场原始收益率但不含Barycenter特征。M9与M6构成架构对照——在多市场原始输入下，验证双向Mamba是否优于LSTM。</w:t>
      </w:r>
    </w:p>
    <w:p w14:paraId="4F891DCD">
      <w:pPr>
        <w:widowControl/>
        <w:spacing w:line="240" w:lineRule="auto"/>
        <w:jc w:val="left"/>
      </w:pPr>
      <w:r>
        <w:rPr>
          <w:rFonts w:hint="eastAsia"/>
        </w:rPr>
        <w:t>（11）</w:t>
      </w:r>
      <w:r>
        <w:t>M</w:t>
      </w:r>
      <w:r>
        <w:rPr>
          <w:rFonts w:hint="eastAsia"/>
        </w:rPr>
        <w:t>10</w:t>
      </w:r>
      <w:r>
        <w:t>：AdaMamba-Dist</w:t>
      </w:r>
      <w:r>
        <w:rPr>
          <w:rFonts w:hint="eastAsia"/>
        </w:rPr>
        <w:t>（主模型）</w:t>
      </w:r>
    </w:p>
    <w:p w14:paraId="5782D874">
      <w:pPr>
        <w:ind w:firstLine="560" w:firstLineChars="200"/>
      </w:pPr>
      <w:r>
        <w:rPr>
          <w:rFonts w:hint="eastAsia"/>
        </w:rPr>
        <w:t>主模型在M9基础上进一步加入问题一提取的Barycenter四阶矩特征，采用完整的RevIN+双向Mamba SSM+偏态t分布输出头架构（详见第6节）。该模型用于检验双向Mamba SSM + RevIN架构下综合市场状态分布信息的增量预测价值。M10与M7构成对照——在相同全特征输入下，验证Mamba与LSTM的架构差异。该模型体系形成3×2架构×特征消融设计：LSTM骨干（M5-M7）与Mamba骨干（M8-M10）各包含单市场（Core）、多市场（Market）和Barycenter全特征三种特征配置，系统隔离了架构创新和特征信息对未来风险预测的贡献。关键对比设计包括：</w:t>
      </w:r>
    </w:p>
    <w:p w14:paraId="51B6CAFB">
      <w:pPr>
        <w:ind w:firstLine="560" w:firstLineChars="200"/>
      </w:pPr>
      <w:r>
        <w:rPr>
          <w:rFonts w:hint="eastAsia"/>
        </w:rPr>
        <w:t>M10 vs M7：若 M10 优于 M7，则证明双向 Mamba SSM + RevIN 架构相对于 LSTM 在分布预测上的有效性；</w:t>
      </w:r>
    </w:p>
    <w:p w14:paraId="6C95EE26">
      <w:pPr>
        <w:ind w:firstLine="560" w:firstLineChars="200"/>
      </w:pPr>
      <w:r>
        <w:rPr>
          <w:rFonts w:hint="eastAsia"/>
        </w:rPr>
        <w:t>M10 vs M9：若 M10 优于 M9，则证明 Barycenter 特征在 Mamba 架构下的增量预测价值；</w:t>
      </w:r>
    </w:p>
    <w:p w14:paraId="4EDE2862">
      <w:pPr>
        <w:ind w:firstLine="560" w:firstLineChars="200"/>
      </w:pPr>
      <w:r>
        <w:rPr>
          <w:rFonts w:hint="eastAsia"/>
        </w:rPr>
        <w:t>M9 vs M8：若 M9 优于 M8，则证明多市场信息在 Mamba 架构下的增量价值；</w:t>
      </w:r>
    </w:p>
    <w:p w14:paraId="3BC005C1">
      <w:pPr>
        <w:ind w:firstLine="560" w:firstLineChars="200"/>
      </w:pPr>
      <w:r>
        <w:rPr>
          <w:rFonts w:hint="eastAsia"/>
        </w:rPr>
        <w:t>M8 vs M5：若 M8 优于 M5，则证明 Mamba 架构在无Barycenter信息时优于 LSTM；</w:t>
      </w:r>
    </w:p>
    <w:p w14:paraId="6C4BCBFC">
      <w:pPr>
        <w:ind w:firstLine="560" w:firstLineChars="200"/>
      </w:pPr>
      <w:r>
        <w:rPr>
          <w:rFonts w:hint="eastAsia"/>
        </w:rPr>
        <w:t>M7 vs M6：若 M7 优于 M6，则证明 Barycenter 特征提供了超越原始多市场收益率的增量预测价值。</w:t>
      </w:r>
    </w:p>
    <w:p w14:paraId="4BEC4503">
      <w:pPr>
        <w:ind w:firstLine="560" w:firstLineChars="200"/>
      </w:pPr>
      <w:r>
        <w:t>Mamba架构相对于LSTM的动机 Mamba架构（Gu and Dao, 2023）是一种选择性状态空间模型（Selective State-Space Model, SSM），相对于LSTM具有三个关键优势：</w:t>
      </w:r>
    </w:p>
    <w:p w14:paraId="72B3EEC4">
      <w:r>
        <w:t xml:space="preserve"> </w:t>
      </w:r>
      <w:r>
        <w:rPr>
          <w:rFonts w:hint="eastAsia"/>
        </w:rPr>
        <w:t xml:space="preserve">   </w:t>
      </w:r>
      <w:r>
        <w:rPr>
          <w:b/>
          <w:bCs/>
        </w:rPr>
        <w:t>序列长度的线性复杂度</w:t>
      </w:r>
      <w:r>
        <w:t>：LSTM的序列计算为O(L)且具有较大的门控机制常数因子。Mamba的选择性扫描同样为O(L)但每步计算开销显著更低，无需二次注意力成本即可高效处理较长序列。</w:t>
      </w:r>
    </w:p>
    <w:p w14:paraId="772AF466">
      <w:pPr>
        <w:widowControl/>
        <w:spacing w:line="240" w:lineRule="auto"/>
        <w:jc w:val="left"/>
      </w:pPr>
      <w:r>
        <w:t xml:space="preserve"> </w:t>
      </w:r>
      <w:r>
        <w:rPr>
          <w:rFonts w:hint="eastAsia"/>
        </w:rPr>
        <w:t xml:space="preserve">   </w:t>
      </w:r>
      <w:r>
        <w:rPr>
          <w:b/>
          <w:bCs/>
        </w:rPr>
        <w:t>更好的长程依赖捕捉</w:t>
      </w:r>
      <w:r>
        <w:t>：LSTM的门控循环机制在长序列上可能遭遇梯度消失。Mamba的状态空间公式通过离散化状态转移</w:t>
      </w:r>
      <w:r>
        <w:rPr>
          <w:rFonts w:hint="eastAsia"/>
          <w:position w:val="-10"/>
        </w:rPr>
        <w:object>
          <v:shape id="_x0000_i1099" o:spt="75" type="#_x0000_t75" style="height:18pt;width:123.25pt;" o:ole="t" filled="f" o:preferrelative="t" stroked="f" coordsize="21600,21600">
            <v:path/>
            <v:fill on="f" focussize="0,0"/>
            <v:stroke on="f" joinstyle="miter"/>
            <v:imagedata r:id="rId169" o:title=""/>
            <o:lock v:ext="edit" aspectratio="t"/>
            <w10:wrap type="none"/>
            <w10:anchorlock/>
          </v:shape>
          <o:OLEObject Type="Embed" ProgID="Equation.DSMT4" ShapeID="_x0000_i1099" DrawAspect="Content" ObjectID="_1468075799" r:id="rId168">
            <o:LockedField>false</o:LockedField>
          </o:OLEObject>
        </w:object>
      </w:r>
      <w:r>
        <w:t>)提供更稳定的梯度传播。对角状态矩阵(A)配合输入依赖的</w:t>
      </w:r>
      <w:r>
        <w:rPr>
          <w:rFonts w:hint="eastAsia"/>
          <w:position w:val="-4"/>
        </w:rPr>
        <w:object>
          <v:shape id="_x0000_i1100" o:spt="75" type="#_x0000_t75" style="height:13.1pt;width:10.9pt;" o:ole="t" filled="f" o:preferrelative="t" stroked="f" coordsize="21600,21600">
            <v:path/>
            <v:fill on="f" focussize="0,0"/>
            <v:stroke on="f" joinstyle="miter"/>
            <v:imagedata r:id="rId171" o:title=""/>
            <o:lock v:ext="edit" aspectratio="t"/>
            <w10:wrap type="none"/>
            <w10:anchorlock/>
          </v:shape>
          <o:OLEObject Type="Embed" ProgID="Equation.DSMT4" ShapeID="_x0000_i1100" DrawAspect="Content" ObjectID="_1468075800" r:id="rId170">
            <o:LockedField>false</o:LockedField>
          </o:OLEObject>
        </w:object>
      </w:r>
      <w:r>
        <w:t>使得每个状态维度可独立控制其记忆衰减速率。</w:t>
      </w:r>
    </w:p>
    <w:p w14:paraId="6B5D794B">
      <w:r>
        <w:t xml:space="preserve"> </w:t>
      </w:r>
      <w:r>
        <w:rPr>
          <w:rFonts w:hint="eastAsia"/>
        </w:rPr>
        <w:t xml:space="preserve">  </w:t>
      </w:r>
      <w:r>
        <w:rPr>
          <w:b/>
          <w:bCs/>
        </w:rPr>
        <w:t>选择性状态空间机制</w:t>
      </w:r>
      <w:r>
        <w:t>：与传统SSM使用固定参数不同，Mamba的(</w:t>
      </w:r>
      <w:r>
        <w:rPr>
          <w:rFonts w:hint="eastAsia"/>
          <w:position w:val="-4"/>
        </w:rPr>
        <w:object>
          <v:shape id="_x0000_i1101" o:spt="75" type="#_x0000_t75" style="height:13.1pt;width:10.9pt;" o:ole="t" filled="f" o:preferrelative="t" stroked="f" coordsize="21600,21600">
            <v:path/>
            <v:fill on="f" focussize="0,0"/>
            <v:stroke on="f" joinstyle="miter"/>
            <v:imagedata r:id="rId173" o:title=""/>
            <o:lock v:ext="edit" aspectratio="t"/>
            <w10:wrap type="none"/>
            <w10:anchorlock/>
          </v:shape>
          <o:OLEObject Type="Embed" ProgID="Equation.DSMT4" ShapeID="_x0000_i1101" DrawAspect="Content" ObjectID="_1468075801" r:id="rId172">
            <o:LockedField>false</o:LockedField>
          </o:OLEObject>
        </w:object>
      </w:r>
      <w:r>
        <w:t xml:space="preserve">)、(B)、(C)矩阵均为输入依赖函数。这一选择性允许模型在稳定时期专注于长期趋势跟踪，在市场体制转换时瞬间放大对短期冲击的响应。 </w:t>
      </w:r>
    </w:p>
    <w:p w14:paraId="089515A2">
      <w:pPr>
        <w:ind w:firstLine="280" w:firstLineChars="100"/>
      </w:pPr>
      <w:r>
        <w:rPr>
          <w:rFonts w:hint="eastAsia"/>
        </w:rPr>
        <w:t>对于M10</w:t>
      </w:r>
      <w:r>
        <w:t>在进行模型训练之前，对目标变量（沪深300未来1日收益）进行标准化：</w:t>
      </w:r>
    </w:p>
    <w:p w14:paraId="0E2538E5">
      <w:pPr>
        <w:jc w:val="center"/>
      </w:pPr>
      <w:r>
        <w:rPr>
          <w:rFonts w:hint="eastAsia"/>
          <w:position w:val="-32"/>
        </w:rPr>
        <w:object>
          <v:shape id="_x0000_i1102" o:spt="75" type="#_x0000_t75" style="height:37.1pt;width:61.1pt;" o:ole="t" filled="f" o:preferrelative="t" stroked="f" coordsize="21600,21600">
            <v:path/>
            <v:fill on="f" focussize="0,0"/>
            <v:stroke on="f" joinstyle="miter"/>
            <v:imagedata r:id="rId175" o:title=""/>
            <o:lock v:ext="edit" aspectratio="t"/>
            <w10:wrap type="none"/>
            <w10:anchorlock/>
          </v:shape>
          <o:OLEObject Type="Embed" ProgID="Equation.DSMT4" ShapeID="_x0000_i1102" DrawAspect="Content" ObjectID="_1468075802" r:id="rId174">
            <o:LockedField>false</o:LockedField>
          </o:OLEObject>
        </w:object>
      </w:r>
      <w:r>
        <w:rPr>
          <w:rFonts w:hint="eastAsia"/>
        </w:rPr>
        <w:t>，</w:t>
      </w:r>
    </w:p>
    <w:p w14:paraId="280289FC">
      <w:r>
        <w:t>其中，</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t>是原始目标变量，</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y</m:t>
            </m:r>
            <m:ctrlPr>
              <w:rPr>
                <w:rFonts w:ascii="Cambria Math" w:hAnsi="Cambria Math"/>
              </w:rPr>
            </m:ctrlPr>
          </m:sub>
        </m:sSub>
      </m:oMath>
      <w:r>
        <w:t xml:space="preserve">和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y</m:t>
            </m:r>
            <m:ctrlPr>
              <w:rPr>
                <w:rFonts w:ascii="Cambria Math" w:hAnsi="Cambria Math"/>
              </w:rPr>
            </m:ctrlPr>
          </m:sub>
        </m:sSub>
      </m:oMath>
      <w:r>
        <w:t xml:space="preserve">是训练集上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 xml:space="preserve"> </w:t>
      </w:r>
      <w:r>
        <w:t>的均值和标准差。</w:t>
      </w:r>
    </w:p>
    <w:p w14:paraId="65EEB1E2">
      <w:pPr>
        <w:ind w:firstLine="280" w:firstLineChars="100"/>
      </w:pPr>
      <w:r>
        <w:t xml:space="preserve">在模型预测后，对输出参数进行反标准化，以恢复到原始尺度（形状参数 </w:t>
      </w:r>
      <m:oMath>
        <m:r>
          <m:rPr/>
          <w:rPr>
            <w:rFonts w:ascii="Cambria Math" w:hAnsi="Cambria Math" w:cs="宋体"/>
            <w:color w:val="auto"/>
            <w:kern w:val="0"/>
            <w:sz w:val="24"/>
            <w:szCs w:val="24"/>
          </w:rPr>
          <m:t>ν,ξ</m:t>
        </m:r>
      </m:oMath>
      <w:r>
        <w:rPr>
          <w:rFonts w:ascii="宋体" w:hAnsi="宋体" w:cs="宋体"/>
          <w:color w:val="auto"/>
          <w:kern w:val="0"/>
          <w:sz w:val="24"/>
          <w:szCs w:val="24"/>
        </w:rPr>
        <w:t>保持不变）：</w:t>
      </w:r>
    </w:p>
    <w:p w14:paraId="3D26C3AB">
      <w:pPr>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acc>
                <m:accPr>
                  <m:ctrlPr>
                    <w:rPr>
                      <w:rFonts w:ascii="Cambria Math" w:hAnsi="Cambria Math" w:cs="宋体"/>
                      <w:color w:val="auto"/>
                      <w:kern w:val="0"/>
                      <w:sz w:val="24"/>
                      <w:szCs w:val="24"/>
                    </w:rPr>
                  </m:ctrlPr>
                </m:acc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acc>
                <m:accPr>
                  <m:chr m:val="̃"/>
                  <m:ctrlPr>
                    <w:rPr>
                      <w:rFonts w:ascii="Cambria Math" w:hAnsi="Cambria Math" w:cs="宋体"/>
                      <w:color w:val="auto"/>
                      <w:kern w:val="0"/>
                      <w:sz w:val="24"/>
                      <w:szCs w:val="24"/>
                    </w:rPr>
                  </m:ctrlPr>
                </m:acc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y</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μ</m:t>
              </m:r>
              <m:ctrlPr>
                <w:rPr>
                  <w:rFonts w:ascii="Cambria Math" w:hAnsi="Cambria Math" w:cs="宋体"/>
                  <w:color w:val="auto"/>
                  <w:kern w:val="0"/>
                  <w:sz w:val="24"/>
                  <w:szCs w:val="24"/>
                </w:rPr>
              </m:ctrlPr>
            </m:e>
            <m:sub>
              <m:r>
                <m:rPr/>
                <w:rPr>
                  <w:rFonts w:ascii="Cambria Math" w:hAnsi="Cambria Math" w:cs="宋体"/>
                  <w:color w:val="auto"/>
                  <w:kern w:val="0"/>
                  <w:sz w:val="24"/>
                  <w:szCs w:val="24"/>
                </w:rPr>
                <m:t>y</m:t>
              </m:r>
              <m:ctrlPr>
                <w:rPr>
                  <w:rFonts w:ascii="Cambria Math" w:hAnsi="Cambria Math" w:cs="宋体"/>
                  <w:color w:val="auto"/>
                  <w:kern w:val="0"/>
                  <w:sz w:val="24"/>
                  <w:szCs w:val="24"/>
                </w:rPr>
              </m:ctrlPr>
            </m:sub>
          </m:sSub>
        </m:oMath>
      </m:oMathPara>
    </w:p>
    <w:p w14:paraId="6454F528">
      <w:pPr>
        <w:pStyle w:val="42"/>
        <w:ind w:left="480" w:hanging="480" w:hangingChars="200"/>
      </w:pPr>
      <m:oMathPara>
        <m:oMath>
          <m:sSub>
            <m:sSubPr>
              <m:ctrlPr>
                <w:rPr>
                  <w:rFonts w:ascii="Cambria Math" w:hAnsi="Cambria Math" w:cs="宋体"/>
                  <w:color w:val="auto"/>
                  <w:kern w:val="0"/>
                  <w:sz w:val="24"/>
                  <w:szCs w:val="24"/>
                </w:rPr>
              </m:ctrlPr>
            </m:sSubPr>
            <m:e>
              <m:acc>
                <m:accPr>
                  <m:ctrlPr>
                    <w:rPr>
                      <w:rFonts w:ascii="Cambria Math" w:hAnsi="Cambria Math" w:cs="宋体"/>
                      <w:color w:val="auto"/>
                      <w:kern w:val="0"/>
                      <w:sz w:val="24"/>
                      <w:szCs w:val="24"/>
                    </w:rPr>
                  </m:ctrlPr>
                </m:acc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acc>
                <m:accPr>
                  <m:chr m:val="̃"/>
                  <m:ctrlPr>
                    <w:rPr>
                      <w:rFonts w:ascii="Cambria Math" w:hAnsi="Cambria Math" w:cs="宋体"/>
                      <w:color w:val="auto"/>
                      <w:kern w:val="0"/>
                      <w:sz w:val="24"/>
                      <w:szCs w:val="24"/>
                    </w:rPr>
                  </m:ctrlPr>
                </m:acc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acc>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σ</m:t>
              </m:r>
              <m:ctrlPr>
                <w:rPr>
                  <w:rFonts w:ascii="Cambria Math" w:hAnsi="Cambria Math" w:cs="宋体"/>
                  <w:color w:val="auto"/>
                  <w:kern w:val="0"/>
                  <w:sz w:val="24"/>
                  <w:szCs w:val="24"/>
                </w:rPr>
              </m:ctrlPr>
            </m:e>
            <m:sub>
              <m:r>
                <m:rPr/>
                <w:rPr>
                  <w:rFonts w:ascii="Cambria Math" w:hAnsi="Cambria Math" w:cs="宋体"/>
                  <w:color w:val="auto"/>
                  <w:kern w:val="0"/>
                  <w:sz w:val="24"/>
                  <w:szCs w:val="24"/>
                </w:rPr>
                <m:t>y</m:t>
              </m:r>
              <m:ctrlPr>
                <w:rPr>
                  <w:rFonts w:ascii="Cambria Math" w:hAnsi="Cambria Math" w:cs="宋体"/>
                  <w:color w:val="auto"/>
                  <w:kern w:val="0"/>
                  <w:sz w:val="24"/>
                  <w:szCs w:val="24"/>
                </w:rPr>
              </m:ctrlPr>
            </m:sub>
          </m:sSub>
          <m:r>
            <m:rPr>
              <m:sty m:val="p"/>
            </m:rPr>
            <w:rPr>
              <w:rFonts w:ascii="Cambria Math" w:hAnsi="Cambria Math" w:cs="宋体"/>
              <w:color w:val="auto"/>
              <w:kern w:val="0"/>
              <w:sz w:val="24"/>
              <w:szCs w:val="24"/>
            </w:rPr>
            <w:br w:type="textWrapping"/>
          </m:r>
        </m:oMath>
      </m:oMathPara>
      <w:r>
        <w:t>双向Mamba状态空间骨干网络：该网络的核心是离散化的连续系统，其状态更新和输出计算如下：</w:t>
      </w:r>
    </w:p>
    <w:p w14:paraId="09EEC84A">
      <w:pPr>
        <w:widowControl/>
        <w:spacing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A</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w:rPr>
                  <w:rFonts w:ascii="Cambria Math" w:hAnsi="Cambria Math" w:cs="宋体"/>
                  <w:color w:val="auto"/>
                  <w:kern w:val="0"/>
                  <w:sz w:val="24"/>
                  <w:szCs w:val="24"/>
                </w:rPr>
                <m:t>t−1</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B</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oMath>
      </m:oMathPara>
    </w:p>
    <w:p w14:paraId="288664B9">
      <w:pPr>
        <w:widowControl/>
        <w:spacing w:line="240" w:lineRule="auto"/>
        <w:jc w:val="left"/>
        <w:rPr>
          <w:rFonts w:hint="eastAsia" w:ascii="宋体" w:hAnsi="宋体" w:cs="宋体"/>
          <w:color w:val="auto"/>
          <w:kern w:val="0"/>
          <w:sz w:val="24"/>
          <w:szCs w:val="24"/>
        </w:rPr>
      </w:pPr>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y</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=C⋅</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oMath>
      </m:oMathPara>
    </w:p>
    <w:p w14:paraId="63B8527E">
      <w:r>
        <w:t xml:space="preserve">其中，离散化参数是输入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的函数：</w:t>
      </w:r>
    </w:p>
    <w:p w14:paraId="3BA3D334">
      <w:pPr>
        <w:widowControl/>
        <w:spacing w:line="240" w:lineRule="auto"/>
        <w:jc w:val="left"/>
        <w:rPr>
          <w:rFonts w:hint="eastAsia" w:ascii="宋体" w:hAnsi="宋体" w:cs="宋体"/>
          <w:color w:val="auto"/>
          <w:kern w:val="0"/>
          <w:sz w:val="24"/>
          <w:szCs w:val="24"/>
        </w:rPr>
      </w:pPr>
      <m:oMathPara>
        <m:oMath>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m:t>
          </m:r>
          <m:r>
            <m:rPr>
              <m:nor/>
              <m:sty m:val="p"/>
            </m:rPr>
            <w:rPr>
              <w:rFonts w:ascii="宋体" w:hAnsi="宋体" w:cs="宋体"/>
              <w:color w:val="auto"/>
              <w:kern w:val="0"/>
              <w:sz w:val="24"/>
              <w:szCs w:val="24"/>
            </w:rPr>
            <m:t>softplus</m:t>
          </m:r>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m:sty m:val="p"/>
                </m:rPr>
                <w:rPr>
                  <w:rFonts w:ascii="Cambria Math" w:hAnsi="Cambria Math" w:cs="宋体"/>
                  <w:color w:val="auto"/>
                  <w:kern w:val="0"/>
                  <w:sz w:val="24"/>
                  <w:szCs w:val="24"/>
                </w:rPr>
                <m:t>Δ</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b</m:t>
              </m:r>
              <m:ctrlPr>
                <w:rPr>
                  <w:rFonts w:ascii="Cambria Math" w:hAnsi="Cambria Math" w:cs="宋体"/>
                  <w:color w:val="auto"/>
                  <w:kern w:val="0"/>
                  <w:sz w:val="24"/>
                  <w:szCs w:val="24"/>
                </w:rPr>
              </m:ctrlPr>
            </m:e>
            <m:sub>
              <m:r>
                <m:rPr>
                  <m:sty m:val="p"/>
                </m:rPr>
                <w:rPr>
                  <w:rFonts w:ascii="Cambria Math" w:hAnsi="Cambria Math" w:cs="宋体"/>
                  <w:color w:val="auto"/>
                  <w:kern w:val="0"/>
                  <w:sz w:val="24"/>
                  <w:szCs w:val="24"/>
                </w:rPr>
                <m:t>Δ</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oMath>
      </m:oMathPara>
    </w:p>
    <w:p w14:paraId="371D02F3">
      <w:pPr>
        <w:widowControl/>
        <w:spacing w:line="240" w:lineRule="auto"/>
        <w:jc w:val="left"/>
        <w:rPr>
          <w:rFonts w:hint="eastAsia" w:ascii="宋体" w:hAnsi="宋体" w:cs="宋体"/>
          <w:color w:val="auto"/>
          <w:kern w:val="0"/>
          <w:sz w:val="24"/>
          <w:szCs w:val="24"/>
        </w:rPr>
      </w:pPr>
      <m:oMathPara>
        <m:oMath>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A</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r>
            <m:rPr>
              <m:sty m:val="p"/>
            </m:rPr>
            <w:rPr>
              <w:rFonts w:ascii="Cambria Math" w:hAnsi="Cambria Math" w:cs="宋体"/>
              <w:color w:val="auto"/>
              <w:kern w:val="0"/>
              <w:sz w:val="24"/>
              <w:szCs w:val="24"/>
            </w:rPr>
            <m:t>exp</m:t>
          </m:r>
          <m:r>
            <m:rPr/>
            <w:rPr>
              <w:rFonts w:ascii="Cambria Math" w:hAnsi="Cambria Math" w:cs="宋体"/>
              <w:color w:val="auto"/>
              <w:kern w:val="0"/>
              <w:sz w:val="24"/>
              <w:szCs w:val="24"/>
            </w:rPr>
            <m:t>⁡(−</m:t>
          </m:r>
          <m:r>
            <m:rPr>
              <m:sty m:val="p"/>
            </m:rPr>
            <w:rPr>
              <w:rFonts w:ascii="Cambria Math" w:hAnsi="Cambria Math" w:cs="宋体"/>
              <w:color w:val="auto"/>
              <w:kern w:val="0"/>
              <w:sz w:val="24"/>
              <w:szCs w:val="24"/>
            </w:rPr>
            <m:t>exp</m:t>
          </m:r>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A</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log</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m:t>
          </m:r>
        </m:oMath>
      </m:oMathPara>
    </w:p>
    <w:p w14:paraId="785B6D12">
      <w:pPr>
        <w:widowControl/>
        <w:spacing w:line="240" w:lineRule="auto"/>
        <w:jc w:val="left"/>
        <w:rPr>
          <w:rFonts w:hint="eastAsia" w:ascii="宋体" w:hAnsi="宋体" w:cs="宋体"/>
          <w:color w:val="auto"/>
          <w:kern w:val="0"/>
          <w:sz w:val="24"/>
          <w:szCs w:val="24"/>
        </w:rPr>
      </w:pPr>
      <m:oMathPara>
        <m:oMath>
          <m:acc>
            <m:accPr>
              <m:chr m:val="ˉ"/>
              <m:ctrlPr>
                <w:rPr>
                  <w:rFonts w:ascii="Cambria Math" w:hAnsi="Cambria Math" w:cs="宋体"/>
                  <w:color w:val="auto"/>
                  <w:kern w:val="0"/>
                  <w:sz w:val="24"/>
                  <w:szCs w:val="24"/>
                </w:rPr>
              </m:ctrlPr>
            </m:accPr>
            <m:e>
              <m:r>
                <m:rPr/>
                <w:rPr>
                  <w:rFonts w:ascii="Cambria Math" w:hAnsi="Cambria Math" w:cs="宋体"/>
                  <w:color w:val="auto"/>
                  <w:kern w:val="0"/>
                  <w:sz w:val="24"/>
                  <w:szCs w:val="24"/>
                </w:rPr>
                <m:t>B</m:t>
              </m:r>
              <m:ctrlPr>
                <w:rPr>
                  <w:rFonts w:ascii="Cambria Math" w:hAnsi="Cambria Math" w:cs="宋体"/>
                  <w:color w:val="auto"/>
                  <w:kern w:val="0"/>
                  <w:sz w:val="24"/>
                  <w:szCs w:val="24"/>
                </w:rPr>
              </m:ctrlPr>
            </m:e>
          </m:acc>
          <m:r>
            <m:rPr/>
            <w:rPr>
              <w:rFonts w:ascii="Cambria Math" w:hAnsi="Cambria Math" w:cs="宋体"/>
              <w:color w:val="auto"/>
              <w:kern w:val="0"/>
              <w:sz w:val="24"/>
              <w:szCs w:val="24"/>
            </w:rPr>
            <m:t>=</m:t>
          </m:r>
          <m:r>
            <m:rPr>
              <m:sty m:val="p"/>
            </m:rPr>
            <w:rPr>
              <w:rFonts w:ascii="Cambria Math" w:hAnsi="Cambria Math" w:cs="宋体"/>
              <w:color w:val="auto"/>
              <w:kern w:val="0"/>
              <w:sz w:val="24"/>
              <w:szCs w:val="24"/>
            </w:rPr>
            <m:t>Δ</m:t>
          </m:r>
          <m:r>
            <m:rPr/>
            <w:rPr>
              <w:rFonts w:ascii="Cambria Math" w:hAnsi="Cambria Math" w:cs="宋体"/>
              <w:color w:val="auto"/>
              <w:kern w:val="0"/>
              <w:sz w:val="24"/>
              <w:szCs w:val="24"/>
            </w:rPr>
            <m:t>⋅B,B=</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w:rPr>
                  <w:rFonts w:ascii="Cambria Math" w:hAnsi="Cambria Math" w:cs="宋体"/>
                  <w:color w:val="auto"/>
                  <w:kern w:val="0"/>
                  <w:sz w:val="24"/>
                  <w:szCs w:val="24"/>
                </w:rPr>
                <m:t>B</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oMath>
      </m:oMathPara>
    </w:p>
    <w:p w14:paraId="66743F73">
      <w:pPr>
        <w:widowControl/>
        <w:spacing w:line="240" w:lineRule="auto"/>
        <w:jc w:val="left"/>
        <w:rPr>
          <w:rFonts w:hint="eastAsia" w:ascii="宋体" w:hAnsi="宋体" w:cs="宋体"/>
          <w:color w:val="auto"/>
          <w:kern w:val="0"/>
          <w:sz w:val="24"/>
          <w:szCs w:val="24"/>
        </w:rPr>
      </w:pPr>
      <m:oMathPara>
        <m:oMath>
          <m:r>
            <m:rPr/>
            <w:rPr>
              <w:rFonts w:ascii="Cambria Math" w:hAnsi="Cambria Math" w:cs="宋体"/>
              <w:color w:val="auto"/>
              <w:kern w:val="0"/>
              <w:sz w:val="24"/>
              <w:szCs w:val="24"/>
            </w:rPr>
            <m:t>C=</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W</m:t>
              </m:r>
              <m:ctrlPr>
                <w:rPr>
                  <w:rFonts w:ascii="Cambria Math" w:hAnsi="Cambria Math" w:cs="宋体"/>
                  <w:color w:val="auto"/>
                  <w:kern w:val="0"/>
                  <w:sz w:val="24"/>
                  <w:szCs w:val="24"/>
                </w:rPr>
              </m:ctrlPr>
            </m:e>
            <m:sub>
              <m:r>
                <m:rPr/>
                <w:rPr>
                  <w:rFonts w:ascii="Cambria Math" w:hAnsi="Cambria Math" w:cs="宋体"/>
                  <w:color w:val="auto"/>
                  <w:kern w:val="0"/>
                  <w:sz w:val="24"/>
                  <w:szCs w:val="24"/>
                </w:rPr>
                <m:t>C</m:t>
              </m:r>
              <m:ctrlPr>
                <w:rPr>
                  <w:rFonts w:ascii="Cambria Math" w:hAnsi="Cambria Math" w:cs="宋体"/>
                  <w:color w:val="auto"/>
                  <w:kern w:val="0"/>
                  <w:sz w:val="24"/>
                  <w:szCs w:val="24"/>
                </w:rPr>
              </m:ctrlPr>
            </m:sub>
          </m:sSub>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x</m:t>
              </m:r>
              <m:ctrlPr>
                <w:rPr>
                  <w:rFonts w:ascii="Cambria Math" w:hAnsi="Cambria Math" w:cs="宋体"/>
                  <w:color w:val="auto"/>
                  <w:kern w:val="0"/>
                  <w:sz w:val="24"/>
                  <w:szCs w:val="24"/>
                </w:rPr>
              </m:ctrlPr>
            </m:e>
            <m:sub>
              <m:r>
                <m:rPr/>
                <w:rPr>
                  <w:rFonts w:ascii="Cambria Math" w:hAnsi="Cambria Math" w:cs="宋体"/>
                  <w:color w:val="auto"/>
                  <w:kern w:val="0"/>
                  <w:sz w:val="24"/>
                  <w:szCs w:val="24"/>
                </w:rPr>
                <m:t>t</m:t>
              </m:r>
              <m:ctrlPr>
                <w:rPr>
                  <w:rFonts w:ascii="Cambria Math" w:hAnsi="Cambria Math" w:cs="宋体"/>
                  <w:color w:val="auto"/>
                  <w:kern w:val="0"/>
                  <w:sz w:val="24"/>
                  <w:szCs w:val="24"/>
                </w:rPr>
              </m:ctrlPr>
            </m:sub>
          </m:sSub>
          <m:r>
            <m:rPr>
              <m:sty m:val="p"/>
            </m:rPr>
            <w:rPr>
              <w:rFonts w:ascii="Cambria Math" w:hAnsi="Cambria Math" w:cs="宋体"/>
              <w:color w:val="auto"/>
              <w:kern w:val="0"/>
              <w:sz w:val="24"/>
              <w:szCs w:val="24"/>
            </w:rPr>
            <w:br w:type="textWrapping"/>
          </m:r>
        </m:oMath>
      </m:oMathPara>
    </w:p>
    <w:p w14:paraId="0E1F81A6">
      <w:r>
        <w:rPr>
          <w:b/>
          <w:bCs/>
        </w:rPr>
        <w:t>双向表示融合</w:t>
      </w:r>
      <w:r>
        <w:rPr>
          <w:rFonts w:hint="eastAsia"/>
        </w:rPr>
        <w:t>：</w:t>
      </w:r>
      <w:r>
        <w:t xml:space="preserve">前向Mamba编码 </w:t>
      </w: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fwd</m:t>
            </m:r>
            <m:ctrlPr>
              <w:rPr>
                <w:rFonts w:ascii="Cambria Math" w:hAnsi="Cambria Math"/>
              </w:rPr>
            </m:ctrlPr>
          </m:sub>
        </m:sSub>
      </m:oMath>
      <w:r>
        <w:t xml:space="preserve">与反向Mamba编码 </w:t>
      </w: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bwd</m:t>
            </m:r>
            <m:ctrlPr>
              <w:rPr>
                <w:rFonts w:ascii="Cambria Math" w:hAnsi="Cambria Math"/>
              </w:rPr>
            </m:ctrlPr>
          </m:sub>
        </m:sSub>
      </m:oMath>
      <w:r>
        <w:t xml:space="preserve">通过线性层融合成双向表示 </w:t>
      </w: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bi</m:t>
            </m:r>
            <m:ctrlPr>
              <w:rPr>
                <w:rFonts w:ascii="Cambria Math" w:hAnsi="Cambria Math"/>
              </w:rPr>
            </m:ctrlPr>
          </m:sub>
        </m:sSub>
      </m:oMath>
      <w:r>
        <w:t>：</w:t>
      </w:r>
    </w:p>
    <w:p w14:paraId="603C3338">
      <m:oMathPara>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bi</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r>
            <m:rPr>
              <m:nor/>
              <m:sty m:val="p"/>
            </m:rPr>
            <w:rPr>
              <w:rFonts w:ascii="宋体" w:hAnsi="宋体" w:cs="宋体"/>
              <w:color w:val="auto"/>
              <w:kern w:val="0"/>
              <w:sz w:val="24"/>
              <w:szCs w:val="24"/>
            </w:rPr>
            <m:t>Linear</m:t>
          </m:r>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fwd</m:t>
              </m:r>
              <m:ctrlPr>
                <w:rPr>
                  <w:rFonts w:ascii="Cambria Math" w:hAnsi="Cambria Math" w:cs="宋体"/>
                  <w:color w:val="auto"/>
                  <w:kern w:val="0"/>
                  <w:sz w:val="24"/>
                  <w:szCs w:val="24"/>
                </w:rPr>
              </m:ctrlPr>
            </m:sub>
          </m:sSub>
          <m:r>
            <m:rPr/>
            <w:rPr>
              <w:rFonts w:ascii="Cambria Math" w:hAnsi="Cambria Math" w:cs="宋体"/>
              <w:color w:val="auto"/>
              <w:kern w:val="0"/>
              <w:sz w:val="24"/>
              <w:szCs w:val="24"/>
            </w:rPr>
            <m:t>;</m:t>
          </m:r>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H</m:t>
              </m:r>
              <m:ctrlPr>
                <w:rPr>
                  <w:rFonts w:ascii="Cambria Math" w:hAnsi="Cambria Math" w:cs="宋体"/>
                  <w:color w:val="auto"/>
                  <w:kern w:val="0"/>
                  <w:sz w:val="24"/>
                  <w:szCs w:val="24"/>
                </w:rPr>
              </m:ctrlPr>
            </m:e>
            <m:sub>
              <m:r>
                <m:rPr>
                  <m:nor/>
                  <m:sty m:val="p"/>
                </m:rPr>
                <w:rPr>
                  <w:rFonts w:ascii="宋体" w:hAnsi="宋体" w:cs="宋体"/>
                  <w:color w:val="auto"/>
                  <w:kern w:val="0"/>
                  <w:sz w:val="24"/>
                  <w:szCs w:val="24"/>
                </w:rPr>
                <m:t>bwd</m:t>
              </m:r>
              <m:ctrlPr>
                <w:rPr>
                  <w:rFonts w:ascii="Cambria Math" w:hAnsi="Cambria Math" w:cs="宋体"/>
                  <w:color w:val="auto"/>
                  <w:kern w:val="0"/>
                  <w:sz w:val="24"/>
                  <w:szCs w:val="24"/>
                </w:rPr>
              </m:ctrlPr>
            </m:sub>
          </m:sSub>
          <m:r>
            <m:rPr/>
            <w:rPr>
              <w:rFonts w:ascii="Cambria Math" w:hAnsi="Cambria Math" w:cs="宋体"/>
              <w:color w:val="auto"/>
              <w:kern w:val="0"/>
              <w:sz w:val="24"/>
              <w:szCs w:val="24"/>
            </w:rPr>
            <m:t>],2d→d)</m:t>
          </m:r>
        </m:oMath>
      </m:oMathPara>
    </w:p>
    <w:p w14:paraId="31845B20">
      <w:r>
        <w:rPr>
          <w:b/>
          <w:bCs/>
        </w:rPr>
        <w:t xml:space="preserve"> 非对称尾部加权NLL损失函数</w:t>
      </w:r>
      <w:r>
        <w:rPr>
          <w:rFonts w:hint="eastAsia"/>
        </w:rPr>
        <w:t>：</w:t>
      </w:r>
      <w:r>
        <w:t>模型的损失函数在标准偏态t分布的负对数似然（NLL）基础上增加了尾部加权：</w:t>
      </w:r>
    </w:p>
    <w:p w14:paraId="3DA8997E">
      <m:oMathPara>
        <m:oMath>
          <m:r>
            <m:rPr>
              <m:scr m:val="script"/>
            </m:rPr>
            <w:rPr>
              <w:rFonts w:ascii="Cambria Math" w:hAnsi="Cambria Math"/>
            </w:rPr>
            <m:t>ℒ=−</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r>
            <m:rPr/>
            <w:rPr>
              <w:rFonts w:ascii="Cambria Math" w:hAnsi="Cambria Math"/>
            </w:rPr>
            <m:t>⋅</m:t>
          </m:r>
          <m:r>
            <m:rPr>
              <m:sty m:val="p"/>
            </m:rPr>
            <w:rPr>
              <w:rFonts w:ascii="Cambria Math" w:hAnsi="Cambria Math"/>
            </w:rPr>
            <m:t>log</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nor/>
                  <m:sty m:val="p"/>
                </m:rPr>
                <m:t>Skew-</m:t>
              </m:r>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ν</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ξ</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0639F0EF">
      <w:r>
        <w:t xml:space="preserve">其中，尾部权重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oMath>
      <w:r>
        <w:t>的定义为：</w:t>
      </w:r>
    </w:p>
    <w:p w14:paraId="132D486C">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=1+λ⋅</m:t>
          </m:r>
          <m:r>
            <m:rPr>
              <m:sty m:val="p"/>
              <m:scr m:val="double-struck"/>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&lt;</m:t>
          </m:r>
          <m:sSub>
            <m:sSubPr>
              <m:ctrlPr>
                <w:rPr>
                  <w:rFonts w:ascii="Cambria Math" w:hAnsi="Cambria Math"/>
                </w:rPr>
              </m:ctrlPr>
            </m:sSub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25</m:t>
              </m:r>
              <m:r>
                <m:rPr>
                  <m:sty m:val="p"/>
                </m:rPr>
                <w:rPr>
                  <w:rFonts w:ascii="Cambria Math" w:hAnsi="Cambria Math"/>
                </w:rPr>
                <m:t>%</m:t>
              </m:r>
              <m:r>
                <m:rPr/>
                <w:rPr>
                  <w:rFonts w:ascii="Cambria Math" w:hAnsi="Cambria Math"/>
                </w:rPr>
                <m:t>,t</m:t>
              </m:r>
              <m:ctrlPr>
                <w:rPr>
                  <w:rFonts w:ascii="Cambria Math" w:hAnsi="Cambria Math"/>
                </w:rPr>
              </m:ctrlPr>
            </m:sub>
          </m:sSub>
          <m:r>
            <m:rPr/>
            <w:rPr>
              <w:rFonts w:ascii="Cambria Math" w:hAnsi="Cambria Math"/>
            </w:rPr>
            <m:t>)</m:t>
          </m:r>
        </m:oMath>
      </m:oMathPara>
    </w:p>
    <w:p w14:paraId="36E0DC15">
      <w:pPr>
        <w:widowControl/>
        <w:spacing w:line="240" w:lineRule="auto"/>
        <w:ind w:firstLine="560" w:firstLineChars="200"/>
        <w:jc w:val="left"/>
        <w:rPr>
          <w:rFonts w:hint="eastAsia" w:ascii="宋体" w:hAnsi="宋体" w:cs="宋体"/>
          <w:color w:val="auto"/>
          <w:kern w:val="0"/>
          <w:sz w:val="24"/>
          <w:szCs w:val="24"/>
        </w:rPr>
      </w:pPr>
      <w:r>
        <w:t>文中取</w:t>
      </w:r>
      <w:r>
        <w:rPr>
          <w:rFonts w:ascii="宋体" w:hAnsi="宋体" w:cs="宋体"/>
          <w:color w:val="auto"/>
          <w:kern w:val="0"/>
          <w:sz w:val="24"/>
          <w:szCs w:val="24"/>
        </w:rPr>
        <w:t xml:space="preserve"> </w:t>
      </w:r>
      <m:oMath>
        <m:r>
          <m:rPr/>
          <w:rPr>
            <w:rFonts w:ascii="Cambria Math" w:hAnsi="Cambria Math" w:cs="宋体"/>
            <w:color w:val="auto"/>
            <w:kern w:val="0"/>
            <w:sz w:val="24"/>
            <w:szCs w:val="24"/>
          </w:rPr>
          <m:t>λ=0.5</m:t>
        </m:r>
      </m:oMath>
      <w:r>
        <w:t xml:space="preserve">对实际收益低于模型预测25分位数的样本额外赋予50%的权重，使训练聚焦于左尾观测。 </w:t>
      </w:r>
    </w:p>
    <w:p w14:paraId="681FAA3A">
      <w:pPr>
        <w:widowControl/>
        <w:spacing w:line="240" w:lineRule="auto"/>
        <w:jc w:val="left"/>
      </w:pPr>
      <w:r>
        <w:rPr>
          <w:rFonts w:hint="eastAsia"/>
        </w:rPr>
        <w:t>超参数配置：</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4D894C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bottom w:val="single" w:color="auto" w:sz="6" w:space="0"/>
            </w:tcBorders>
          </w:tcPr>
          <w:p w14:paraId="31173486">
            <w:pPr>
              <w:widowControl/>
              <w:spacing w:line="240" w:lineRule="auto"/>
              <w:jc w:val="left"/>
              <w:rPr>
                <w:rFonts w:cs="宋体"/>
                <w:color w:val="auto"/>
                <w:kern w:val="0"/>
                <w:sz w:val="24"/>
                <w:szCs w:val="24"/>
              </w:rPr>
            </w:pPr>
            <w:r>
              <w:rPr>
                <w:rFonts w:cs="宋体"/>
                <w:color w:val="auto"/>
                <w:kern w:val="0"/>
                <w:sz w:val="24"/>
                <w:szCs w:val="24"/>
              </w:rPr>
              <w:t>参数</w:t>
            </w:r>
          </w:p>
        </w:tc>
        <w:tc>
          <w:tcPr>
            <w:tcW w:w="4148" w:type="dxa"/>
            <w:tcBorders>
              <w:bottom w:val="single" w:color="auto" w:sz="6" w:space="0"/>
            </w:tcBorders>
          </w:tcPr>
          <w:p w14:paraId="6246B48C">
            <w:pPr>
              <w:widowControl/>
              <w:spacing w:line="240" w:lineRule="auto"/>
              <w:jc w:val="left"/>
              <w:rPr>
                <w:rFonts w:cs="宋体"/>
                <w:color w:val="auto"/>
                <w:kern w:val="0"/>
                <w:sz w:val="24"/>
                <w:szCs w:val="24"/>
              </w:rPr>
            </w:pPr>
            <w:r>
              <w:rPr>
                <w:rFonts w:cs="宋体"/>
                <w:color w:val="auto"/>
                <w:kern w:val="0"/>
                <w:sz w:val="24"/>
                <w:szCs w:val="24"/>
              </w:rPr>
              <w:t>取值</w:t>
            </w:r>
          </w:p>
        </w:tc>
      </w:tr>
      <w:tr w14:paraId="5B4869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Borders>
              <w:top w:val="single" w:color="auto" w:sz="6" w:space="0"/>
            </w:tcBorders>
          </w:tcPr>
          <w:p w14:paraId="0FC58268">
            <w:pPr>
              <w:widowControl/>
              <w:spacing w:line="240" w:lineRule="auto"/>
              <w:jc w:val="left"/>
              <w:rPr>
                <w:rFonts w:cs="宋体"/>
                <w:color w:val="auto"/>
                <w:kern w:val="0"/>
                <w:sz w:val="24"/>
                <w:szCs w:val="24"/>
              </w:rPr>
            </w:pPr>
            <w:r>
              <w:rPr>
                <w:rFonts w:cs="宋体"/>
                <w:color w:val="auto"/>
                <w:kern w:val="0"/>
                <w:sz w:val="24"/>
                <w:szCs w:val="24"/>
              </w:rPr>
              <w:t>模型维度</w:t>
            </w:r>
            <m:oMath>
              <m:r>
                <m:rPr/>
                <w:rPr>
                  <w:rFonts w:ascii="Cambria Math" w:hAnsi="Cambria Math" w:cs="宋体"/>
                  <w:color w:val="auto"/>
                  <w:kern w:val="0"/>
                  <w:sz w:val="24"/>
                  <w:szCs w:val="24"/>
                </w:rPr>
                <m:t>d</m:t>
              </m:r>
            </m:oMath>
          </w:p>
        </w:tc>
        <w:tc>
          <w:tcPr>
            <w:tcW w:w="4148" w:type="dxa"/>
            <w:tcBorders>
              <w:top w:val="single" w:color="auto" w:sz="6" w:space="0"/>
            </w:tcBorders>
          </w:tcPr>
          <w:p w14:paraId="2728977D">
            <w:pPr>
              <w:widowControl/>
              <w:spacing w:line="240" w:lineRule="auto"/>
              <w:jc w:val="left"/>
              <w:rPr>
                <w:rFonts w:cs="宋体"/>
                <w:color w:val="auto"/>
                <w:kern w:val="0"/>
                <w:sz w:val="24"/>
                <w:szCs w:val="24"/>
              </w:rPr>
            </w:pPr>
            <w:r>
              <w:rPr>
                <w:rFonts w:cs="宋体"/>
                <w:color w:val="auto"/>
                <w:kern w:val="0"/>
                <w:sz w:val="24"/>
                <w:szCs w:val="24"/>
              </w:rPr>
              <w:t>64</w:t>
            </w:r>
          </w:p>
        </w:tc>
      </w:tr>
      <w:tr w14:paraId="71BF29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2F881D9">
            <w:pPr>
              <w:widowControl/>
              <w:spacing w:line="240" w:lineRule="auto"/>
              <w:jc w:val="left"/>
              <w:rPr>
                <w:rFonts w:cs="宋体"/>
                <w:color w:val="auto"/>
                <w:kern w:val="0"/>
                <w:sz w:val="24"/>
                <w:szCs w:val="24"/>
              </w:rPr>
            </w:pPr>
            <w:r>
              <w:rPr>
                <w:rFonts w:cs="宋体"/>
                <w:color w:val="auto"/>
                <w:kern w:val="0"/>
                <w:sz w:val="24"/>
                <w:szCs w:val="24"/>
              </w:rPr>
              <w:t>状态维度</w:t>
            </w:r>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d</m:t>
                  </m:r>
                  <m:ctrlPr>
                    <w:rPr>
                      <w:rFonts w:ascii="Cambria Math" w:hAnsi="Cambria Math" w:cs="宋体"/>
                      <w:color w:val="auto"/>
                      <w:kern w:val="0"/>
                      <w:sz w:val="24"/>
                      <w:szCs w:val="24"/>
                    </w:rPr>
                  </m:ctrlPr>
                </m:e>
                <m:sub>
                  <m:r>
                    <m:rPr>
                      <m:nor/>
                      <m:sty m:val="p"/>
                    </m:rPr>
                    <w:rPr>
                      <w:rFonts w:cs="宋体"/>
                      <w:color w:val="auto"/>
                      <w:kern w:val="0"/>
                      <w:sz w:val="24"/>
                      <w:szCs w:val="24"/>
                    </w:rPr>
                    <m:t>state</m:t>
                  </m:r>
                  <m:ctrlPr>
                    <w:rPr>
                      <w:rFonts w:ascii="Cambria Math" w:hAnsi="Cambria Math" w:cs="宋体"/>
                      <w:color w:val="auto"/>
                      <w:kern w:val="0"/>
                      <w:sz w:val="24"/>
                      <w:szCs w:val="24"/>
                    </w:rPr>
                  </m:ctrlPr>
                </m:sub>
              </m:sSub>
            </m:oMath>
          </w:p>
        </w:tc>
        <w:tc>
          <w:tcPr>
            <w:tcW w:w="4148" w:type="dxa"/>
          </w:tcPr>
          <w:p w14:paraId="029A3A67">
            <w:pPr>
              <w:widowControl/>
              <w:spacing w:line="240" w:lineRule="auto"/>
              <w:jc w:val="left"/>
              <w:rPr>
                <w:rFonts w:cs="宋体"/>
                <w:color w:val="auto"/>
                <w:kern w:val="0"/>
                <w:sz w:val="24"/>
                <w:szCs w:val="24"/>
              </w:rPr>
            </w:pPr>
            <w:r>
              <w:rPr>
                <w:rFonts w:cs="宋体"/>
                <w:color w:val="auto"/>
                <w:kern w:val="0"/>
                <w:sz w:val="24"/>
                <w:szCs w:val="24"/>
              </w:rPr>
              <w:t>16</w:t>
            </w:r>
          </w:p>
        </w:tc>
      </w:tr>
      <w:tr w14:paraId="4C8845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DA25AC8">
            <w:pPr>
              <w:widowControl/>
              <w:spacing w:line="240" w:lineRule="auto"/>
              <w:jc w:val="left"/>
              <w:rPr>
                <w:rFonts w:cs="宋体"/>
                <w:color w:val="auto"/>
                <w:kern w:val="0"/>
                <w:sz w:val="24"/>
                <w:szCs w:val="24"/>
              </w:rPr>
            </w:pPr>
            <w:r>
              <w:rPr>
                <w:rFonts w:cs="宋体"/>
                <w:color w:val="auto"/>
                <w:kern w:val="0"/>
                <w:sz w:val="24"/>
                <w:szCs w:val="24"/>
              </w:rPr>
              <w:t>卷积核宽度</w:t>
            </w:r>
            <m:oMath>
              <m:sSub>
                <m:sSubPr>
                  <m:ctrlPr>
                    <w:rPr>
                      <w:rFonts w:ascii="Cambria Math" w:hAnsi="Cambria Math" w:cs="宋体"/>
                      <w:color w:val="auto"/>
                      <w:kern w:val="0"/>
                      <w:sz w:val="24"/>
                      <w:szCs w:val="24"/>
                    </w:rPr>
                  </m:ctrlPr>
                </m:sSubPr>
                <m:e>
                  <m:r>
                    <m:rPr/>
                    <w:rPr>
                      <w:rFonts w:ascii="Cambria Math" w:hAnsi="Cambria Math" w:cs="宋体"/>
                      <w:color w:val="auto"/>
                      <w:kern w:val="0"/>
                      <w:sz w:val="24"/>
                      <w:szCs w:val="24"/>
                    </w:rPr>
                    <m:t>d</m:t>
                  </m:r>
                  <m:ctrlPr>
                    <w:rPr>
                      <w:rFonts w:ascii="Cambria Math" w:hAnsi="Cambria Math" w:cs="宋体"/>
                      <w:color w:val="auto"/>
                      <w:kern w:val="0"/>
                      <w:sz w:val="24"/>
                      <w:szCs w:val="24"/>
                    </w:rPr>
                  </m:ctrlPr>
                </m:e>
                <m:sub>
                  <m:r>
                    <m:rPr>
                      <m:nor/>
                      <m:sty m:val="p"/>
                    </m:rPr>
                    <w:rPr>
                      <w:rFonts w:cs="宋体"/>
                      <w:color w:val="auto"/>
                      <w:kern w:val="0"/>
                      <w:sz w:val="24"/>
                      <w:szCs w:val="24"/>
                    </w:rPr>
                    <m:t>conv</m:t>
                  </m:r>
                  <m:ctrlPr>
                    <w:rPr>
                      <w:rFonts w:ascii="Cambria Math" w:hAnsi="Cambria Math" w:cs="宋体"/>
                      <w:color w:val="auto"/>
                      <w:kern w:val="0"/>
                      <w:sz w:val="24"/>
                      <w:szCs w:val="24"/>
                    </w:rPr>
                  </m:ctrlPr>
                </m:sub>
              </m:sSub>
            </m:oMath>
          </w:p>
        </w:tc>
        <w:tc>
          <w:tcPr>
            <w:tcW w:w="4148" w:type="dxa"/>
          </w:tcPr>
          <w:p w14:paraId="68818997">
            <w:pPr>
              <w:widowControl/>
              <w:spacing w:line="240" w:lineRule="auto"/>
              <w:jc w:val="left"/>
              <w:rPr>
                <w:rFonts w:cs="宋体"/>
                <w:color w:val="auto"/>
                <w:kern w:val="0"/>
                <w:sz w:val="24"/>
                <w:szCs w:val="24"/>
              </w:rPr>
            </w:pPr>
            <w:r>
              <w:rPr>
                <w:rFonts w:hint="eastAsia" w:cs="宋体"/>
                <w:color w:val="auto"/>
                <w:kern w:val="0"/>
                <w:sz w:val="24"/>
                <w:szCs w:val="24"/>
              </w:rPr>
              <w:t>4</w:t>
            </w:r>
          </w:p>
        </w:tc>
      </w:tr>
      <w:tr w14:paraId="0879C8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22CC7828">
            <w:pPr>
              <w:widowControl/>
              <w:spacing w:line="240" w:lineRule="auto"/>
              <w:jc w:val="left"/>
              <w:rPr>
                <w:rFonts w:cs="宋体"/>
                <w:color w:val="auto"/>
                <w:kern w:val="0"/>
                <w:sz w:val="24"/>
                <w:szCs w:val="24"/>
              </w:rPr>
            </w:pPr>
            <w:r>
              <w:rPr>
                <w:rFonts w:cs="宋体"/>
                <w:color w:val="auto"/>
                <w:kern w:val="0"/>
                <w:sz w:val="24"/>
                <w:szCs w:val="24"/>
              </w:rPr>
              <w:t>4</w:t>
            </w:r>
          </w:p>
        </w:tc>
        <w:tc>
          <w:tcPr>
            <w:tcW w:w="4148" w:type="dxa"/>
          </w:tcPr>
          <w:p w14:paraId="192A57DF">
            <w:pPr>
              <w:widowControl/>
              <w:spacing w:line="240" w:lineRule="auto"/>
              <w:jc w:val="left"/>
              <w:rPr>
                <w:rFonts w:cs="宋体"/>
                <w:color w:val="auto"/>
                <w:kern w:val="0"/>
                <w:sz w:val="24"/>
                <w:szCs w:val="24"/>
              </w:rPr>
            </w:pPr>
          </w:p>
        </w:tc>
      </w:tr>
      <w:tr w14:paraId="6B1D2B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30CA838">
            <w:pPr>
              <w:widowControl/>
              <w:spacing w:line="240" w:lineRule="auto"/>
              <w:jc w:val="left"/>
              <w:rPr>
                <w:rFonts w:cs="宋体"/>
                <w:color w:val="auto"/>
                <w:kern w:val="0"/>
                <w:sz w:val="24"/>
                <w:szCs w:val="24"/>
              </w:rPr>
            </w:pPr>
            <w:r>
              <w:rPr>
                <w:rFonts w:cs="宋体"/>
                <w:color w:val="auto"/>
                <w:kern w:val="0"/>
                <w:sz w:val="24"/>
                <w:szCs w:val="24"/>
              </w:rPr>
              <w:t>扩展因子2Mamba层数</w:t>
            </w:r>
            <m:oMath>
              <m:r>
                <m:rPr/>
                <w:rPr>
                  <w:rFonts w:ascii="Cambria Math" w:hAnsi="Cambria Math" w:cs="宋体"/>
                  <w:color w:val="auto"/>
                  <w:kern w:val="0"/>
                  <w:sz w:val="24"/>
                  <w:szCs w:val="24"/>
                </w:rPr>
                <m:t>N</m:t>
              </m:r>
            </m:oMath>
          </w:p>
        </w:tc>
        <w:tc>
          <w:tcPr>
            <w:tcW w:w="4148" w:type="dxa"/>
          </w:tcPr>
          <w:p w14:paraId="579E3326">
            <w:pPr>
              <w:widowControl/>
              <w:spacing w:line="240" w:lineRule="auto"/>
              <w:jc w:val="left"/>
              <w:rPr>
                <w:rFonts w:cs="宋体"/>
                <w:color w:val="auto"/>
                <w:kern w:val="0"/>
                <w:sz w:val="24"/>
                <w:szCs w:val="24"/>
              </w:rPr>
            </w:pPr>
            <w:r>
              <w:rPr>
                <w:rFonts w:cs="宋体"/>
                <w:color w:val="auto"/>
                <w:kern w:val="0"/>
                <w:sz w:val="24"/>
                <w:szCs w:val="24"/>
              </w:rPr>
              <w:t>2（各层双向，融合后输出）</w:t>
            </w:r>
          </w:p>
        </w:tc>
      </w:tr>
      <w:tr w14:paraId="0895B4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91E4A8C">
            <w:pPr>
              <w:widowControl/>
              <w:spacing w:line="240" w:lineRule="auto"/>
              <w:jc w:val="left"/>
              <w:rPr>
                <w:rFonts w:cs="宋体"/>
                <w:color w:val="auto"/>
                <w:kern w:val="0"/>
                <w:sz w:val="24"/>
                <w:szCs w:val="24"/>
              </w:rPr>
            </w:pPr>
          </w:p>
        </w:tc>
        <w:tc>
          <w:tcPr>
            <w:tcW w:w="4148" w:type="dxa"/>
          </w:tcPr>
          <w:p w14:paraId="7A1EBF16">
            <w:pPr>
              <w:widowControl/>
              <w:spacing w:line="240" w:lineRule="auto"/>
              <w:jc w:val="left"/>
              <w:rPr>
                <w:rFonts w:cs="宋体"/>
                <w:color w:val="auto"/>
                <w:kern w:val="0"/>
                <w:sz w:val="24"/>
                <w:szCs w:val="24"/>
              </w:rPr>
            </w:pPr>
          </w:p>
        </w:tc>
      </w:tr>
      <w:tr w14:paraId="69B48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722F7A51">
            <w:pPr>
              <w:widowControl/>
              <w:spacing w:line="240" w:lineRule="auto"/>
              <w:jc w:val="left"/>
              <w:rPr>
                <w:rFonts w:cs="宋体"/>
                <w:color w:val="auto"/>
                <w:kern w:val="0"/>
                <w:sz w:val="24"/>
                <w:szCs w:val="24"/>
              </w:rPr>
            </w:pPr>
            <w:r>
              <w:rPr>
                <w:rFonts w:cs="宋体"/>
                <w:color w:val="auto"/>
                <w:kern w:val="0"/>
                <w:sz w:val="24"/>
                <w:szCs w:val="24"/>
              </w:rPr>
              <w:t>优化器</w:t>
            </w:r>
          </w:p>
        </w:tc>
        <w:tc>
          <w:tcPr>
            <w:tcW w:w="4148" w:type="dxa"/>
          </w:tcPr>
          <w:p w14:paraId="22747B8D">
            <w:pPr>
              <w:widowControl/>
              <w:spacing w:line="240" w:lineRule="auto"/>
              <w:jc w:val="left"/>
              <w:rPr>
                <w:rFonts w:cs="宋体"/>
                <w:color w:val="auto"/>
                <w:kern w:val="0"/>
                <w:sz w:val="24"/>
                <w:szCs w:val="24"/>
              </w:rPr>
            </w:pPr>
            <w:r>
              <w:rPr>
                <w:rFonts w:cs="宋体"/>
                <w:color w:val="auto"/>
                <w:kern w:val="0"/>
                <w:sz w:val="24"/>
                <w:szCs w:val="24"/>
              </w:rPr>
              <w:t>AdamW（lr=0.001,</w:t>
            </w:r>
            <w:r>
              <w:rPr>
                <w:rFonts w:hint="eastAsia"/>
              </w:rPr>
              <w:t xml:space="preserve"> </w:t>
            </w:r>
            <w:r>
              <w:rPr>
                <w:rFonts w:cs="宋体"/>
                <w:color w:val="auto"/>
                <w:kern w:val="0"/>
                <w:sz w:val="24"/>
                <w:szCs w:val="24"/>
              </w:rPr>
              <w:t>weight_decay=1e-5）</w:t>
            </w:r>
          </w:p>
        </w:tc>
      </w:tr>
      <w:tr w14:paraId="574A5F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02CD6B68">
            <w:pPr>
              <w:widowControl/>
              <w:spacing w:line="240" w:lineRule="auto"/>
              <w:jc w:val="left"/>
              <w:rPr>
                <w:rFonts w:cs="宋体"/>
                <w:color w:val="auto"/>
                <w:kern w:val="0"/>
                <w:sz w:val="24"/>
                <w:szCs w:val="24"/>
              </w:rPr>
            </w:pPr>
            <w:r>
              <w:rPr>
                <w:rFonts w:cs="宋体"/>
                <w:color w:val="auto"/>
                <w:kern w:val="0"/>
                <w:sz w:val="24"/>
                <w:szCs w:val="24"/>
              </w:rPr>
              <w:t>最大训练轮数</w:t>
            </w:r>
          </w:p>
        </w:tc>
        <w:tc>
          <w:tcPr>
            <w:tcW w:w="4148" w:type="dxa"/>
          </w:tcPr>
          <w:p w14:paraId="1D9E26FC">
            <w:pPr>
              <w:widowControl/>
              <w:spacing w:line="240" w:lineRule="auto"/>
              <w:jc w:val="left"/>
              <w:rPr>
                <w:rFonts w:cs="宋体"/>
                <w:color w:val="auto"/>
                <w:kern w:val="0"/>
                <w:sz w:val="24"/>
                <w:szCs w:val="24"/>
              </w:rPr>
            </w:pPr>
            <w:r>
              <w:rPr>
                <w:rFonts w:cs="宋体"/>
                <w:color w:val="auto"/>
                <w:kern w:val="0"/>
                <w:sz w:val="24"/>
                <w:szCs w:val="24"/>
              </w:rPr>
              <w:t>200，早停耐心值20</w:t>
            </w:r>
          </w:p>
        </w:tc>
      </w:tr>
      <w:tr w14:paraId="17A869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5B4BF18E">
            <w:pPr>
              <w:widowControl/>
              <w:spacing w:line="240" w:lineRule="auto"/>
              <w:jc w:val="left"/>
              <w:rPr>
                <w:rFonts w:cs="宋体"/>
                <w:color w:val="auto"/>
                <w:kern w:val="0"/>
                <w:sz w:val="24"/>
                <w:szCs w:val="24"/>
              </w:rPr>
            </w:pPr>
            <w:r>
              <w:rPr>
                <w:rFonts w:cs="宋体"/>
                <w:color w:val="auto"/>
                <w:kern w:val="0"/>
                <w:sz w:val="24"/>
                <w:szCs w:val="24"/>
              </w:rPr>
              <w:t>批大小</w:t>
            </w:r>
          </w:p>
        </w:tc>
        <w:tc>
          <w:tcPr>
            <w:tcW w:w="4148" w:type="dxa"/>
          </w:tcPr>
          <w:p w14:paraId="0B7EB9BE">
            <w:pPr>
              <w:widowControl/>
              <w:spacing w:line="240" w:lineRule="auto"/>
              <w:jc w:val="left"/>
              <w:rPr>
                <w:rFonts w:cs="宋体"/>
                <w:color w:val="auto"/>
                <w:kern w:val="0"/>
                <w:sz w:val="24"/>
                <w:szCs w:val="24"/>
              </w:rPr>
            </w:pPr>
            <w:r>
              <w:rPr>
                <w:rFonts w:cs="宋体"/>
                <w:color w:val="auto"/>
                <w:kern w:val="0"/>
                <w:sz w:val="24"/>
                <w:szCs w:val="24"/>
              </w:rPr>
              <w:t>64</w:t>
            </w:r>
          </w:p>
        </w:tc>
      </w:tr>
      <w:tr w14:paraId="1FED9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32ED6EF2">
            <w:pPr>
              <w:widowControl/>
              <w:spacing w:line="240" w:lineRule="auto"/>
              <w:jc w:val="left"/>
              <w:rPr>
                <w:rFonts w:cs="宋体"/>
                <w:color w:val="auto"/>
                <w:kern w:val="0"/>
                <w:sz w:val="24"/>
                <w:szCs w:val="24"/>
              </w:rPr>
            </w:pPr>
            <w:r>
              <w:rPr>
                <w:rFonts w:cs="宋体"/>
                <w:color w:val="auto"/>
                <w:kern w:val="0"/>
                <w:sz w:val="24"/>
                <w:szCs w:val="24"/>
              </w:rPr>
              <w:t>目标标准化</w:t>
            </w:r>
          </w:p>
        </w:tc>
        <w:tc>
          <w:tcPr>
            <w:tcW w:w="4148" w:type="dxa"/>
          </w:tcPr>
          <w:p w14:paraId="59C61A58">
            <w:pPr>
              <w:widowControl/>
              <w:spacing w:line="240" w:lineRule="auto"/>
              <w:jc w:val="left"/>
              <w:rPr>
                <w:rFonts w:cs="宋体"/>
                <w:color w:val="auto"/>
                <w:kern w:val="0"/>
                <w:sz w:val="24"/>
                <w:szCs w:val="24"/>
              </w:rPr>
            </w:pPr>
            <w:r>
              <w:rPr>
                <w:rFonts w:cs="宋体"/>
                <w:color w:val="auto"/>
                <w:kern w:val="0"/>
                <w:sz w:val="24"/>
                <w:szCs w:val="24"/>
              </w:rPr>
              <w:t>训练集标准化，推理时反标准化</w:t>
            </w:r>
          </w:p>
        </w:tc>
      </w:tr>
      <w:tr w14:paraId="6E2BCC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8" w:type="dxa"/>
          </w:tcPr>
          <w:p w14:paraId="4192FA73">
            <w:pPr>
              <w:widowControl/>
              <w:spacing w:line="240" w:lineRule="auto"/>
              <w:jc w:val="left"/>
              <w:rPr>
                <w:rFonts w:cs="宋体"/>
                <w:color w:val="auto"/>
                <w:kern w:val="0"/>
                <w:sz w:val="24"/>
                <w:szCs w:val="24"/>
              </w:rPr>
            </w:pPr>
            <w:r>
              <w:rPr>
                <w:rFonts w:cs="宋体"/>
                <w:color w:val="auto"/>
                <w:kern w:val="0"/>
                <w:sz w:val="24"/>
                <w:szCs w:val="24"/>
              </w:rPr>
              <w:t>输入特征</w:t>
            </w:r>
          </w:p>
        </w:tc>
        <w:tc>
          <w:tcPr>
            <w:tcW w:w="4148" w:type="dxa"/>
          </w:tcPr>
          <w:p w14:paraId="3E9ED3B0">
            <w:pPr>
              <w:widowControl/>
              <w:spacing w:line="240" w:lineRule="auto"/>
              <w:jc w:val="left"/>
              <w:rPr>
                <w:rFonts w:cs="宋体"/>
                <w:color w:val="auto"/>
                <w:kern w:val="0"/>
                <w:sz w:val="24"/>
                <w:szCs w:val="24"/>
              </w:rPr>
            </w:pPr>
            <w:r>
              <w:rPr>
                <w:rFonts w:cs="宋体"/>
                <w:color w:val="auto"/>
                <w:kern w:val="0"/>
                <w:sz w:val="24"/>
                <w:szCs w:val="24"/>
              </w:rPr>
              <w:t>与M7相同（8维，含Barycenter特征）</w:t>
            </w:r>
          </w:p>
        </w:tc>
      </w:tr>
    </w:tbl>
    <w:p w14:paraId="65C60C19">
      <w:r>
        <w:t>M</w:t>
      </w:r>
      <w:r>
        <w:rPr>
          <w:rFonts w:hint="eastAsia"/>
        </w:rPr>
        <w:t>10</w:t>
      </w:r>
      <w:r>
        <w:t>的三项核心创新</w:t>
      </w:r>
    </w:p>
    <w:p w14:paraId="689076B1">
      <w:r>
        <w:t xml:space="preserve"> </w:t>
      </w:r>
      <w:r>
        <w:rPr>
          <w:rFonts w:hint="eastAsia"/>
        </w:rPr>
        <w:t xml:space="preserve">  </w:t>
      </w:r>
      <w:r>
        <w:rPr>
          <w:b/>
          <w:bCs/>
        </w:rPr>
        <w:t>首次将双向Mamba SSM应用于分布风险预测</w:t>
      </w:r>
      <w:r>
        <w:t xml:space="preserve">：据我们所知，这是首个采用选择性状态空间模型与双向处理进行条件收益分布预测的研究，提供线性复杂度的序列建模与输入依赖的时间选择性。 </w:t>
      </w:r>
    </w:p>
    <w:p w14:paraId="0440C618">
      <w:pPr>
        <w:ind w:firstLine="280" w:firstLineChars="100"/>
      </w:pPr>
      <w:r>
        <w:rPr>
          <w:rFonts w:hint="eastAsia"/>
        </w:rPr>
        <w:t xml:space="preserve">  </w:t>
      </w:r>
      <w:r>
        <w:rPr>
          <w:b/>
          <w:bCs/>
        </w:rPr>
        <w:t>RevIN用于金融分布偏移</w:t>
      </w:r>
      <w:r>
        <w:t>：实例级归一化在每个时间步自适应地去除跨体制分布偏移，同时保留完整计算图以实现端到端训练，与假设特征分布平稳的全局标准化存在本质区别。</w:t>
      </w:r>
    </w:p>
    <w:p w14:paraId="1475B007">
      <w:pPr>
        <w:ind w:firstLine="560" w:firstLineChars="200"/>
      </w:pPr>
      <w:r>
        <w:t xml:space="preserve"> </w:t>
      </w:r>
      <w:r>
        <w:rPr>
          <w:b/>
          <w:bCs/>
        </w:rPr>
        <w:t>直接输出可解释的偏态t分布参数</w:t>
      </w:r>
      <w:r>
        <w:t>：提供位置、尺度、尾部厚度和不对称性的可解释风险分解，每个参数具有明确的金融含义。</w:t>
      </w:r>
    </w:p>
    <w:p w14:paraId="6A71ACE2">
      <w:r>
        <w:rPr>
          <w:rFonts w:hint="eastAsia"/>
        </w:rPr>
        <w:t>（12）</w:t>
      </w:r>
      <w:r>
        <w:t>关于GARCH模型VaR/ES计算的重要技术说明</w:t>
      </w:r>
    </w:p>
    <w:p w14:paraId="260258A8">
      <w:pPr>
        <w:ind w:firstLine="560" w:firstLineChars="200"/>
      </w:pPr>
      <w:r>
        <w:t>GARCH类模型（M2-M4）的VaR/ES计算需使用标准化残差分布的分位数函数，而非原始收益分布的分位数。具体而言：</w:t>
      </w:r>
    </w:p>
    <w:p w14:paraId="430FF6DA">
      <w:r>
        <w:t>设GARCH模型在时点 (t) 对 (t+1) 的条件波动率预测为</w:t>
      </w:r>
      <w:r>
        <w:rPr>
          <w:rFonts w:hint="eastAsia"/>
          <w:position w:val="-14"/>
        </w:rPr>
        <w:object>
          <v:shape id="_x0000_i1103" o:spt="75" type="#_x0000_t75" style="height:20.2pt;width:31.1pt;" o:ole="t" filled="f" o:preferrelative="t" stroked="f" coordsize="21600,21600">
            <v:path/>
            <v:fill on="f" focussize="0,0"/>
            <v:stroke on="f" joinstyle="miter"/>
            <v:imagedata r:id="rId177" o:title=""/>
            <o:lock v:ext="edit" aspectratio="t"/>
            <w10:wrap type="none"/>
            <w10:anchorlock/>
          </v:shape>
          <o:OLEObject Type="Embed" ProgID="Equation.DSMT4" ShapeID="_x0000_i1103" DrawAspect="Content" ObjectID="_1468075803" r:id="rId176">
            <o:LockedField>false</o:LockedField>
          </o:OLEObject>
        </w:object>
      </w:r>
      <w:r>
        <w:t>，条件均值预测为</w:t>
      </w:r>
      <w:r>
        <w:rPr>
          <w:rFonts w:hint="eastAsia"/>
          <w:kern w:val="0"/>
          <w:position w:val="-14"/>
        </w:rPr>
        <w:object>
          <v:shape id="_x0000_i1104" o:spt="75" type="#_x0000_t75" style="height:20.2pt;width:27.8pt;" o:ole="t" filled="f" o:preferrelative="t" stroked="f" coordsize="21600,21600">
            <v:path/>
            <v:fill on="f" focussize="0,0"/>
            <v:stroke on="f" joinstyle="miter"/>
            <v:imagedata r:id="rId179" o:title=""/>
            <o:lock v:ext="edit" aspectratio="t"/>
            <w10:wrap type="none"/>
            <w10:anchorlock/>
          </v:shape>
          <o:OLEObject Type="Embed" ProgID="Equation.DSMT4" ShapeID="_x0000_i1104" DrawAspect="Content" ObjectID="_1468075804" r:id="rId178">
            <o:LockedField>false</o:LockedField>
          </o:OLEObject>
        </w:object>
      </w:r>
      <w:r>
        <w:t xml:space="preserve"> ，则：</w:t>
      </w:r>
    </w:p>
    <w:p w14:paraId="567DF085">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t+1</m:t>
              </m:r>
              <m:ctrlPr>
                <w:rPr>
                  <w:rFonts w:ascii="Cambria Math" w:hAnsi="Cambria Math"/>
                </w:rPr>
              </m:ctrlPr>
            </m:sub>
          </m:sSub>
        </m:oMath>
      </m:oMathPara>
    </w:p>
    <w:p w14:paraId="38810AAA">
      <w:r>
        <w:t xml:space="preserve">其中 </w:t>
      </w:r>
      <w:r>
        <w:rPr>
          <w:rFonts w:hint="eastAsia"/>
          <w:kern w:val="0"/>
          <w:position w:val="-14"/>
        </w:rPr>
        <w:object>
          <v:shape id="_x0000_i1105" o:spt="75" type="#_x0000_t75" style="height:20.2pt;width:28.9pt;" o:ole="t" filled="f" o:preferrelative="t" stroked="f" coordsize="21600,21600">
            <v:path/>
            <v:fill on="f" focussize="0,0"/>
            <v:stroke on="f" joinstyle="miter"/>
            <v:imagedata r:id="rId181" o:title=""/>
            <o:lock v:ext="edit" aspectratio="t"/>
            <w10:wrap type="none"/>
            <w10:anchorlock/>
          </v:shape>
          <o:OLEObject Type="Embed" ProgID="Equation.DSMT4" ShapeID="_x0000_i1105" DrawAspect="Content" ObjectID="_1468075805" r:id="rId180">
            <o:LockedField>false</o:LockedField>
          </o:OLEObject>
        </w:object>
      </w:r>
      <w:r>
        <w:t>服从标准化残差分布。因此：</w:t>
      </w:r>
    </w:p>
    <w:p w14:paraId="4982E842">
      <m:oMathPara>
        <m:oMath>
          <m:r>
            <m:rPr/>
            <w:rPr>
              <w:rFonts w:ascii="Cambria Math" w:hAnsi="Cambria Math"/>
            </w:rPr>
            <m:t>Va</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α</m:t>
              </m:r>
              <m:ctrlPr>
                <w:rPr>
                  <w:rFonts w:ascii="Cambria Math" w:hAnsi="Cambria Math"/>
                </w:rPr>
              </m:ctrlPr>
            </m:sub>
          </m:sSub>
          <m:r>
            <m:rPr/>
            <w:rPr>
              <w:rFonts w:ascii="Cambria Math" w:hAnsi="Cambria Math"/>
            </w:rPr>
            <m:t>(z))</m:t>
          </m:r>
        </m:oMath>
      </m:oMathPara>
    </w:p>
    <w:p w14:paraId="3E151746">
      <w:r>
        <w:t>其中</w:t>
      </w:r>
      <w:r>
        <w:rPr>
          <w:rFonts w:hint="eastAsia"/>
          <w:kern w:val="0"/>
          <w:position w:val="-14"/>
        </w:rPr>
        <w:object>
          <v:shape id="_x0000_i1106" o:spt="75" type="#_x0000_t75" style="height:20.2pt;width:40.9pt;" o:ole="t" filled="f" o:preferrelative="t" stroked="f" coordsize="21600,21600">
            <v:path/>
            <v:fill on="f" focussize="0,0"/>
            <v:stroke on="f" joinstyle="miter"/>
            <v:imagedata r:id="rId183" o:title=""/>
            <o:lock v:ext="edit" aspectratio="t"/>
            <w10:wrap type="none"/>
            <w10:anchorlock/>
          </v:shape>
          <o:OLEObject Type="Embed" ProgID="Equation.DSMT4" ShapeID="_x0000_i1106" DrawAspect="Content" ObjectID="_1468075806" r:id="rId182">
            <o:LockedField>false</o:LockedField>
          </o:OLEObject>
        </w:object>
      </w:r>
      <w:r>
        <w:t>是标准化残差分布的 (</w:t>
      </w:r>
      <w:r>
        <w:rPr>
          <w:rFonts w:hint="eastAsia"/>
          <w:position w:val="-6"/>
        </w:rPr>
        <w:object>
          <v:shape id="_x0000_i1107" o:spt="75" type="#_x0000_t75" style="height:10.9pt;width:12pt;" o:ole="t" filled="f" o:preferrelative="t" stroked="f" coordsize="21600,21600">
            <v:path/>
            <v:fill on="f" focussize="0,0"/>
            <v:stroke on="f" joinstyle="miter"/>
            <v:imagedata r:id="rId185" o:title=""/>
            <o:lock v:ext="edit" aspectratio="t"/>
            <w10:wrap type="none"/>
            <w10:anchorlock/>
          </v:shape>
          <o:OLEObject Type="Embed" ProgID="Equation.DSMT4" ShapeID="_x0000_i1107" DrawAspect="Content" ObjectID="_1468075807" r:id="rId184">
            <o:LockedField>false</o:LockedField>
          </o:OLEObject>
        </w:object>
      </w:r>
      <w:r>
        <w:t>) 分位数。</w:t>
      </w:r>
    </w:p>
    <w:p w14:paraId="4A2AB677">
      <w:pPr>
        <w:ind w:firstLine="560" w:firstLineChars="200"/>
      </w:pPr>
      <w:r>
        <w:t xml:space="preserve">对于 M3 GARCH-t 模型，必须使用 arch 库原生 StudentsT 类计算分位数（其为单位方差 student-t，方差 = </w:t>
      </w:r>
      <w:r>
        <w:rPr>
          <w:rFonts w:hint="eastAsia"/>
          <w:position w:val="-28"/>
        </w:rPr>
        <w:object>
          <v:shape id="_x0000_i1108" o:spt="75" type="#_x0000_t75" style="height:33.8pt;width:39.8pt;" o:ole="t" filled="f" o:preferrelative="t" stroked="f" coordsize="21600,21600">
            <v:path/>
            <v:fill on="f" focussize="0,0"/>
            <v:stroke on="f" joinstyle="miter"/>
            <v:imagedata r:id="rId187" o:title=""/>
            <o:lock v:ext="edit" aspectratio="t"/>
            <w10:wrap type="none"/>
            <w10:anchorlock/>
          </v:shape>
          <o:OLEObject Type="Embed" ProgID="Equation.DSMT4" ShapeID="_x0000_i1108" DrawAspect="Content" ObjectID="_1468075808" r:id="rId186">
            <o:LockedField>false</o:LockedField>
          </o:OLEObject>
        </w:object>
      </w:r>
      <w:r>
        <w:t xml:space="preserve">已归一化），而非使用 scipy 的 stats.t.ppf（方差为 </w:t>
      </w:r>
      <w:r>
        <w:rPr>
          <w:rFonts w:hint="eastAsia"/>
          <w:position w:val="-28"/>
        </w:rPr>
        <w:object>
          <v:shape id="_x0000_i1109" o:spt="75" type="#_x0000_t75" style="height:33.8pt;width:39.8pt;" o:ole="t" filled="f" o:preferrelative="t" stroked="f" coordsize="21600,21600">
            <v:path/>
            <v:fill on="f" focussize="0,0"/>
            <v:stroke on="f" joinstyle="miter"/>
            <v:imagedata r:id="rId187" o:title=""/>
            <o:lock v:ext="edit" aspectratio="t"/>
            <w10:wrap type="none"/>
            <w10:anchorlock/>
          </v:shape>
          <o:OLEObject Type="Embed" ProgID="Equation.DSMT4" ShapeID="_x0000_i1109" DrawAspect="Content" ObjectID="_1468075809" r:id="rId188">
            <o:LockedField>false</o:LockedField>
          </o:OLEObject>
        </w:object>
      </w:r>
      <w:r>
        <w:t xml:space="preserve"> 的非标准化t分布）。若误用 scipy 的 stats.t.ppf，会导致 VaR 被系统性地低估，VaR 阈值偏低，违约率偏高。</w:t>
      </w:r>
    </w:p>
    <w:p w14:paraId="63A6CB7F">
      <w:pPr>
        <w:ind w:firstLine="560" w:firstLineChars="200"/>
      </w:pPr>
      <w:r>
        <w:t>对于 M4 GARCH-skew-t 模型，必须使用 arch 库原生 SkewStudent 类计算分位数和 partial moment，以确保偏态参数</w:t>
      </w:r>
      <w:r>
        <w:rPr>
          <w:rFonts w:hint="eastAsia"/>
          <w:position w:val="-6"/>
        </w:rPr>
        <w:object>
          <v:shape id="_x0000_i1110" o:spt="75" type="#_x0000_t75" style="height:14.2pt;width:10.9pt;" o:ole="t" filled="f" o:preferrelative="t" stroked="f" coordsize="21600,21600">
            <v:path/>
            <v:fill on="f" focussize="0,0"/>
            <v:stroke on="f" joinstyle="miter"/>
            <v:imagedata r:id="rId190" o:title=""/>
            <o:lock v:ext="edit" aspectratio="t"/>
            <w10:wrap type="none"/>
            <w10:anchorlock/>
          </v:shape>
          <o:OLEObject Type="Embed" ProgID="Equation.DSMT4" ShapeID="_x0000_i1110" DrawAspect="Content" ObjectID="_1468075810" r:id="rId189">
            <o:LockedField>false</o:LockedField>
          </o:OLEObject>
        </w:object>
      </w:r>
      <w:r>
        <w:t xml:space="preserve"> 被正确纳入 VaR/ES 计算。</w:t>
      </w:r>
    </w:p>
    <w:p w14:paraId="10D99FEE">
      <w:pPr>
        <w:ind w:firstLine="560" w:firstLineChars="200"/>
      </w:pPr>
      <w:r>
        <w:t>关于 M3 GARCH-t 的 ES 计算，公式为：</w:t>
      </w:r>
    </w:p>
    <w:p w14:paraId="5CB630BB">
      <m:oMathPara>
        <m:oMath>
          <m:r>
            <m:rPr/>
            <w:rPr>
              <w:rFonts w:ascii="Cambria Math" w:hAnsi="Cambria Math"/>
            </w:rPr>
            <m:t>ES=−</m:t>
          </m:r>
          <m:d>
            <m:dPr>
              <m:ctrlPr>
                <w:rPr>
                  <w:rFonts w:ascii="Cambria Math" w:hAnsi="Cambria Math"/>
                </w:rPr>
              </m:ctrlPr>
            </m:dPr>
            <m:e>
              <m:r>
                <m:rPr/>
                <w:rPr>
                  <w:rFonts w:ascii="Cambria Math" w:hAnsi="Cambria Math"/>
                </w:rPr>
                <m:t>μ+σ⋅</m:t>
              </m:r>
              <m:f>
                <m:fPr>
                  <m:ctrlPr>
                    <w:rPr>
                      <w:rFonts w:ascii="Cambria Math" w:hAnsi="Cambria Math"/>
                    </w:rPr>
                  </m:ctrlPr>
                </m:fPr>
                <m:num>
                  <m:r>
                    <m:rPr/>
                    <w:rPr>
                      <w:rFonts w:ascii="Cambria Math" w:hAnsi="Cambria Math"/>
                    </w:rPr>
                    <m:t>PM(1,</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α</m:t>
                      </m:r>
                      <m:ctrlPr>
                        <w:rPr>
                          <w:rFonts w:ascii="Cambria Math" w:hAnsi="Cambria Math"/>
                        </w:rPr>
                      </m:ctrlPr>
                    </m:sub>
                  </m:sSub>
                  <m:r>
                    <m:rPr/>
                    <w:rPr>
                      <w:rFonts w:ascii="Cambria Math" w:hAnsi="Cambria Math"/>
                    </w:rPr>
                    <m:t>)</m:t>
                  </m:r>
                  <m:ctrlPr>
                    <w:rPr>
                      <w:rFonts w:ascii="Cambria Math" w:hAnsi="Cambria Math"/>
                    </w:rPr>
                  </m:ctrlPr>
                </m:num>
                <m:den>
                  <m:r>
                    <m:rPr/>
                    <w:rPr>
                      <w:rFonts w:ascii="Cambria Math" w:hAnsi="Cambria Math"/>
                    </w:rPr>
                    <m:t>α</m:t>
                  </m:r>
                  <m:ctrlPr>
                    <w:rPr>
                      <w:rFonts w:ascii="Cambria Math" w:hAnsi="Cambria Math"/>
                    </w:rPr>
                  </m:ctrlPr>
                </m:den>
              </m:f>
              <m:ctrlPr>
                <w:rPr>
                  <w:rFonts w:ascii="Cambria Math" w:hAnsi="Cambria Math"/>
                </w:rPr>
              </m:ctrlPr>
            </m:e>
          </m:d>
        </m:oMath>
      </m:oMathPara>
    </w:p>
    <w:p w14:paraId="49AE51A0">
      <w:pPr>
        <w:ind w:firstLine="560" w:firstLineChars="200"/>
      </w:pPr>
      <w:r>
        <w:t xml:space="preserve">其中 </w:t>
      </w:r>
      <w:r>
        <w:rPr>
          <w:rFonts w:hint="eastAsia"/>
          <w:position w:val="-14"/>
        </w:rPr>
        <w:object>
          <v:shape id="_x0000_i1111" o:spt="75" type="#_x0000_t75" style="height:20.2pt;width:62.2pt;" o:ole="t" filled="f" o:preferrelative="t" stroked="f" coordsize="21600,21600">
            <v:path/>
            <v:fill on="f" focussize="0,0"/>
            <v:stroke on="f" joinstyle="miter"/>
            <v:imagedata r:id="rId192" o:title=""/>
            <o:lock v:ext="edit" aspectratio="t"/>
            <w10:wrap type="none"/>
            <w10:anchorlock/>
          </v:shape>
          <o:OLEObject Type="Embed" ProgID="Equation.DSMT4" ShapeID="_x0000_i1111" DrawAspect="Content" ObjectID="_1468075811" r:id="rId191">
            <o:LockedField>false</o:LockedField>
          </o:OLEObject>
        </w:object>
      </w:r>
      <w:r>
        <w:t xml:space="preserve"> 是标准化残差分布在阈值 </w:t>
      </w:r>
      <w:r>
        <w:rPr>
          <w:rFonts w:hint="eastAsia"/>
          <w:position w:val="-12"/>
        </w:rPr>
        <w:object>
          <v:shape id="_x0000_i1112" o:spt="75" type="#_x0000_t75" style="height:18pt;width:14.2pt;" o:ole="t" filled="f" o:preferrelative="t" stroked="f" coordsize="21600,21600">
            <v:path/>
            <v:fill on="f" focussize="0,0"/>
            <v:stroke on="f" joinstyle="miter"/>
            <v:imagedata r:id="rId194" o:title=""/>
            <o:lock v:ext="edit" aspectratio="t"/>
            <w10:wrap type="none"/>
            <w10:anchorlock/>
          </v:shape>
          <o:OLEObject Type="Embed" ProgID="Equation.DSMT4" ShapeID="_x0000_i1112" DrawAspect="Content" ObjectID="_1468075812" r:id="rId193">
            <o:LockedField>false</o:LockedField>
          </o:OLEObject>
        </w:object>
      </w:r>
      <w:r>
        <w:t xml:space="preserve"> 处的 partial moment（一阶尾部期望，非中心化的 </w:t>
      </w:r>
      <w:r>
        <w:rPr>
          <w:rFonts w:hint="eastAsia"/>
          <w:position w:val="-14"/>
        </w:rPr>
        <w:object>
          <v:shape id="_x0000_i1113" o:spt="75" type="#_x0000_t75" style="height:20.2pt;width:76.9pt;" o:ole="t" filled="f" o:preferrelative="t" stroked="f" coordsize="21600,21600">
            <v:path/>
            <v:fill on="f" focussize="0,0"/>
            <v:stroke on="f" joinstyle="miter"/>
            <v:imagedata r:id="rId196" o:title=""/>
            <o:lock v:ext="edit" aspectratio="t"/>
            <w10:wrap type="none"/>
            <w10:anchorlock/>
          </v:shape>
          <o:OLEObject Type="Embed" ProgID="Equation.DSMT4" ShapeID="_x0000_i1113" DrawAspect="Content" ObjectID="_1468075813" r:id="rId195">
            <o:LockedField>false</o:LockedField>
          </o:OLEObject>
        </w:object>
      </w:r>
      <w:r>
        <w:t>。</w:t>
      </w:r>
    </w:p>
    <w:p w14:paraId="5241EBC7">
      <w:pPr>
        <w:pStyle w:val="4"/>
      </w:pPr>
      <w:r>
        <w:rPr>
          <w:rFonts w:hint="eastAsia"/>
        </w:rPr>
        <w:t>6.1.8</w:t>
      </w:r>
      <w:r>
        <w:t>模型比较框架</w:t>
      </w:r>
    </w:p>
    <w:p w14:paraId="45FF1AF1">
      <w:pPr>
        <w:ind w:firstLine="560" w:firstLineChars="200"/>
      </w:pPr>
      <w:r>
        <w:t>本文最终构造如下模型比较体系：</w:t>
      </w:r>
    </w:p>
    <w:tbl>
      <w:tblPr>
        <w:tblStyle w:val="41"/>
        <w:tblW w:w="8782" w:type="dxa"/>
        <w:tblInd w:w="-142"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4"/>
        <w:gridCol w:w="2182"/>
        <w:gridCol w:w="1260"/>
        <w:gridCol w:w="1857"/>
        <w:gridCol w:w="1665"/>
        <w:gridCol w:w="994"/>
      </w:tblGrid>
      <w:tr w14:paraId="165956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tcBorders>
              <w:bottom w:val="single" w:color="auto" w:sz="6" w:space="0"/>
            </w:tcBorders>
            <w:vAlign w:val="center"/>
          </w:tcPr>
          <w:p w14:paraId="23FE0F48">
            <w:pPr>
              <w:pStyle w:val="43"/>
              <w:jc w:val="center"/>
            </w:pPr>
            <w:r>
              <w:t>编号</w:t>
            </w:r>
          </w:p>
        </w:tc>
        <w:tc>
          <w:tcPr>
            <w:tcW w:w="0" w:type="auto"/>
            <w:tcBorders>
              <w:bottom w:val="single" w:color="auto" w:sz="6" w:space="0"/>
            </w:tcBorders>
            <w:vAlign w:val="center"/>
          </w:tcPr>
          <w:p w14:paraId="649D0C81">
            <w:pPr>
              <w:pStyle w:val="43"/>
              <w:jc w:val="center"/>
            </w:pPr>
            <w:r>
              <w:t>模型名称</w:t>
            </w:r>
          </w:p>
        </w:tc>
        <w:tc>
          <w:tcPr>
            <w:tcW w:w="0" w:type="auto"/>
            <w:tcBorders>
              <w:bottom w:val="single" w:color="auto" w:sz="6" w:space="0"/>
            </w:tcBorders>
            <w:vAlign w:val="center"/>
          </w:tcPr>
          <w:p w14:paraId="77F59869">
            <w:pPr>
              <w:pStyle w:val="43"/>
              <w:jc w:val="center"/>
            </w:pPr>
            <w:r>
              <w:t>模型类型</w:t>
            </w:r>
          </w:p>
        </w:tc>
        <w:tc>
          <w:tcPr>
            <w:tcW w:w="0" w:type="auto"/>
            <w:tcBorders>
              <w:bottom w:val="single" w:color="auto" w:sz="6" w:space="0"/>
            </w:tcBorders>
            <w:vAlign w:val="center"/>
          </w:tcPr>
          <w:p w14:paraId="23E4F566">
            <w:pPr>
              <w:pStyle w:val="43"/>
              <w:jc w:val="center"/>
            </w:pPr>
            <w:r>
              <w:t>输入变量</w:t>
            </w:r>
          </w:p>
        </w:tc>
        <w:tc>
          <w:tcPr>
            <w:tcW w:w="0" w:type="auto"/>
            <w:tcBorders>
              <w:bottom w:val="single" w:color="auto" w:sz="6" w:space="0"/>
            </w:tcBorders>
            <w:vAlign w:val="center"/>
          </w:tcPr>
          <w:p w14:paraId="21A70A45">
            <w:pPr>
              <w:pStyle w:val="43"/>
              <w:jc w:val="center"/>
            </w:pPr>
            <w:r>
              <w:t>是否包含Barycenter</w:t>
            </w:r>
          </w:p>
        </w:tc>
        <w:tc>
          <w:tcPr>
            <w:tcW w:w="0" w:type="auto"/>
            <w:tcBorders>
              <w:bottom w:val="single" w:color="auto" w:sz="6" w:space="0"/>
            </w:tcBorders>
            <w:vAlign w:val="center"/>
          </w:tcPr>
          <w:p w14:paraId="2041C618">
            <w:pPr>
              <w:pStyle w:val="43"/>
              <w:jc w:val="center"/>
            </w:pPr>
            <w:r>
              <w:t>分布假设</w:t>
            </w:r>
          </w:p>
        </w:tc>
      </w:tr>
      <w:tr w14:paraId="6CA260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tcBorders>
              <w:top w:val="single" w:color="auto" w:sz="6" w:space="0"/>
            </w:tcBorders>
            <w:vAlign w:val="center"/>
          </w:tcPr>
          <w:p w14:paraId="7C47B1B9">
            <w:pPr>
              <w:pStyle w:val="43"/>
              <w:jc w:val="center"/>
            </w:pPr>
            <w:r>
              <w:t>M0</w:t>
            </w:r>
          </w:p>
        </w:tc>
        <w:tc>
          <w:tcPr>
            <w:tcW w:w="0" w:type="auto"/>
            <w:tcBorders>
              <w:top w:val="single" w:color="auto" w:sz="6" w:space="0"/>
            </w:tcBorders>
            <w:vAlign w:val="center"/>
          </w:tcPr>
          <w:p w14:paraId="657A0775">
            <w:pPr>
              <w:pStyle w:val="43"/>
              <w:jc w:val="center"/>
            </w:pPr>
            <w:r>
              <w:t>Historical Simulation</w:t>
            </w:r>
          </w:p>
        </w:tc>
        <w:tc>
          <w:tcPr>
            <w:tcW w:w="0" w:type="auto"/>
            <w:tcBorders>
              <w:top w:val="single" w:color="auto" w:sz="6" w:space="0"/>
            </w:tcBorders>
            <w:vAlign w:val="center"/>
          </w:tcPr>
          <w:p w14:paraId="157CFA15">
            <w:pPr>
              <w:pStyle w:val="43"/>
              <w:jc w:val="center"/>
            </w:pPr>
            <w:r>
              <w:t>非参数传统模型</w:t>
            </w:r>
          </w:p>
        </w:tc>
        <w:tc>
          <w:tcPr>
            <w:tcW w:w="0" w:type="auto"/>
            <w:tcBorders>
              <w:top w:val="single" w:color="auto" w:sz="6" w:space="0"/>
            </w:tcBorders>
            <w:vAlign w:val="center"/>
          </w:tcPr>
          <w:p w14:paraId="7692C4A7">
            <w:pPr>
              <w:pStyle w:val="43"/>
              <w:jc w:val="center"/>
            </w:pPr>
            <w:r>
              <w:t>沪深300历史收益</w:t>
            </w:r>
          </w:p>
        </w:tc>
        <w:tc>
          <w:tcPr>
            <w:tcW w:w="0" w:type="auto"/>
            <w:tcBorders>
              <w:top w:val="single" w:color="auto" w:sz="6" w:space="0"/>
            </w:tcBorders>
            <w:vAlign w:val="center"/>
          </w:tcPr>
          <w:p w14:paraId="778F3061">
            <w:pPr>
              <w:pStyle w:val="43"/>
              <w:jc w:val="center"/>
            </w:pPr>
            <w:r>
              <w:t>否</w:t>
            </w:r>
          </w:p>
        </w:tc>
        <w:tc>
          <w:tcPr>
            <w:tcW w:w="0" w:type="auto"/>
            <w:tcBorders>
              <w:top w:val="single" w:color="auto" w:sz="6" w:space="0"/>
            </w:tcBorders>
            <w:vAlign w:val="center"/>
          </w:tcPr>
          <w:p w14:paraId="4B3FE0DD">
            <w:pPr>
              <w:pStyle w:val="43"/>
              <w:jc w:val="center"/>
            </w:pPr>
            <w:r>
              <w:t>无</w:t>
            </w:r>
          </w:p>
        </w:tc>
      </w:tr>
      <w:tr w14:paraId="47DCC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2C520755">
            <w:pPr>
              <w:pStyle w:val="43"/>
              <w:jc w:val="center"/>
            </w:pPr>
            <w:r>
              <w:t>M1</w:t>
            </w:r>
          </w:p>
        </w:tc>
        <w:tc>
          <w:tcPr>
            <w:tcW w:w="0" w:type="auto"/>
            <w:vAlign w:val="center"/>
          </w:tcPr>
          <w:p w14:paraId="61F00A57">
            <w:pPr>
              <w:pStyle w:val="43"/>
              <w:jc w:val="center"/>
            </w:pPr>
            <w:r>
              <w:t>EWMA-Normal</w:t>
            </w:r>
          </w:p>
        </w:tc>
        <w:tc>
          <w:tcPr>
            <w:tcW w:w="0" w:type="auto"/>
            <w:vAlign w:val="center"/>
          </w:tcPr>
          <w:p w14:paraId="50C989DD">
            <w:pPr>
              <w:pStyle w:val="43"/>
              <w:jc w:val="center"/>
            </w:pPr>
            <w:r>
              <w:t>参数波动率模型</w:t>
            </w:r>
          </w:p>
        </w:tc>
        <w:tc>
          <w:tcPr>
            <w:tcW w:w="0" w:type="auto"/>
            <w:vAlign w:val="center"/>
          </w:tcPr>
          <w:p w14:paraId="5EBAD074">
            <w:pPr>
              <w:pStyle w:val="43"/>
              <w:jc w:val="center"/>
            </w:pPr>
            <w:r>
              <w:t>沪深300历史收益</w:t>
            </w:r>
          </w:p>
        </w:tc>
        <w:tc>
          <w:tcPr>
            <w:tcW w:w="0" w:type="auto"/>
            <w:vAlign w:val="center"/>
          </w:tcPr>
          <w:p w14:paraId="3FDBE4EE">
            <w:pPr>
              <w:pStyle w:val="43"/>
              <w:jc w:val="center"/>
            </w:pPr>
            <w:r>
              <w:t>否</w:t>
            </w:r>
          </w:p>
        </w:tc>
        <w:tc>
          <w:tcPr>
            <w:tcW w:w="0" w:type="auto"/>
            <w:vAlign w:val="center"/>
          </w:tcPr>
          <w:p w14:paraId="71EA62CA">
            <w:pPr>
              <w:pStyle w:val="43"/>
              <w:jc w:val="center"/>
            </w:pPr>
            <w:r>
              <w:t>正态分布</w:t>
            </w:r>
          </w:p>
        </w:tc>
      </w:tr>
      <w:tr w14:paraId="28EB1F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7AF9A32C">
            <w:pPr>
              <w:pStyle w:val="43"/>
              <w:jc w:val="center"/>
            </w:pPr>
            <w:r>
              <w:t>M2</w:t>
            </w:r>
          </w:p>
        </w:tc>
        <w:tc>
          <w:tcPr>
            <w:tcW w:w="0" w:type="auto"/>
            <w:vAlign w:val="center"/>
          </w:tcPr>
          <w:p w14:paraId="55F5B93B">
            <w:pPr>
              <w:pStyle w:val="43"/>
              <w:jc w:val="center"/>
            </w:pPr>
            <w:r>
              <w:t>GARCH-Normal</w:t>
            </w:r>
          </w:p>
        </w:tc>
        <w:tc>
          <w:tcPr>
            <w:tcW w:w="0" w:type="auto"/>
            <w:vAlign w:val="center"/>
          </w:tcPr>
          <w:p w14:paraId="4ECFFC27">
            <w:pPr>
              <w:pStyle w:val="43"/>
              <w:jc w:val="center"/>
            </w:pPr>
            <w:r>
              <w:t>计量金融模型</w:t>
            </w:r>
          </w:p>
        </w:tc>
        <w:tc>
          <w:tcPr>
            <w:tcW w:w="0" w:type="auto"/>
            <w:vAlign w:val="center"/>
          </w:tcPr>
          <w:p w14:paraId="1C093757">
            <w:pPr>
              <w:pStyle w:val="43"/>
              <w:jc w:val="center"/>
            </w:pPr>
            <w:r>
              <w:t>沪深300历史收益</w:t>
            </w:r>
          </w:p>
        </w:tc>
        <w:tc>
          <w:tcPr>
            <w:tcW w:w="0" w:type="auto"/>
            <w:vAlign w:val="center"/>
          </w:tcPr>
          <w:p w14:paraId="289CCFE9">
            <w:pPr>
              <w:pStyle w:val="43"/>
              <w:jc w:val="center"/>
            </w:pPr>
            <w:r>
              <w:t>否</w:t>
            </w:r>
          </w:p>
        </w:tc>
        <w:tc>
          <w:tcPr>
            <w:tcW w:w="0" w:type="auto"/>
            <w:vAlign w:val="center"/>
          </w:tcPr>
          <w:p w14:paraId="22E0E62D">
            <w:pPr>
              <w:pStyle w:val="43"/>
              <w:jc w:val="center"/>
            </w:pPr>
            <w:r>
              <w:t>正态分布</w:t>
            </w:r>
          </w:p>
        </w:tc>
      </w:tr>
      <w:tr w14:paraId="2EE618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5F27DC7D">
            <w:pPr>
              <w:pStyle w:val="43"/>
              <w:jc w:val="center"/>
            </w:pPr>
            <w:r>
              <w:t>M3</w:t>
            </w:r>
          </w:p>
        </w:tc>
        <w:tc>
          <w:tcPr>
            <w:tcW w:w="0" w:type="auto"/>
            <w:vAlign w:val="center"/>
          </w:tcPr>
          <w:p w14:paraId="17429230">
            <w:pPr>
              <w:pStyle w:val="43"/>
              <w:jc w:val="center"/>
            </w:pPr>
            <w:r>
              <w:t>GARCH-t</w:t>
            </w:r>
          </w:p>
        </w:tc>
        <w:tc>
          <w:tcPr>
            <w:tcW w:w="0" w:type="auto"/>
            <w:vAlign w:val="center"/>
          </w:tcPr>
          <w:p w14:paraId="6FEEE8B1">
            <w:pPr>
              <w:pStyle w:val="43"/>
              <w:jc w:val="center"/>
            </w:pPr>
            <w:r>
              <w:t>计量金融模型</w:t>
            </w:r>
          </w:p>
        </w:tc>
        <w:tc>
          <w:tcPr>
            <w:tcW w:w="0" w:type="auto"/>
            <w:vAlign w:val="center"/>
          </w:tcPr>
          <w:p w14:paraId="3B61C36A">
            <w:pPr>
              <w:pStyle w:val="43"/>
              <w:jc w:val="center"/>
            </w:pPr>
            <w:r>
              <w:t>沪深300历史收益</w:t>
            </w:r>
          </w:p>
        </w:tc>
        <w:tc>
          <w:tcPr>
            <w:tcW w:w="0" w:type="auto"/>
            <w:vAlign w:val="center"/>
          </w:tcPr>
          <w:p w14:paraId="30928FC0">
            <w:pPr>
              <w:pStyle w:val="43"/>
              <w:jc w:val="center"/>
            </w:pPr>
            <w:r>
              <w:t>否</w:t>
            </w:r>
          </w:p>
        </w:tc>
        <w:tc>
          <w:tcPr>
            <w:tcW w:w="0" w:type="auto"/>
            <w:vAlign w:val="center"/>
          </w:tcPr>
          <w:p w14:paraId="01A19537">
            <w:pPr>
              <w:pStyle w:val="43"/>
              <w:jc w:val="center"/>
            </w:pPr>
            <w:r>
              <w:t>学生t分布</w:t>
            </w:r>
          </w:p>
        </w:tc>
      </w:tr>
      <w:tr w14:paraId="4FC3F2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4C339A9B">
            <w:pPr>
              <w:pStyle w:val="43"/>
              <w:jc w:val="center"/>
            </w:pPr>
            <w:r>
              <w:t>M4</w:t>
            </w:r>
          </w:p>
        </w:tc>
        <w:tc>
          <w:tcPr>
            <w:tcW w:w="0" w:type="auto"/>
            <w:vAlign w:val="center"/>
          </w:tcPr>
          <w:p w14:paraId="72BF1325">
            <w:pPr>
              <w:pStyle w:val="43"/>
              <w:jc w:val="center"/>
            </w:pPr>
            <w:r>
              <w:t>GARCH-skew-t</w:t>
            </w:r>
          </w:p>
        </w:tc>
        <w:tc>
          <w:tcPr>
            <w:tcW w:w="0" w:type="auto"/>
            <w:vAlign w:val="center"/>
          </w:tcPr>
          <w:p w14:paraId="274E6B14">
            <w:pPr>
              <w:pStyle w:val="43"/>
              <w:jc w:val="center"/>
            </w:pPr>
            <w:r>
              <w:t>计量金融模型</w:t>
            </w:r>
          </w:p>
        </w:tc>
        <w:tc>
          <w:tcPr>
            <w:tcW w:w="0" w:type="auto"/>
            <w:vAlign w:val="center"/>
          </w:tcPr>
          <w:p w14:paraId="066EA2D4">
            <w:pPr>
              <w:pStyle w:val="43"/>
              <w:jc w:val="center"/>
            </w:pPr>
            <w:r>
              <w:t>沪深300历史收益</w:t>
            </w:r>
          </w:p>
        </w:tc>
        <w:tc>
          <w:tcPr>
            <w:tcW w:w="0" w:type="auto"/>
            <w:vAlign w:val="center"/>
          </w:tcPr>
          <w:p w14:paraId="5D695A35">
            <w:pPr>
              <w:pStyle w:val="43"/>
              <w:jc w:val="center"/>
            </w:pPr>
            <w:r>
              <w:t>否</w:t>
            </w:r>
          </w:p>
        </w:tc>
        <w:tc>
          <w:tcPr>
            <w:tcW w:w="0" w:type="auto"/>
            <w:vAlign w:val="center"/>
          </w:tcPr>
          <w:p w14:paraId="2DB69020">
            <w:pPr>
              <w:pStyle w:val="43"/>
              <w:jc w:val="center"/>
            </w:pPr>
            <w:r>
              <w:t>偏态学生t分布</w:t>
            </w:r>
          </w:p>
        </w:tc>
      </w:tr>
      <w:tr w14:paraId="38DFB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2B3C8CF3">
            <w:pPr>
              <w:pStyle w:val="43"/>
              <w:jc w:val="center"/>
            </w:pPr>
            <w:r>
              <w:t>M5</w:t>
            </w:r>
          </w:p>
        </w:tc>
        <w:tc>
          <w:tcPr>
            <w:tcW w:w="0" w:type="auto"/>
            <w:vAlign w:val="center"/>
          </w:tcPr>
          <w:p w14:paraId="4CF80092">
            <w:pPr>
              <w:pStyle w:val="43"/>
              <w:jc w:val="center"/>
            </w:pPr>
            <w:r>
              <w:t>LSTM-Core</w:t>
            </w:r>
          </w:p>
        </w:tc>
        <w:tc>
          <w:tcPr>
            <w:tcW w:w="0" w:type="auto"/>
            <w:vAlign w:val="center"/>
          </w:tcPr>
          <w:p w14:paraId="613AC704">
            <w:pPr>
              <w:pStyle w:val="43"/>
              <w:jc w:val="center"/>
            </w:pPr>
            <w:r>
              <w:t>深度学习LSTM</w:t>
            </w:r>
          </w:p>
        </w:tc>
        <w:tc>
          <w:tcPr>
            <w:tcW w:w="0" w:type="auto"/>
            <w:vAlign w:val="center"/>
          </w:tcPr>
          <w:p w14:paraId="26F1C676">
            <w:pPr>
              <w:pStyle w:val="43"/>
              <w:jc w:val="center"/>
            </w:pPr>
            <w:r>
              <w:t>沪深300历史收益</w:t>
            </w:r>
          </w:p>
        </w:tc>
        <w:tc>
          <w:tcPr>
            <w:tcW w:w="0" w:type="auto"/>
            <w:vAlign w:val="center"/>
          </w:tcPr>
          <w:p w14:paraId="245766D3">
            <w:pPr>
              <w:pStyle w:val="43"/>
              <w:jc w:val="center"/>
            </w:pPr>
            <w:r>
              <w:t>否</w:t>
            </w:r>
          </w:p>
        </w:tc>
        <w:tc>
          <w:tcPr>
            <w:tcW w:w="0" w:type="auto"/>
            <w:vAlign w:val="center"/>
          </w:tcPr>
          <w:p w14:paraId="48106AD8">
            <w:pPr>
              <w:pStyle w:val="43"/>
              <w:jc w:val="center"/>
            </w:pPr>
            <w:r>
              <w:t>偏态学生t分布</w:t>
            </w:r>
          </w:p>
        </w:tc>
      </w:tr>
      <w:tr w14:paraId="7AFE1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789C8A25">
            <w:pPr>
              <w:pStyle w:val="43"/>
              <w:jc w:val="center"/>
            </w:pPr>
            <w:r>
              <w:t>M6</w:t>
            </w:r>
          </w:p>
        </w:tc>
        <w:tc>
          <w:tcPr>
            <w:tcW w:w="0" w:type="auto"/>
            <w:vAlign w:val="center"/>
          </w:tcPr>
          <w:p w14:paraId="286CB13E">
            <w:pPr>
              <w:pStyle w:val="43"/>
              <w:jc w:val="center"/>
            </w:pPr>
            <w:r>
              <w:t>LSTM-Market</w:t>
            </w:r>
          </w:p>
        </w:tc>
        <w:tc>
          <w:tcPr>
            <w:tcW w:w="0" w:type="auto"/>
            <w:vAlign w:val="center"/>
          </w:tcPr>
          <w:p w14:paraId="6CD85E7A">
            <w:pPr>
              <w:pStyle w:val="43"/>
              <w:jc w:val="center"/>
            </w:pPr>
            <w:r>
              <w:t>深度学习LSTM</w:t>
            </w:r>
          </w:p>
        </w:tc>
        <w:tc>
          <w:tcPr>
            <w:tcW w:w="0" w:type="auto"/>
            <w:vAlign w:val="center"/>
          </w:tcPr>
          <w:p w14:paraId="43AD6F0C">
            <w:pPr>
              <w:pStyle w:val="43"/>
              <w:jc w:val="center"/>
            </w:pPr>
            <w:r>
              <w:t>三市场历史收益</w:t>
            </w:r>
          </w:p>
        </w:tc>
        <w:tc>
          <w:tcPr>
            <w:tcW w:w="0" w:type="auto"/>
            <w:vAlign w:val="center"/>
          </w:tcPr>
          <w:p w14:paraId="6F89FB98">
            <w:pPr>
              <w:pStyle w:val="43"/>
              <w:jc w:val="center"/>
            </w:pPr>
            <w:r>
              <w:t>否</w:t>
            </w:r>
          </w:p>
        </w:tc>
        <w:tc>
          <w:tcPr>
            <w:tcW w:w="0" w:type="auto"/>
            <w:vAlign w:val="center"/>
          </w:tcPr>
          <w:p w14:paraId="1B85E710">
            <w:pPr>
              <w:pStyle w:val="43"/>
              <w:jc w:val="center"/>
            </w:pPr>
            <w:r>
              <w:t>偏态学生t分布</w:t>
            </w:r>
          </w:p>
        </w:tc>
      </w:tr>
      <w:tr w14:paraId="2531F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0127B7D5">
            <w:pPr>
              <w:pStyle w:val="43"/>
              <w:jc w:val="center"/>
            </w:pPr>
            <w:r>
              <w:t>M7</w:t>
            </w:r>
          </w:p>
        </w:tc>
        <w:tc>
          <w:tcPr>
            <w:tcW w:w="0" w:type="auto"/>
            <w:vAlign w:val="center"/>
          </w:tcPr>
          <w:p w14:paraId="6BC40612">
            <w:pPr>
              <w:pStyle w:val="43"/>
              <w:jc w:val="center"/>
            </w:pPr>
            <w:r>
              <w:t>LSTM-Barycenter</w:t>
            </w:r>
          </w:p>
        </w:tc>
        <w:tc>
          <w:tcPr>
            <w:tcW w:w="0" w:type="auto"/>
            <w:vAlign w:val="center"/>
          </w:tcPr>
          <w:p w14:paraId="5A29DA5F">
            <w:pPr>
              <w:pStyle w:val="43"/>
              <w:jc w:val="center"/>
            </w:pPr>
            <w:r>
              <w:t>深度学习LSTM</w:t>
            </w:r>
          </w:p>
        </w:tc>
        <w:tc>
          <w:tcPr>
            <w:tcW w:w="0" w:type="auto"/>
            <w:vAlign w:val="center"/>
          </w:tcPr>
          <w:p w14:paraId="12AB613B">
            <w:pPr>
              <w:pStyle w:val="43"/>
              <w:jc w:val="center"/>
            </w:pPr>
            <w:r>
              <w:t>三市场收益 + Barycenter</w:t>
            </w:r>
          </w:p>
        </w:tc>
        <w:tc>
          <w:tcPr>
            <w:tcW w:w="0" w:type="auto"/>
            <w:vAlign w:val="center"/>
          </w:tcPr>
          <w:p w14:paraId="53BDCB6E">
            <w:pPr>
              <w:pStyle w:val="43"/>
              <w:jc w:val="center"/>
            </w:pPr>
            <w:r>
              <w:t>是</w:t>
            </w:r>
          </w:p>
        </w:tc>
        <w:tc>
          <w:tcPr>
            <w:tcW w:w="0" w:type="auto"/>
            <w:vAlign w:val="center"/>
          </w:tcPr>
          <w:p w14:paraId="3332213D">
            <w:pPr>
              <w:pStyle w:val="43"/>
              <w:jc w:val="center"/>
            </w:pPr>
            <w:r>
              <w:t>偏态学生t分布</w:t>
            </w:r>
          </w:p>
        </w:tc>
      </w:tr>
      <w:tr w14:paraId="3C98D3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091DE4AF">
            <w:pPr>
              <w:pStyle w:val="43"/>
              <w:jc w:val="center"/>
            </w:pPr>
            <w:r>
              <w:t>M8</w:t>
            </w:r>
          </w:p>
        </w:tc>
        <w:tc>
          <w:tcPr>
            <w:tcW w:w="0" w:type="auto"/>
            <w:vAlign w:val="center"/>
          </w:tcPr>
          <w:p w14:paraId="5ADACD43">
            <w:pPr>
              <w:pStyle w:val="43"/>
              <w:jc w:val="center"/>
            </w:pPr>
            <w:r>
              <w:t>AdaMamba-Core</w:t>
            </w:r>
          </w:p>
        </w:tc>
        <w:tc>
          <w:tcPr>
            <w:tcW w:w="0" w:type="auto"/>
            <w:vAlign w:val="center"/>
          </w:tcPr>
          <w:p w14:paraId="17016C51">
            <w:pPr>
              <w:pStyle w:val="43"/>
              <w:jc w:val="center"/>
            </w:pPr>
            <w:r>
              <w:t>前沿状态空间</w:t>
            </w:r>
          </w:p>
        </w:tc>
        <w:tc>
          <w:tcPr>
            <w:tcW w:w="0" w:type="auto"/>
            <w:vAlign w:val="center"/>
          </w:tcPr>
          <w:p w14:paraId="2CA52543">
            <w:pPr>
              <w:pStyle w:val="43"/>
              <w:jc w:val="center"/>
            </w:pPr>
            <w:r>
              <w:t>沪深300历史收益</w:t>
            </w:r>
          </w:p>
        </w:tc>
        <w:tc>
          <w:tcPr>
            <w:tcW w:w="0" w:type="auto"/>
            <w:vAlign w:val="center"/>
          </w:tcPr>
          <w:p w14:paraId="569339E7">
            <w:pPr>
              <w:pStyle w:val="43"/>
              <w:jc w:val="center"/>
            </w:pPr>
            <w:r>
              <w:t>否</w:t>
            </w:r>
          </w:p>
        </w:tc>
        <w:tc>
          <w:tcPr>
            <w:tcW w:w="0" w:type="auto"/>
            <w:vAlign w:val="center"/>
          </w:tcPr>
          <w:p w14:paraId="69214675">
            <w:pPr>
              <w:pStyle w:val="43"/>
              <w:jc w:val="center"/>
            </w:pPr>
            <w:r>
              <w:t>偏态学生t分布</w:t>
            </w:r>
          </w:p>
        </w:tc>
      </w:tr>
      <w:tr w14:paraId="3B957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4E01CBB1">
            <w:pPr>
              <w:pStyle w:val="43"/>
              <w:jc w:val="center"/>
            </w:pPr>
            <w:r>
              <w:t>M9</w:t>
            </w:r>
          </w:p>
        </w:tc>
        <w:tc>
          <w:tcPr>
            <w:tcW w:w="0" w:type="auto"/>
            <w:vAlign w:val="center"/>
          </w:tcPr>
          <w:p w14:paraId="35F020F0">
            <w:pPr>
              <w:pStyle w:val="43"/>
              <w:jc w:val="center"/>
            </w:pPr>
            <w:r>
              <w:t>AdaMamba-Market</w:t>
            </w:r>
          </w:p>
        </w:tc>
        <w:tc>
          <w:tcPr>
            <w:tcW w:w="0" w:type="auto"/>
            <w:vAlign w:val="center"/>
          </w:tcPr>
          <w:p w14:paraId="582C76A5">
            <w:pPr>
              <w:pStyle w:val="43"/>
              <w:jc w:val="center"/>
            </w:pPr>
            <w:r>
              <w:t>前沿状态空间</w:t>
            </w:r>
          </w:p>
        </w:tc>
        <w:tc>
          <w:tcPr>
            <w:tcW w:w="0" w:type="auto"/>
            <w:vAlign w:val="center"/>
          </w:tcPr>
          <w:p w14:paraId="3CD08184">
            <w:pPr>
              <w:pStyle w:val="43"/>
              <w:jc w:val="center"/>
            </w:pPr>
            <w:r>
              <w:t>三市场历史收益</w:t>
            </w:r>
          </w:p>
        </w:tc>
        <w:tc>
          <w:tcPr>
            <w:tcW w:w="0" w:type="auto"/>
            <w:vAlign w:val="center"/>
          </w:tcPr>
          <w:p w14:paraId="26057C2C">
            <w:pPr>
              <w:pStyle w:val="43"/>
              <w:jc w:val="center"/>
            </w:pPr>
            <w:r>
              <w:t>否</w:t>
            </w:r>
          </w:p>
        </w:tc>
        <w:tc>
          <w:tcPr>
            <w:tcW w:w="0" w:type="auto"/>
            <w:vAlign w:val="center"/>
          </w:tcPr>
          <w:p w14:paraId="3B7967F2">
            <w:pPr>
              <w:pStyle w:val="43"/>
              <w:jc w:val="center"/>
            </w:pPr>
            <w:r>
              <w:t>偏态学生t分布</w:t>
            </w:r>
          </w:p>
        </w:tc>
      </w:tr>
      <w:tr w14:paraId="358EA4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24" w:type="dxa"/>
            <w:vAlign w:val="center"/>
          </w:tcPr>
          <w:p w14:paraId="71395677">
            <w:pPr>
              <w:pStyle w:val="43"/>
              <w:jc w:val="center"/>
            </w:pPr>
            <w:r>
              <w:t>M10</w:t>
            </w:r>
          </w:p>
        </w:tc>
        <w:tc>
          <w:tcPr>
            <w:tcW w:w="0" w:type="auto"/>
            <w:vAlign w:val="center"/>
          </w:tcPr>
          <w:p w14:paraId="3FB70D84">
            <w:pPr>
              <w:pStyle w:val="43"/>
              <w:jc w:val="center"/>
            </w:pPr>
            <w:r>
              <w:t>AdaMamba-Dist</w:t>
            </w:r>
          </w:p>
        </w:tc>
        <w:tc>
          <w:tcPr>
            <w:tcW w:w="0" w:type="auto"/>
            <w:vAlign w:val="center"/>
          </w:tcPr>
          <w:p w14:paraId="6C8E4536">
            <w:pPr>
              <w:pStyle w:val="43"/>
              <w:jc w:val="center"/>
            </w:pPr>
            <w:r>
              <w:t>前沿状态空间</w:t>
            </w:r>
          </w:p>
        </w:tc>
        <w:tc>
          <w:tcPr>
            <w:tcW w:w="0" w:type="auto"/>
            <w:vAlign w:val="center"/>
          </w:tcPr>
          <w:p w14:paraId="290214AA">
            <w:pPr>
              <w:pStyle w:val="43"/>
              <w:jc w:val="center"/>
            </w:pPr>
            <w:r>
              <w:t>三市场收益 + Barycenter</w:t>
            </w:r>
          </w:p>
        </w:tc>
        <w:tc>
          <w:tcPr>
            <w:tcW w:w="0" w:type="auto"/>
            <w:vAlign w:val="center"/>
          </w:tcPr>
          <w:p w14:paraId="4FDF94E6">
            <w:pPr>
              <w:pStyle w:val="43"/>
              <w:jc w:val="center"/>
            </w:pPr>
            <w:r>
              <w:t>是</w:t>
            </w:r>
          </w:p>
        </w:tc>
        <w:tc>
          <w:tcPr>
            <w:tcW w:w="0" w:type="auto"/>
            <w:vAlign w:val="center"/>
          </w:tcPr>
          <w:p w14:paraId="4F601EE9">
            <w:pPr>
              <w:pStyle w:val="43"/>
              <w:jc w:val="center"/>
            </w:pPr>
            <w:r>
              <w:t>偏态学生t分布</w:t>
            </w:r>
          </w:p>
        </w:tc>
      </w:tr>
    </w:tbl>
    <w:p w14:paraId="5E346795">
      <w:pPr>
        <w:ind w:firstLine="560" w:firstLineChars="200"/>
      </w:pPr>
      <w:r>
        <w:t xml:space="preserve">通过以下对比设计隔离各因素的影响： </w:t>
      </w:r>
    </w:p>
    <w:p w14:paraId="6E211B4C">
      <w:pPr>
        <w:ind w:firstLine="560" w:firstLineChars="200"/>
      </w:pPr>
      <w:r>
        <w:t>M0 vs. M1-M4：非参数 vs. 参数方法；</w:t>
      </w:r>
    </w:p>
    <w:p w14:paraId="5E96DB3C">
      <w:pPr>
        <w:ind w:firstLine="560" w:firstLineChars="200"/>
      </w:pPr>
      <w:r>
        <w:t>M1-M4 vs. M5-M7：传统计量 vs. 深度学习方法；</w:t>
      </w:r>
    </w:p>
    <w:p w14:paraId="35CCD668">
      <w:pPr>
        <w:ind w:firstLine="560" w:firstLineChars="200"/>
      </w:pPr>
      <w:r>
        <w:t>M5 vs. M6：单一市场 vs. 多市场原始收益；</w:t>
      </w:r>
    </w:p>
    <w:p w14:paraId="7A5E645D">
      <w:pPr>
        <w:ind w:firstLine="280" w:firstLineChars="100"/>
      </w:pPr>
      <w:r>
        <w:t xml:space="preserve"> </w:t>
      </w:r>
      <w:r>
        <w:rPr>
          <w:rFonts w:hint="eastAsia"/>
        </w:rPr>
        <w:t xml:space="preserve"> </w:t>
      </w:r>
      <w:r>
        <w:t>M6 vs. M7：原始收益 vs. Barycenter特征；</w:t>
      </w:r>
    </w:p>
    <w:p w14:paraId="01B51373">
      <w:pPr>
        <w:ind w:firstLine="280" w:firstLineChars="100"/>
      </w:pPr>
      <w:r>
        <w:t xml:space="preserve"> </w:t>
      </w:r>
      <w:r>
        <w:rPr>
          <w:rFonts w:hint="eastAsia"/>
        </w:rPr>
        <w:t xml:space="preserve"> </w:t>
      </w:r>
      <w:r>
        <w:t>M7 vs. M</w:t>
      </w:r>
      <w:r>
        <w:rPr>
          <w:rFonts w:hint="eastAsia"/>
        </w:rPr>
        <w:t>10</w:t>
      </w:r>
      <w:r>
        <w:t>：LSTM vs. Mamba状态空间架构。</w:t>
      </w:r>
    </w:p>
    <w:p w14:paraId="25EE7F01">
      <w:pPr>
        <w:ind w:firstLine="560" w:firstLineChars="200"/>
      </w:pPr>
      <w:r>
        <w:t>该模型体系从传统非参数模型、参数波动率模型、计量金融模型逐步扩扩展至深度学习分布预测模型，能够全面检验问题一综合市场状态分布特征在未来风险预测中的作用。</w:t>
      </w:r>
    </w:p>
    <w:p w14:paraId="625070FA">
      <w:pPr>
        <w:pStyle w:val="3"/>
      </w:pPr>
      <w:r>
        <w:rPr>
          <w:rFonts w:hint="eastAsia"/>
        </w:rPr>
        <w:t>6.2问题二的结果分析</w:t>
      </w:r>
    </w:p>
    <w:p w14:paraId="63517310">
      <w:pPr>
        <w:pStyle w:val="4"/>
      </w:pPr>
      <w:r>
        <w:t>6.2.1评价指标</w:t>
      </w:r>
    </w:p>
    <w:p w14:paraId="1C1F4739">
      <w:pPr>
        <w:rPr>
          <w:rFonts w:cstheme="majorBidi"/>
          <w:b/>
          <w:bCs/>
          <w:sz w:val="30"/>
          <w:szCs w:val="32"/>
        </w:rPr>
      </w:pPr>
      <w:r>
        <w:rPr>
          <w:rFonts w:hint="eastAsia"/>
          <w:b/>
          <w:bCs/>
        </w:rPr>
        <w:t>（1）</w:t>
      </w:r>
      <w:r>
        <w:rPr>
          <w:b/>
          <w:bCs/>
        </w:rPr>
        <w:t>负对数似然 NLL</w:t>
      </w:r>
    </w:p>
    <w:p w14:paraId="3061FFD1">
      <w:pPr>
        <w:ind w:firstLine="560" w:firstLineChars="200"/>
      </w:pPr>
      <w:r>
        <w:t>对于输出完整预测分布的模型，使用测试集平均负对数似然评价分布预测精度：</w:t>
      </w:r>
    </w:p>
    <w:p w14:paraId="3A9FC998">
      <m:oMathPara>
        <m:oMath>
          <m:r>
            <m:rPr/>
            <w:rPr>
              <w:rFonts w:ascii="Cambria Math" w:hAnsi="Cambria Math"/>
            </w:rPr>
            <m:t>NLL=−</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log</m:t>
              </m:r>
              <m:r>
                <m:rPr/>
                <w:rPr>
                  <w:rFonts w:ascii="Cambria Math" w:hAnsi="Cambria Math"/>
                </w:rPr>
                <m:t>⁡f(</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p"/>
            </m:rPr>
            <w:rPr>
              <w:rFonts w:ascii="Cambria Math" w:hAnsi="Cambria Math"/>
            </w:rPr>
            <w:br w:type="textWrapping"/>
          </m:r>
        </m:oMath>
      </m:oMathPara>
    </w:p>
    <w:p w14:paraId="1F05AFCD">
      <w:r>
        <w:t>其中，</w:t>
      </w:r>
      <w:r>
        <w:rPr>
          <w:rFonts w:hint="eastAsia"/>
          <w:position w:val="-16"/>
        </w:rPr>
        <w:object>
          <v:shape id="_x0000_i1114" o:spt="75" type="#_x0000_t75" style="height:21.8pt;width:66pt;" o:ole="t" filled="f" o:preferrelative="t" stroked="f" coordsize="21600,21600">
            <v:path/>
            <v:fill on="f" focussize="0,0"/>
            <v:stroke on="f" joinstyle="miter"/>
            <v:imagedata r:id="rId198" o:title=""/>
            <o:lock v:ext="edit" aspectratio="t"/>
            <w10:wrap type="none"/>
            <w10:anchorlock/>
          </v:shape>
          <o:OLEObject Type="Embed" ProgID="Equation.DSMT4" ShapeID="_x0000_i1114" DrawAspect="Content" ObjectID="_1468075814" r:id="rId197">
            <o:LockedField>false</o:LockedField>
          </o:OLEObject>
        </w:object>
      </w:r>
      <w:r>
        <w:rPr>
          <w:rFonts w:hint="eastAsia"/>
        </w:rPr>
        <w:t>，</w:t>
      </w:r>
      <w:r>
        <w:t>NLL越小，说明模型对未来收益分布的拟合越好。</w:t>
      </w:r>
    </w:p>
    <w:p w14:paraId="38360E4F">
      <w:pPr>
        <w:rPr>
          <w:b/>
          <w:bCs/>
          <w:sz w:val="27"/>
          <w:szCs w:val="27"/>
        </w:rPr>
      </w:pPr>
      <w:r>
        <w:rPr>
          <w:rFonts w:hint="eastAsia"/>
          <w:b/>
          <w:bCs/>
          <w:sz w:val="27"/>
          <w:szCs w:val="27"/>
        </w:rPr>
        <w:t>（2）</w:t>
      </w:r>
      <w:r>
        <w:rPr>
          <w:b/>
          <w:bCs/>
          <w:sz w:val="27"/>
          <w:szCs w:val="27"/>
        </w:rPr>
        <w:t>VaR违约率</w:t>
      </w:r>
    </w:p>
    <w:p w14:paraId="0CCFC771">
      <w:pPr>
        <w:ind w:firstLine="560" w:firstLineChars="200"/>
      </w:pPr>
      <w:r>
        <w:t>定义VaR违约事件：</w:t>
      </w:r>
    </w:p>
    <w:p w14:paraId="1A22EC41">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b"/>
            </m:rPr>
            <w:rPr>
              <w:rFonts w:ascii="Cambria Math" w:hAnsi="Cambria Math"/>
            </w:rPr>
            <m:t>1</m:t>
          </m:r>
          <m:d>
            <m:dPr>
              <m:sepChr m:val="&lt;"/>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acc>
                    <m:accPr>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e>
          </m:d>
        </m:oMath>
      </m:oMathPara>
    </w:p>
    <w:p w14:paraId="48CE47EA">
      <w:r>
        <w:t>违约率为：</w:t>
      </w:r>
    </w:p>
    <w:p w14:paraId="2CA9AEBB">
      <m:oMathPara>
        <m:oMath>
          <m:acc>
            <m:accPr>
              <m:ctrlPr>
                <w:rPr>
                  <w:rFonts w:ascii="Cambria Math" w:hAnsi="Cambria Math"/>
                </w:rPr>
              </m:ctrlPr>
            </m:accPr>
            <m:e>
              <m:r>
                <m:rPr/>
                <w:rPr>
                  <w:rFonts w:ascii="Cambria Math" w:hAnsi="Cambria Math"/>
                </w:rPr>
                <m:t>p</m:t>
              </m:r>
              <m:ctrlPr>
                <w:rPr>
                  <w:rFonts w:ascii="Cambria Math" w:hAnsi="Cambria Math"/>
                </w:rPr>
              </m:ctrlPr>
            </m:e>
          </m:acc>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oMath>
      </m:oMathPara>
    </w:p>
    <w:p w14:paraId="04A103CB">
      <w:r>
        <w:t>当</w:t>
      </w:r>
      <w:r>
        <w:rPr>
          <w:rFonts w:hint="eastAsia"/>
          <w:position w:val="-14"/>
        </w:rPr>
        <w:object>
          <v:shape id="_x0000_i1115" o:spt="75" type="#_x0000_t75" style="height:20.2pt;width:48pt;" o:ole="t" filled="f" o:preferrelative="t" stroked="f" coordsize="21600,21600">
            <v:path/>
            <v:fill on="f" focussize="0,0"/>
            <v:stroke on="f" joinstyle="miter"/>
            <v:imagedata r:id="rId200" o:title=""/>
            <o:lock v:ext="edit" aspectratio="t"/>
            <w10:wrap type="none"/>
            <w10:anchorlock/>
          </v:shape>
          <o:OLEObject Type="Embed" ProgID="Equation.DSMT4" ShapeID="_x0000_i1115" DrawAspect="Content" ObjectID="_1468075815" r:id="rId199">
            <o:LockedField>false</o:LockedField>
          </o:OLEObject>
        </w:object>
      </w:r>
      <w:r>
        <w:t>时，理想违约率应接近5%。若违约率显著高于5%，说明模型低估风险；若显著低于5%，说明模型过于保守。</w:t>
      </w:r>
    </w:p>
    <w:p w14:paraId="42EE19E4">
      <w:pPr>
        <w:ind w:firstLine="560" w:firstLineChars="200"/>
      </w:pPr>
      <w:r>
        <w:t>对每个模型计算 60 日滚动违约率，以 5% 理论违约率作为基准线（红色虚线）</w:t>
      </w:r>
      <w:r>
        <w:rPr>
          <w:rFonts w:hint="eastAsia"/>
        </w:rPr>
        <w:t>作</w:t>
      </w:r>
      <w:r>
        <w:fldChar w:fldCharType="begin"/>
      </w:r>
      <w:r>
        <w:instrText xml:space="preserve"> </w:instrText>
      </w:r>
      <w:r>
        <w:rPr>
          <w:rFonts w:hint="eastAsia"/>
        </w:rPr>
        <w:instrText xml:space="preserve">REF _Ref230376339 \h</w:instrText>
      </w:r>
      <w:r>
        <w:instrText xml:space="preserve"> </w:instrText>
      </w:r>
      <w:r>
        <w:fldChar w:fldCharType="separate"/>
      </w:r>
      <w:r>
        <w:rPr>
          <w:rFonts w:hint="eastAsia"/>
        </w:rPr>
        <w:t>图 13</w:t>
      </w:r>
      <w:r>
        <w:fldChar w:fldCharType="end"/>
      </w:r>
      <w:r>
        <w:rPr>
          <w:rFonts w:hint="eastAsia"/>
        </w:rPr>
        <w:t>：</w:t>
      </w:r>
    </w:p>
    <w:p w14:paraId="4EFCA102">
      <w:r>
        <w:drawing>
          <wp:inline distT="0" distB="0" distL="0" distR="0">
            <wp:extent cx="5274310" cy="2148840"/>
            <wp:effectExtent l="0" t="0" r="2540" b="3810"/>
            <wp:docPr id="848670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70010" name="图片 1"/>
                    <pic:cNvPicPr>
                      <a:picLocks noChangeAspect="1" noChangeArrowheads="1"/>
                    </pic:cNvPicPr>
                  </pic:nvPicPr>
                  <pic:blipFill>
                    <a:blip r:embed="rId201" cstate="print">
                      <a:extLst>
                        <a:ext uri="{28A0092B-C50C-407E-A947-70E740481C1C}">
                          <a14:useLocalDpi xmlns:a14="http://schemas.microsoft.com/office/drawing/2010/main" val="0"/>
                        </a:ext>
                      </a:extLst>
                    </a:blip>
                    <a:srcRect t="4022"/>
                    <a:stretch>
                      <a:fillRect/>
                    </a:stretch>
                  </pic:blipFill>
                  <pic:spPr>
                    <a:xfrm>
                      <a:off x="0" y="0"/>
                      <a:ext cx="5274310" cy="2148840"/>
                    </a:xfrm>
                    <a:prstGeom prst="rect">
                      <a:avLst/>
                    </a:prstGeom>
                    <a:noFill/>
                    <a:ln>
                      <a:noFill/>
                    </a:ln>
                  </pic:spPr>
                </pic:pic>
              </a:graphicData>
            </a:graphic>
          </wp:inline>
        </w:drawing>
      </w:r>
    </w:p>
    <w:p w14:paraId="6F3E9C73">
      <w:pPr>
        <w:pStyle w:val="11"/>
        <w:jc w:val="center"/>
        <w:rPr>
          <w:rFonts w:hint="eastAsia"/>
        </w:rPr>
      </w:pPr>
      <w:bookmarkStart w:id="24" w:name="_Ref23037633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13</w:t>
      </w:r>
      <w:r>
        <w:fldChar w:fldCharType="end"/>
      </w:r>
      <w:bookmarkEnd w:id="24"/>
      <w:r>
        <w:t>滚动 VaR 违约率（60 日窗口）</w:t>
      </w:r>
    </w:p>
    <w:p w14:paraId="4EC40D5A">
      <w:pPr>
        <w:ind w:firstLine="560" w:firstLineChars="200"/>
      </w:pPr>
      <w:r>
        <w:t>滚动违约率揭示了 VaR 模型在不同子时期的表现差异。2024 年 7-8 月（低波动期）各模型违约率接近于零。2024 年 10-11 月极端波动期间，M0 Historical 的滚动违约率一度超过 15%，而 LSTM 模型尤其是 M7 的违约率上升幅度最小（不超过 10%），体现了 LSTM 模型在极端事件中的自适应能力。2025 年上半年各模型违约率普遍回落至 5% 附近。</w:t>
      </w:r>
    </w:p>
    <w:p w14:paraId="301B3DA4">
      <w:pPr>
        <w:rPr>
          <w:b/>
          <w:bCs/>
          <w:sz w:val="27"/>
          <w:szCs w:val="27"/>
        </w:rPr>
      </w:pPr>
      <w:r>
        <w:rPr>
          <w:rFonts w:hint="eastAsia"/>
          <w:b/>
          <w:bCs/>
          <w:sz w:val="27"/>
          <w:szCs w:val="27"/>
        </w:rPr>
        <w:t>（3）</w:t>
      </w:r>
      <w:r>
        <w:rPr>
          <w:b/>
          <w:bCs/>
          <w:sz w:val="27"/>
          <w:szCs w:val="27"/>
        </w:rPr>
        <w:t xml:space="preserve"> Kupiec无条件覆盖检验</w:t>
      </w:r>
    </w:p>
    <w:p w14:paraId="20188D94">
      <w:pPr>
        <w:ind w:firstLine="560" w:firstLineChars="200"/>
      </w:pPr>
      <w:r>
        <w:t>Kupiec检验用于检验VaR模型的实际违约率是否等于理论尾部概率：</w:t>
      </w:r>
    </w:p>
    <w:p w14:paraId="68FC27CD">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:p=α</m:t>
          </m:r>
        </m:oMath>
      </m:oMathPara>
    </w:p>
    <w:p w14:paraId="2C8FD6CA">
      <w:r>
        <w:t>Kupiec似然比统计量为：</w:t>
      </w:r>
    </w:p>
    <w:p w14:paraId="252FCBC4">
      <m:oMathPara>
        <m:oMath>
          <m:r>
            <m:rPr/>
            <w:rPr>
              <w:rFonts w:ascii="Cambria Math" w:hAnsi="Cambria Math"/>
            </w:rPr>
            <m:t>LR=−2</m:t>
          </m:r>
          <m:d>
            <m:dPr>
              <m:begChr m:val="["/>
              <m:sepChr m:val="⁡"/>
              <m:endChr m:val="]"/>
              <m:ctrlPr>
                <w:rPr>
                  <w:rFonts w:ascii="Cambria Math" w:hAnsi="Cambria Math"/>
                </w:rPr>
              </m:ctrlPr>
            </m:dPr>
            <m:e>
              <m:r>
                <m:rPr>
                  <m:sty m:val="p"/>
                </m:rPr>
                <w:rPr>
                  <w:rFonts w:ascii="Cambria Math" w:hAnsi="Cambria Math"/>
                </w:rPr>
                <m:t>log</m:t>
              </m:r>
              <m:ctrlPr>
                <w:rPr>
                  <w:rFonts w:ascii="Cambria Math" w:hAnsi="Cambria Math"/>
                </w:rPr>
              </m:ctrlPr>
            </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rPr>
                            <m:t>α</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r>
                        <m:rPr/>
                        <w:rPr>
                          <w:rFonts w:ascii="Cambria Math" w:hAnsi="Cambria Math"/>
                        </w:rPr>
                        <m:t>(1−α</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ctrlPr>
                        <w:rPr>
                          <w:rFonts w:ascii="Cambria Math" w:hAnsi="Cambria Math"/>
                        </w:rPr>
                      </m:ctrlPr>
                    </m:num>
                    <m:den>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m:rPr/>
                                    <w:rPr>
                                      <w:rFonts w:ascii="Cambria Math" w:hAnsi="Cambria Math"/>
                                    </w:rPr>
                                    <m:t>p</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r>
                                <m:rPr/>
                                <w:rPr>
                                  <w:rFonts w:ascii="Cambria Math" w:hAnsi="Cambria Math"/>
                                </w:rPr>
                                <m:t>(1−</m:t>
                              </m:r>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N−</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rPr>
                  </m:ctrlPr>
                </m:e>
              </m:d>
              <m:ctrlPr>
                <w:rPr>
                  <w:rFonts w:ascii="Cambria Math" w:hAnsi="Cambria Math"/>
                </w:rPr>
              </m:ctrlPr>
            </m:e>
          </m:d>
          <m:r>
            <m:rPr/>
            <w:rPr>
              <w:rFonts w:ascii="Cambria Math" w:hAnsi="Cambria Math"/>
            </w:rPr>
            <m:t>∼</m:t>
          </m:r>
          <m:sSubSup>
            <m:sSubSupPr>
              <m:ctrlPr>
                <w:rPr>
                  <w:rFonts w:ascii="Cambria Math" w:hAnsi="Cambria Math"/>
                </w:rPr>
              </m:ctrlPr>
            </m:sSubSupPr>
            <m:e>
              <m:r>
                <m:rPr/>
                <w:rPr>
                  <w:rFonts w:ascii="Cambria Math" w:hAnsi="Cambria Math"/>
                </w:rPr>
                <m:t>χ</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2</m:t>
              </m:r>
              <m:ctrlPr>
                <w:rPr>
                  <w:rFonts w:ascii="Cambria Math" w:hAnsi="Cambria Math"/>
                </w:rPr>
              </m:ctrlPr>
            </m:sup>
          </m:sSubSup>
        </m:oMath>
      </m:oMathPara>
    </w:p>
    <w:p w14:paraId="35A8E383">
      <w:pPr>
        <w:ind w:firstLine="560" w:firstLineChars="200"/>
      </w:pPr>
      <w:r>
        <w:t>若Kupiec检验的p值较大（&gt;0.05），则说明在5%显著性水平下不能拒绝"模型VaR覆盖率合理"的原假设。</w:t>
      </w:r>
    </w:p>
    <w:p w14:paraId="2B2CF31B">
      <w:pPr>
        <w:rPr>
          <w:b/>
          <w:bCs/>
        </w:rPr>
      </w:pPr>
      <w:r>
        <w:rPr>
          <w:rFonts w:hint="eastAsia"/>
          <w:b/>
          <w:bCs/>
        </w:rPr>
        <w:t>（4）</w:t>
      </w:r>
      <w:r>
        <w:rPr>
          <w:b/>
          <w:bCs/>
        </w:rPr>
        <w:t>ES损失</w:t>
      </w:r>
    </w:p>
    <w:p w14:paraId="76771677">
      <w:pPr>
        <w:ind w:firstLine="560" w:firstLineChars="200"/>
      </w:pPr>
      <w:r>
        <w:t>对于发生VaR违约的样本，计算预测ES与实际尾部损失之间的误差：</w:t>
      </w:r>
    </w:p>
    <w:p w14:paraId="51A5D442">
      <m:oMathPara>
        <m:oMath>
          <m:r>
            <m:rPr/>
            <w:rPr>
              <w:rFonts w:ascii="Cambria Math" w:hAnsi="Cambria Math"/>
            </w:rPr>
            <m:t>ESLoss=</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ctrlPr>
                <w:rPr>
                  <w:rFonts w:ascii="Cambria Math" w:hAnsi="Cambria Math"/>
                </w:rPr>
              </m:ctrlPr>
            </m:sub>
            <m:sup>
              <m:ctrlPr>
                <w:rPr>
                  <w:rFonts w:ascii="Cambria Math" w:hAnsi="Cambria Math"/>
                </w:rPr>
              </m:ctrlP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t,t+h</m:t>
                          </m:r>
                          <m:ctrlPr>
                            <w:rPr>
                              <w:rFonts w:ascii="Cambria Math" w:hAnsi="Cambria Math"/>
                            </w:rPr>
                          </m:ctrlPr>
                        </m:sub>
                        <m:sup>
                          <m:r>
                            <m:rPr/>
                            <w:rPr>
                              <w:rFonts w:ascii="Cambria Math" w:hAnsi="Cambria Math"/>
                            </w:rPr>
                            <m:t>CSI300</m:t>
                          </m:r>
                          <m:ctrlPr>
                            <w:rPr>
                              <w:rFonts w:ascii="Cambria Math" w:hAnsi="Cambria Math"/>
                            </w:rPr>
                          </m:ctrlPr>
                        </m:sup>
                      </m:sSubSup>
                      <m:ctrlPr>
                        <w:rPr>
                          <w:rFonts w:ascii="Cambria Math" w:hAnsi="Cambria Math"/>
                        </w:rPr>
                      </m:ctrlPr>
                    </m:e>
                    <m:e>
                      <m:sSubSup>
                        <m:sSubSupPr>
                          <m:ctrlPr>
                            <w:rPr>
                              <w:rFonts w:ascii="Cambria Math" w:hAnsi="Cambria Math"/>
                            </w:rPr>
                          </m:ctrlPr>
                        </m:sSubSupPr>
                        <m:e>
                          <m:acc>
                            <m:accPr>
                              <m:ctrlPr>
                                <w:rPr>
                                  <w:rFonts w:ascii="Cambria Math" w:hAnsi="Cambria Math"/>
                                </w:rPr>
                              </m:ctrlPr>
                            </m:accPr>
                            <m:e>
                              <m:r>
                                <m:rPr/>
                                <w:rPr>
                                  <w:rFonts w:ascii="Cambria Math" w:hAnsi="Cambria Math"/>
                                </w:rPr>
                                <m:t>ES</m:t>
                              </m:r>
                              <m:ctrlPr>
                                <w:rPr>
                                  <w:rFonts w:ascii="Cambria Math" w:hAnsi="Cambria Math"/>
                                </w:rPr>
                              </m:ctrlPr>
                            </m:e>
                          </m:acc>
                          <m:ctrlPr>
                            <w:rPr>
                              <w:rFonts w:ascii="Cambria Math" w:hAnsi="Cambria Math"/>
                            </w:rPr>
                          </m:ctrlPr>
                        </m:e>
                        <m:sub>
                          <m:r>
                            <m:rPr/>
                            <w:rPr>
                              <w:rFonts w:ascii="Cambria Math" w:hAnsi="Cambria Math"/>
                            </w:rPr>
                            <m:t>α,t</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m:oMathPara>
    </w:p>
    <w:p w14:paraId="05FDCE92">
      <w:pPr>
        <w:ind w:firstLine="560" w:firstLineChars="200"/>
      </w:pPr>
      <w:r>
        <w:t>其中，</w:t>
      </w:r>
      <w:r>
        <w:rPr>
          <w:rFonts w:hint="eastAsia"/>
          <w:position w:val="-14"/>
        </w:rPr>
        <w:object>
          <v:shape id="_x0000_i1116" o:spt="75" type="#_x0000_t75" style="height:20.2pt;width:27.25pt;" o:ole="t" filled="f" o:preferrelative="t" stroked="f" coordsize="21600,21600">
            <v:path/>
            <v:fill on="f" focussize="0,0"/>
            <v:stroke on="f" joinstyle="miter"/>
            <v:imagedata r:id="rId203" o:title=""/>
            <o:lock v:ext="edit" aspectratio="t"/>
            <w10:wrap type="none"/>
            <w10:anchorlock/>
          </v:shape>
          <o:OLEObject Type="Embed" ProgID="Equation.DSMT4" ShapeID="_x0000_i1116" DrawAspect="Content" ObjectID="_1468075816" r:id="rId202">
            <o:LockedField>false</o:LockedField>
          </o:OLEObject>
        </w:object>
      </w:r>
      <w:r>
        <w:t>为违约样本数。ESLoss越小，说明模型对极端损失幅度的预测越准确。</w:t>
      </w:r>
    </w:p>
    <w:p w14:paraId="4A08C95C">
      <w:pPr>
        <w:ind w:firstLine="560" w:firstLineChars="200"/>
      </w:pPr>
      <w:r>
        <w:t>从 metrics 表中提取 6 个核心指标（违约率、Kupiec p-value、NLL、ES 损失、平均 VaR、平均 ES），分别绘制条形图，以颜色区分模型类型</w:t>
      </w:r>
      <w:r>
        <w:rPr>
          <w:rFonts w:hint="eastAsia"/>
        </w:rPr>
        <w:t>，结果如</w:t>
      </w:r>
      <w:r>
        <w:fldChar w:fldCharType="begin"/>
      </w:r>
      <w:r>
        <w:instrText xml:space="preserve"> </w:instrText>
      </w:r>
      <w:r>
        <w:rPr>
          <w:rFonts w:hint="eastAsia"/>
        </w:rPr>
        <w:instrText xml:space="preserve">REF _Ref230376216 \h</w:instrText>
      </w:r>
      <w:r>
        <w:instrText xml:space="preserve"> </w:instrText>
      </w:r>
      <w:r>
        <w:fldChar w:fldCharType="separate"/>
      </w:r>
      <w:r>
        <w:rPr>
          <w:rFonts w:hint="eastAsia"/>
        </w:rPr>
        <w:t>图 14</w:t>
      </w:r>
      <w:r>
        <w:fldChar w:fldCharType="end"/>
      </w:r>
      <w:r>
        <w:rPr>
          <w:rFonts w:hint="eastAsia"/>
        </w:rPr>
        <w:t>:</w:t>
      </w:r>
    </w:p>
    <w:p w14:paraId="5B3E707A">
      <w:r>
        <w:drawing>
          <wp:inline distT="0" distB="0" distL="0" distR="0">
            <wp:extent cx="5274310" cy="3251200"/>
            <wp:effectExtent l="0" t="0" r="2540" b="6350"/>
            <wp:docPr id="16430108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10850" name="图片 2"/>
                    <pic:cNvPicPr>
                      <a:picLocks noChangeAspect="1" noChangeArrowheads="1"/>
                    </pic:cNvPicPr>
                  </pic:nvPicPr>
                  <pic:blipFill>
                    <a:blip r:embed="rId204" cstate="print">
                      <a:extLst>
                        <a:ext uri="{28A0092B-C50C-407E-A947-70E740481C1C}">
                          <a14:useLocalDpi xmlns:a14="http://schemas.microsoft.com/office/drawing/2010/main" val="0"/>
                        </a:ext>
                      </a:extLst>
                    </a:blip>
                    <a:srcRect t="4282"/>
                    <a:stretch>
                      <a:fillRect/>
                    </a:stretch>
                  </pic:blipFill>
                  <pic:spPr>
                    <a:xfrm>
                      <a:off x="0" y="0"/>
                      <a:ext cx="5274310" cy="3251777"/>
                    </a:xfrm>
                    <a:prstGeom prst="rect">
                      <a:avLst/>
                    </a:prstGeom>
                    <a:noFill/>
                    <a:ln>
                      <a:noFill/>
                    </a:ln>
                  </pic:spPr>
                </pic:pic>
              </a:graphicData>
            </a:graphic>
          </wp:inline>
        </w:drawing>
      </w:r>
    </w:p>
    <w:p w14:paraId="2A47134D">
      <w:pPr>
        <w:pStyle w:val="11"/>
        <w:jc w:val="center"/>
        <w:rPr>
          <w:rFonts w:hint="eastAsia"/>
        </w:rPr>
      </w:pPr>
      <w:bookmarkStart w:id="25" w:name="_Ref23037621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14</w:t>
      </w:r>
      <w:r>
        <w:fldChar w:fldCharType="end"/>
      </w:r>
      <w:bookmarkEnd w:id="25"/>
      <w:r>
        <w:t>模型评价指标完整条形图</w:t>
      </w:r>
    </w:p>
    <w:p w14:paraId="6BABEFB5">
      <w:pPr>
        <w:ind w:firstLine="560" w:firstLineChars="200"/>
      </w:pPr>
      <w:r>
        <w:rPr>
          <w:rFonts w:hint="eastAsia"/>
        </w:rPr>
        <w:t>6 个子图提供了对模型全面比较的完整视图：</w:t>
      </w:r>
    </w:p>
    <w:p w14:paraId="3E17F20F">
      <w:pPr>
        <w:ind w:firstLine="562" w:firstLineChars="200"/>
      </w:pPr>
      <w:r>
        <w:rPr>
          <w:rFonts w:hint="eastAsia"/>
          <w:b/>
          <w:bCs/>
        </w:rPr>
        <w:t>违约率</w:t>
      </w:r>
      <w:r>
        <w:rPr>
          <w:rFonts w:hint="eastAsia"/>
        </w:rPr>
        <w:t>：M0 最接近 5%，LSTM 模型普遍偏低</w:t>
      </w:r>
    </w:p>
    <w:p w14:paraId="37ADF44E">
      <w:pPr>
        <w:ind w:firstLine="562" w:firstLineChars="200"/>
      </w:pPr>
      <w:r>
        <w:rPr>
          <w:rFonts w:hint="eastAsia"/>
          <w:b/>
          <w:bCs/>
        </w:rPr>
        <w:t>Kupiec p-value</w:t>
      </w:r>
      <w:r>
        <w:rPr>
          <w:rFonts w:hint="eastAsia"/>
        </w:rPr>
        <w:t>：除 M7 外所有模型 p&gt;0.05，VaR 设定合理</w:t>
      </w:r>
    </w:p>
    <w:p w14:paraId="2782196C">
      <w:pPr>
        <w:ind w:firstLine="562" w:firstLineChars="200"/>
      </w:pPr>
      <w:r>
        <w:rPr>
          <w:rFonts w:hint="eastAsia"/>
          <w:b/>
          <w:bCs/>
        </w:rPr>
        <w:t>NLL</w:t>
      </w:r>
      <w:r>
        <w:rPr>
          <w:rFonts w:hint="eastAsia"/>
        </w:rPr>
        <w:t>：LSTM 模型显著优于传统模型（-3.11 至 -3.14 vs -2.60 至 -3.05）</w:t>
      </w:r>
    </w:p>
    <w:p w14:paraId="451609D8">
      <w:pPr>
        <w:ind w:firstLine="562" w:firstLineChars="200"/>
      </w:pPr>
      <w:r>
        <w:rPr>
          <w:b/>
          <w:bCs/>
        </w:rPr>
        <w:t xml:space="preserve">ES </w:t>
      </w:r>
      <w:r>
        <w:rPr>
          <w:rFonts w:hint="eastAsia"/>
          <w:b/>
          <w:bCs/>
        </w:rPr>
        <w:t>损失</w:t>
      </w:r>
      <w:r>
        <w:rPr>
          <w:rFonts w:hint="eastAsia"/>
        </w:rPr>
        <w:t>：</w:t>
      </w:r>
      <w:r>
        <w:t xml:space="preserve">GARCH-t/skew-t </w:t>
      </w:r>
      <w:r>
        <w:rPr>
          <w:rFonts w:hint="eastAsia"/>
        </w:rPr>
        <w:t>最优</w:t>
      </w:r>
      <w:r>
        <w:t>(2.18-2.27×10⁻⁴)</w:t>
      </w:r>
    </w:p>
    <w:p w14:paraId="06389901">
      <w:pPr>
        <w:ind w:firstLine="562" w:firstLineChars="200"/>
      </w:pPr>
      <w:r>
        <w:rPr>
          <w:rFonts w:hint="eastAsia"/>
          <w:b/>
          <w:bCs/>
        </w:rPr>
        <w:t>平均 VaR/ES</w:t>
      </w:r>
      <w:r>
        <w:rPr>
          <w:rFonts w:hint="eastAsia"/>
        </w:rPr>
        <w:t>：M7 最保守，M0 最激进</w:t>
      </w:r>
    </w:p>
    <w:p w14:paraId="74EA5AC7">
      <w:pPr>
        <w:pStyle w:val="4"/>
      </w:pPr>
      <w:r>
        <w:rPr>
          <w:rFonts w:hint="eastAsia"/>
        </w:rPr>
        <w:t>6.2.2</w:t>
      </w:r>
      <w:r>
        <w:t>实证结果</w:t>
      </w:r>
    </w:p>
    <w:p w14:paraId="59D5989C">
      <w:pPr>
        <w:rPr>
          <w:b/>
          <w:bCs/>
        </w:rPr>
      </w:pPr>
      <w:r>
        <w:rPr>
          <w:rFonts w:hint="eastAsia"/>
          <w:b/>
          <w:bCs/>
        </w:rPr>
        <w:t>（1）</w:t>
      </w:r>
      <w:r>
        <w:rPr>
          <w:b/>
          <w:bCs/>
        </w:rPr>
        <w:t>总体表现</w:t>
      </w:r>
    </w:p>
    <w:tbl>
      <w:tblPr>
        <w:tblStyle w:val="41"/>
        <w:tblW w:w="864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836"/>
        <w:gridCol w:w="878"/>
        <w:gridCol w:w="1255"/>
        <w:gridCol w:w="1299"/>
        <w:gridCol w:w="1072"/>
        <w:gridCol w:w="1016"/>
      </w:tblGrid>
      <w:tr w14:paraId="34FCF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0890266B">
            <w:pPr>
              <w:pStyle w:val="43"/>
              <w:jc w:val="center"/>
            </w:pPr>
            <w:r>
              <w:t>模型</w:t>
            </w:r>
          </w:p>
        </w:tc>
        <w:tc>
          <w:tcPr>
            <w:tcW w:w="0" w:type="auto"/>
            <w:tcBorders>
              <w:bottom w:val="single" w:color="auto" w:sz="6" w:space="0"/>
            </w:tcBorders>
            <w:vAlign w:val="center"/>
          </w:tcPr>
          <w:p w14:paraId="1D1E99A2">
            <w:pPr>
              <w:pStyle w:val="43"/>
              <w:jc w:val="center"/>
            </w:pPr>
            <w:r>
              <w:t>NLL</w:t>
            </w:r>
          </w:p>
        </w:tc>
        <w:tc>
          <w:tcPr>
            <w:tcW w:w="0" w:type="auto"/>
            <w:tcBorders>
              <w:bottom w:val="single" w:color="auto" w:sz="6" w:space="0"/>
            </w:tcBorders>
            <w:vAlign w:val="center"/>
          </w:tcPr>
          <w:p w14:paraId="39F8AF9F">
            <w:pPr>
              <w:pStyle w:val="43"/>
              <w:jc w:val="center"/>
            </w:pPr>
            <w:r>
              <w:t>违约率</w:t>
            </w:r>
          </w:p>
        </w:tc>
        <w:tc>
          <w:tcPr>
            <w:tcW w:w="0" w:type="auto"/>
            <w:tcBorders>
              <w:bottom w:val="single" w:color="auto" w:sz="6" w:space="0"/>
            </w:tcBorders>
            <w:vAlign w:val="center"/>
          </w:tcPr>
          <w:p w14:paraId="14764373">
            <w:pPr>
              <w:pStyle w:val="43"/>
              <w:jc w:val="center"/>
            </w:pPr>
            <w:r>
              <w:t>Kupiec p-value</w:t>
            </w:r>
          </w:p>
        </w:tc>
        <w:tc>
          <w:tcPr>
            <w:tcW w:w="0" w:type="auto"/>
            <w:tcBorders>
              <w:bottom w:val="single" w:color="auto" w:sz="6" w:space="0"/>
            </w:tcBorders>
            <w:vAlign w:val="center"/>
          </w:tcPr>
          <w:p w14:paraId="180660B5">
            <w:pPr>
              <w:pStyle w:val="43"/>
              <w:jc w:val="center"/>
            </w:pPr>
            <w:r>
              <w:t>ES 损失 (</w:t>
            </w:r>
            <m:oMath>
              <m:r>
                <m:rPr/>
                <w:rPr>
                  <w:rFonts w:ascii="Cambria Math" w:hAnsi="Cambria Math"/>
                </w:rPr>
                <m:t>×</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w:r>
              <w:t>)</w:t>
            </w:r>
          </w:p>
        </w:tc>
        <w:tc>
          <w:tcPr>
            <w:tcW w:w="0" w:type="auto"/>
            <w:tcBorders>
              <w:bottom w:val="single" w:color="auto" w:sz="6" w:space="0"/>
            </w:tcBorders>
            <w:vAlign w:val="center"/>
          </w:tcPr>
          <w:p w14:paraId="47B8AFA2">
            <w:pPr>
              <w:pStyle w:val="43"/>
              <w:jc w:val="center"/>
            </w:pPr>
            <w:r>
              <w:t>平均 VaR</w:t>
            </w:r>
          </w:p>
        </w:tc>
        <w:tc>
          <w:tcPr>
            <w:tcW w:w="0" w:type="auto"/>
            <w:tcBorders>
              <w:bottom w:val="single" w:color="auto" w:sz="6" w:space="0"/>
            </w:tcBorders>
            <w:vAlign w:val="center"/>
          </w:tcPr>
          <w:p w14:paraId="1336B651">
            <w:pPr>
              <w:pStyle w:val="43"/>
              <w:jc w:val="center"/>
            </w:pPr>
            <w:r>
              <w:t>平均 ES</w:t>
            </w:r>
          </w:p>
        </w:tc>
      </w:tr>
      <w:tr w14:paraId="57ED1E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6820CA04">
            <w:pPr>
              <w:pStyle w:val="43"/>
              <w:jc w:val="center"/>
            </w:pPr>
            <w:r>
              <w:t>M0 Historical</w:t>
            </w:r>
          </w:p>
        </w:tc>
        <w:tc>
          <w:tcPr>
            <w:tcW w:w="0" w:type="auto"/>
            <w:tcBorders>
              <w:top w:val="single" w:color="auto" w:sz="6" w:space="0"/>
            </w:tcBorders>
            <w:vAlign w:val="center"/>
          </w:tcPr>
          <w:p w14:paraId="4CF2FD27">
            <w:pPr>
              <w:pStyle w:val="43"/>
              <w:jc w:val="center"/>
            </w:pPr>
            <w:r>
              <w:t>-2.601</w:t>
            </w:r>
          </w:p>
        </w:tc>
        <w:tc>
          <w:tcPr>
            <w:tcW w:w="0" w:type="auto"/>
            <w:tcBorders>
              <w:top w:val="single" w:color="auto" w:sz="6" w:space="0"/>
            </w:tcBorders>
            <w:vAlign w:val="center"/>
          </w:tcPr>
          <w:p w14:paraId="20E6AB1E">
            <w:pPr>
              <w:pStyle w:val="43"/>
              <w:jc w:val="center"/>
            </w:pPr>
            <w:r>
              <w:t>5.49%</w:t>
            </w:r>
          </w:p>
        </w:tc>
        <w:tc>
          <w:tcPr>
            <w:tcW w:w="0" w:type="auto"/>
            <w:tcBorders>
              <w:top w:val="single" w:color="auto" w:sz="6" w:space="0"/>
            </w:tcBorders>
            <w:vAlign w:val="center"/>
          </w:tcPr>
          <w:p w14:paraId="4C3F7198">
            <w:pPr>
              <w:pStyle w:val="43"/>
              <w:jc w:val="center"/>
            </w:pPr>
            <w:r>
              <w:t>0.670</w:t>
            </w:r>
          </w:p>
        </w:tc>
        <w:tc>
          <w:tcPr>
            <w:tcW w:w="0" w:type="auto"/>
            <w:tcBorders>
              <w:top w:val="single" w:color="auto" w:sz="6" w:space="0"/>
            </w:tcBorders>
            <w:vAlign w:val="center"/>
          </w:tcPr>
          <w:p w14:paraId="38F5A9F0">
            <w:pPr>
              <w:pStyle w:val="43"/>
              <w:jc w:val="center"/>
            </w:pPr>
            <w:r>
              <w:t>3.175</w:t>
            </w:r>
          </w:p>
        </w:tc>
        <w:tc>
          <w:tcPr>
            <w:tcW w:w="0" w:type="auto"/>
            <w:tcBorders>
              <w:top w:val="single" w:color="auto" w:sz="6" w:space="0"/>
            </w:tcBorders>
            <w:vAlign w:val="center"/>
          </w:tcPr>
          <w:p w14:paraId="43852E3C">
            <w:pPr>
              <w:pStyle w:val="43"/>
              <w:jc w:val="center"/>
            </w:pPr>
            <w:r>
              <w:t>1.459%</w:t>
            </w:r>
          </w:p>
        </w:tc>
        <w:tc>
          <w:tcPr>
            <w:tcW w:w="0" w:type="auto"/>
            <w:tcBorders>
              <w:top w:val="single" w:color="auto" w:sz="6" w:space="0"/>
            </w:tcBorders>
            <w:vAlign w:val="center"/>
          </w:tcPr>
          <w:p w14:paraId="674B89AA">
            <w:pPr>
              <w:pStyle w:val="43"/>
              <w:jc w:val="center"/>
            </w:pPr>
            <w:r>
              <w:t>2.560%</w:t>
            </w:r>
          </w:p>
        </w:tc>
      </w:tr>
      <w:tr w14:paraId="28DAF0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EC12CA6">
            <w:pPr>
              <w:pStyle w:val="43"/>
              <w:jc w:val="center"/>
            </w:pPr>
            <w:r>
              <w:t>M1 EWMA Normal</w:t>
            </w:r>
          </w:p>
        </w:tc>
        <w:tc>
          <w:tcPr>
            <w:tcW w:w="0" w:type="auto"/>
            <w:vAlign w:val="center"/>
          </w:tcPr>
          <w:p w14:paraId="13DABD0A">
            <w:pPr>
              <w:pStyle w:val="43"/>
              <w:jc w:val="center"/>
            </w:pPr>
            <w:r>
              <w:t>-3.009</w:t>
            </w:r>
          </w:p>
        </w:tc>
        <w:tc>
          <w:tcPr>
            <w:tcW w:w="0" w:type="auto"/>
            <w:vAlign w:val="center"/>
          </w:tcPr>
          <w:p w14:paraId="4992EF37">
            <w:pPr>
              <w:pStyle w:val="43"/>
              <w:jc w:val="center"/>
            </w:pPr>
            <w:r>
              <w:t>4.12%</w:t>
            </w:r>
          </w:p>
        </w:tc>
        <w:tc>
          <w:tcPr>
            <w:tcW w:w="0" w:type="auto"/>
            <w:vAlign w:val="center"/>
          </w:tcPr>
          <w:p w14:paraId="24EFEEDE">
            <w:pPr>
              <w:pStyle w:val="43"/>
              <w:jc w:val="center"/>
            </w:pPr>
            <w:r>
              <w:t>0.428</w:t>
            </w:r>
          </w:p>
        </w:tc>
        <w:tc>
          <w:tcPr>
            <w:tcW w:w="0" w:type="auto"/>
            <w:vAlign w:val="center"/>
          </w:tcPr>
          <w:p w14:paraId="23AB84FB">
            <w:pPr>
              <w:pStyle w:val="43"/>
              <w:jc w:val="center"/>
            </w:pPr>
            <w:r>
              <w:t>2.459</w:t>
            </w:r>
          </w:p>
        </w:tc>
        <w:tc>
          <w:tcPr>
            <w:tcW w:w="0" w:type="auto"/>
            <w:vAlign w:val="center"/>
          </w:tcPr>
          <w:p w14:paraId="06194BDB">
            <w:pPr>
              <w:pStyle w:val="43"/>
              <w:jc w:val="center"/>
            </w:pPr>
            <w:r>
              <w:t>1.827%</w:t>
            </w:r>
          </w:p>
        </w:tc>
        <w:tc>
          <w:tcPr>
            <w:tcW w:w="0" w:type="auto"/>
            <w:vAlign w:val="center"/>
          </w:tcPr>
          <w:p w14:paraId="137FCCA7">
            <w:pPr>
              <w:pStyle w:val="43"/>
              <w:jc w:val="center"/>
            </w:pPr>
            <w:r>
              <w:t>2.291%</w:t>
            </w:r>
          </w:p>
        </w:tc>
      </w:tr>
      <w:tr w14:paraId="682C82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238AE5D">
            <w:pPr>
              <w:pStyle w:val="43"/>
              <w:jc w:val="center"/>
            </w:pPr>
            <w:r>
              <w:t>M2 GARCH Normal</w:t>
            </w:r>
          </w:p>
        </w:tc>
        <w:tc>
          <w:tcPr>
            <w:tcW w:w="0" w:type="auto"/>
            <w:vAlign w:val="center"/>
          </w:tcPr>
          <w:p w14:paraId="03861F19">
            <w:pPr>
              <w:pStyle w:val="43"/>
              <w:jc w:val="center"/>
            </w:pPr>
            <w:r>
              <w:t>-3.045</w:t>
            </w:r>
          </w:p>
        </w:tc>
        <w:tc>
          <w:tcPr>
            <w:tcW w:w="0" w:type="auto"/>
            <w:vAlign w:val="center"/>
          </w:tcPr>
          <w:p w14:paraId="4B63B88E">
            <w:pPr>
              <w:pStyle w:val="43"/>
              <w:jc w:val="center"/>
            </w:pPr>
            <w:r>
              <w:t>3.85%</w:t>
            </w:r>
          </w:p>
        </w:tc>
        <w:tc>
          <w:tcPr>
            <w:tcW w:w="0" w:type="auto"/>
            <w:vAlign w:val="center"/>
          </w:tcPr>
          <w:p w14:paraId="4BABFB73">
            <w:pPr>
              <w:pStyle w:val="43"/>
              <w:jc w:val="center"/>
            </w:pPr>
            <w:r>
              <w:t>0.293</w:t>
            </w:r>
          </w:p>
        </w:tc>
        <w:tc>
          <w:tcPr>
            <w:tcW w:w="0" w:type="auto"/>
            <w:vAlign w:val="center"/>
          </w:tcPr>
          <w:p w14:paraId="1FDA38C8">
            <w:pPr>
              <w:pStyle w:val="43"/>
              <w:jc w:val="center"/>
            </w:pPr>
            <w:r>
              <w:t>2.516</w:t>
            </w:r>
          </w:p>
        </w:tc>
        <w:tc>
          <w:tcPr>
            <w:tcW w:w="0" w:type="auto"/>
            <w:vAlign w:val="center"/>
          </w:tcPr>
          <w:p w14:paraId="11C10782">
            <w:pPr>
              <w:pStyle w:val="43"/>
              <w:jc w:val="center"/>
            </w:pPr>
            <w:r>
              <w:t>1.833%</w:t>
            </w:r>
          </w:p>
        </w:tc>
        <w:tc>
          <w:tcPr>
            <w:tcW w:w="0" w:type="auto"/>
            <w:vAlign w:val="center"/>
          </w:tcPr>
          <w:p w14:paraId="3549B834">
            <w:pPr>
              <w:pStyle w:val="43"/>
              <w:jc w:val="center"/>
            </w:pPr>
            <w:r>
              <w:t>2.308%</w:t>
            </w:r>
          </w:p>
        </w:tc>
      </w:tr>
      <w:tr w14:paraId="01F0E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E9CF964">
            <w:pPr>
              <w:pStyle w:val="43"/>
              <w:jc w:val="center"/>
            </w:pPr>
            <w:r>
              <w:t>M3 GARCH t</w:t>
            </w:r>
          </w:p>
        </w:tc>
        <w:tc>
          <w:tcPr>
            <w:tcW w:w="0" w:type="auto"/>
            <w:vAlign w:val="center"/>
          </w:tcPr>
          <w:p w14:paraId="37183810">
            <w:pPr>
              <w:pStyle w:val="43"/>
              <w:jc w:val="center"/>
            </w:pPr>
            <w:r>
              <w:t>-3.035</w:t>
            </w:r>
          </w:p>
        </w:tc>
        <w:tc>
          <w:tcPr>
            <w:tcW w:w="0" w:type="auto"/>
            <w:vAlign w:val="center"/>
          </w:tcPr>
          <w:p w14:paraId="372B8346">
            <w:pPr>
              <w:pStyle w:val="43"/>
              <w:jc w:val="center"/>
            </w:pPr>
            <w:r>
              <w:t>4.12%</w:t>
            </w:r>
          </w:p>
        </w:tc>
        <w:tc>
          <w:tcPr>
            <w:tcW w:w="0" w:type="auto"/>
            <w:vAlign w:val="center"/>
          </w:tcPr>
          <w:p w14:paraId="1B57D685">
            <w:pPr>
              <w:pStyle w:val="43"/>
              <w:jc w:val="center"/>
            </w:pPr>
            <w:r>
              <w:t>0.428</w:t>
            </w:r>
          </w:p>
        </w:tc>
        <w:tc>
          <w:tcPr>
            <w:tcW w:w="0" w:type="auto"/>
            <w:vAlign w:val="center"/>
          </w:tcPr>
          <w:p w14:paraId="13CD67BD">
            <w:pPr>
              <w:pStyle w:val="43"/>
              <w:jc w:val="center"/>
            </w:pPr>
            <w:r>
              <w:t>2.181</w:t>
            </w:r>
          </w:p>
        </w:tc>
        <w:tc>
          <w:tcPr>
            <w:tcW w:w="0" w:type="auto"/>
            <w:vAlign w:val="center"/>
          </w:tcPr>
          <w:p w14:paraId="4A1172B6">
            <w:pPr>
              <w:pStyle w:val="43"/>
              <w:jc w:val="center"/>
            </w:pPr>
            <w:r>
              <w:t>1.771%</w:t>
            </w:r>
          </w:p>
        </w:tc>
        <w:tc>
          <w:tcPr>
            <w:tcW w:w="0" w:type="auto"/>
            <w:vAlign w:val="center"/>
          </w:tcPr>
          <w:p w14:paraId="1A6A7AAC">
            <w:pPr>
              <w:pStyle w:val="43"/>
              <w:jc w:val="center"/>
            </w:pPr>
            <w:r>
              <w:t>2.490%</w:t>
            </w:r>
          </w:p>
        </w:tc>
      </w:tr>
      <w:tr w14:paraId="0B1BC4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12035D8C">
            <w:pPr>
              <w:pStyle w:val="43"/>
              <w:jc w:val="center"/>
            </w:pPr>
            <w:r>
              <w:t>M4 GARCH skew-t</w:t>
            </w:r>
          </w:p>
        </w:tc>
        <w:tc>
          <w:tcPr>
            <w:tcW w:w="0" w:type="auto"/>
            <w:vAlign w:val="center"/>
          </w:tcPr>
          <w:p w14:paraId="26286C06">
            <w:pPr>
              <w:pStyle w:val="43"/>
              <w:jc w:val="center"/>
            </w:pPr>
            <w:r>
              <w:t>-3.043</w:t>
            </w:r>
          </w:p>
        </w:tc>
        <w:tc>
          <w:tcPr>
            <w:tcW w:w="0" w:type="auto"/>
            <w:vAlign w:val="center"/>
          </w:tcPr>
          <w:p w14:paraId="77C4FA71">
            <w:pPr>
              <w:pStyle w:val="43"/>
              <w:jc w:val="center"/>
            </w:pPr>
            <w:r>
              <w:t>3.85%</w:t>
            </w:r>
          </w:p>
        </w:tc>
        <w:tc>
          <w:tcPr>
            <w:tcW w:w="0" w:type="auto"/>
            <w:vAlign w:val="center"/>
          </w:tcPr>
          <w:p w14:paraId="5AC8C034">
            <w:pPr>
              <w:pStyle w:val="43"/>
              <w:jc w:val="center"/>
            </w:pPr>
            <w:r>
              <w:t>0.293</w:t>
            </w:r>
          </w:p>
        </w:tc>
        <w:tc>
          <w:tcPr>
            <w:tcW w:w="0" w:type="auto"/>
            <w:vAlign w:val="center"/>
          </w:tcPr>
          <w:p w14:paraId="62826E2B">
            <w:pPr>
              <w:pStyle w:val="43"/>
              <w:jc w:val="center"/>
            </w:pPr>
            <w:r>
              <w:t>2.266</w:t>
            </w:r>
          </w:p>
        </w:tc>
        <w:tc>
          <w:tcPr>
            <w:tcW w:w="0" w:type="auto"/>
            <w:vAlign w:val="center"/>
          </w:tcPr>
          <w:p w14:paraId="40C95B50">
            <w:pPr>
              <w:pStyle w:val="43"/>
              <w:jc w:val="center"/>
            </w:pPr>
            <w:r>
              <w:t>1.814%</w:t>
            </w:r>
          </w:p>
        </w:tc>
        <w:tc>
          <w:tcPr>
            <w:tcW w:w="0" w:type="auto"/>
            <w:vAlign w:val="center"/>
          </w:tcPr>
          <w:p w14:paraId="07C0D0ED">
            <w:pPr>
              <w:pStyle w:val="43"/>
              <w:jc w:val="center"/>
            </w:pPr>
            <w:r>
              <w:t>2.557%</w:t>
            </w:r>
          </w:p>
        </w:tc>
      </w:tr>
      <w:tr w14:paraId="72DB83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359C8DC">
            <w:pPr>
              <w:pStyle w:val="43"/>
              <w:jc w:val="center"/>
            </w:pPr>
            <w:r>
              <w:t>M5 LSTM Core</w:t>
            </w:r>
          </w:p>
        </w:tc>
        <w:tc>
          <w:tcPr>
            <w:tcW w:w="0" w:type="auto"/>
            <w:vAlign w:val="center"/>
          </w:tcPr>
          <w:p w14:paraId="667B7856">
            <w:pPr>
              <w:pStyle w:val="43"/>
              <w:jc w:val="center"/>
            </w:pPr>
            <w:r>
              <w:t>-3.144</w:t>
            </w:r>
          </w:p>
        </w:tc>
        <w:tc>
          <w:tcPr>
            <w:tcW w:w="0" w:type="auto"/>
            <w:vAlign w:val="center"/>
          </w:tcPr>
          <w:p w14:paraId="29C461F8">
            <w:pPr>
              <w:pStyle w:val="43"/>
              <w:jc w:val="center"/>
            </w:pPr>
            <w:r>
              <w:t>3.94%</w:t>
            </w:r>
          </w:p>
        </w:tc>
        <w:tc>
          <w:tcPr>
            <w:tcW w:w="0" w:type="auto"/>
            <w:vAlign w:val="center"/>
          </w:tcPr>
          <w:p w14:paraId="6DEF420E">
            <w:pPr>
              <w:pStyle w:val="43"/>
              <w:jc w:val="center"/>
            </w:pPr>
            <w:r>
              <w:t>0.344</w:t>
            </w:r>
          </w:p>
        </w:tc>
        <w:tc>
          <w:tcPr>
            <w:tcW w:w="0" w:type="auto"/>
            <w:vAlign w:val="center"/>
          </w:tcPr>
          <w:p w14:paraId="0EC6008F">
            <w:pPr>
              <w:pStyle w:val="43"/>
              <w:jc w:val="center"/>
            </w:pPr>
            <w:r>
              <w:t>3.337</w:t>
            </w:r>
          </w:p>
        </w:tc>
        <w:tc>
          <w:tcPr>
            <w:tcW w:w="0" w:type="auto"/>
            <w:vAlign w:val="center"/>
          </w:tcPr>
          <w:p w14:paraId="5D102FF6">
            <w:pPr>
              <w:pStyle w:val="43"/>
              <w:jc w:val="center"/>
            </w:pPr>
            <w:r>
              <w:t>1.815%</w:t>
            </w:r>
          </w:p>
        </w:tc>
        <w:tc>
          <w:tcPr>
            <w:tcW w:w="0" w:type="auto"/>
            <w:vAlign w:val="center"/>
          </w:tcPr>
          <w:p w14:paraId="510CCB2E">
            <w:pPr>
              <w:pStyle w:val="43"/>
              <w:jc w:val="center"/>
            </w:pPr>
            <w:r>
              <w:t>2.600%</w:t>
            </w:r>
          </w:p>
        </w:tc>
      </w:tr>
      <w:tr w14:paraId="46C66B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A46D210">
            <w:pPr>
              <w:pStyle w:val="43"/>
              <w:jc w:val="center"/>
            </w:pPr>
            <w:r>
              <w:t>M6 LSTM Market</w:t>
            </w:r>
          </w:p>
        </w:tc>
        <w:tc>
          <w:tcPr>
            <w:tcW w:w="0" w:type="auto"/>
            <w:vAlign w:val="center"/>
          </w:tcPr>
          <w:p w14:paraId="39F5A96C">
            <w:pPr>
              <w:pStyle w:val="43"/>
              <w:jc w:val="center"/>
            </w:pPr>
            <w:r>
              <w:t>-3.133</w:t>
            </w:r>
          </w:p>
        </w:tc>
        <w:tc>
          <w:tcPr>
            <w:tcW w:w="0" w:type="auto"/>
            <w:vAlign w:val="center"/>
          </w:tcPr>
          <w:p w14:paraId="20716682">
            <w:pPr>
              <w:pStyle w:val="43"/>
              <w:jc w:val="center"/>
            </w:pPr>
            <w:r>
              <w:t>3.66%</w:t>
            </w:r>
          </w:p>
        </w:tc>
        <w:tc>
          <w:tcPr>
            <w:tcW w:w="0" w:type="auto"/>
            <w:vAlign w:val="center"/>
          </w:tcPr>
          <w:p w14:paraId="39764DA3">
            <w:pPr>
              <w:pStyle w:val="43"/>
              <w:jc w:val="center"/>
            </w:pPr>
            <w:r>
              <w:t>0.225</w:t>
            </w:r>
          </w:p>
        </w:tc>
        <w:tc>
          <w:tcPr>
            <w:tcW w:w="0" w:type="auto"/>
            <w:vAlign w:val="center"/>
          </w:tcPr>
          <w:p w14:paraId="0A8D39D7">
            <w:pPr>
              <w:pStyle w:val="43"/>
              <w:jc w:val="center"/>
            </w:pPr>
            <w:r>
              <w:t>3.362</w:t>
            </w:r>
          </w:p>
        </w:tc>
        <w:tc>
          <w:tcPr>
            <w:tcW w:w="0" w:type="auto"/>
            <w:vAlign w:val="center"/>
          </w:tcPr>
          <w:p w14:paraId="66F0957D">
            <w:pPr>
              <w:pStyle w:val="43"/>
              <w:jc w:val="center"/>
            </w:pPr>
            <w:r>
              <w:t>1.962%</w:t>
            </w:r>
          </w:p>
        </w:tc>
        <w:tc>
          <w:tcPr>
            <w:tcW w:w="0" w:type="auto"/>
            <w:vAlign w:val="center"/>
          </w:tcPr>
          <w:p w14:paraId="36A3D8F1">
            <w:pPr>
              <w:pStyle w:val="43"/>
              <w:jc w:val="center"/>
            </w:pPr>
            <w:r>
              <w:t>2.782%</w:t>
            </w:r>
          </w:p>
        </w:tc>
      </w:tr>
      <w:tr w14:paraId="40192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5056880">
            <w:pPr>
              <w:pStyle w:val="43"/>
              <w:jc w:val="center"/>
            </w:pPr>
            <w:r>
              <w:t>M7 LSTM Barycenter</w:t>
            </w:r>
          </w:p>
        </w:tc>
        <w:tc>
          <w:tcPr>
            <w:tcW w:w="0" w:type="auto"/>
            <w:vAlign w:val="center"/>
          </w:tcPr>
          <w:p w14:paraId="7B86D8BA">
            <w:pPr>
              <w:pStyle w:val="43"/>
              <w:jc w:val="center"/>
            </w:pPr>
            <w:r>
              <w:t>-3.110</w:t>
            </w:r>
          </w:p>
        </w:tc>
        <w:tc>
          <w:tcPr>
            <w:tcW w:w="0" w:type="auto"/>
            <w:vAlign w:val="center"/>
          </w:tcPr>
          <w:p w14:paraId="7F355CCA">
            <w:pPr>
              <w:pStyle w:val="43"/>
              <w:jc w:val="center"/>
            </w:pPr>
            <w:r>
              <w:t>2.82%</w:t>
            </w:r>
          </w:p>
        </w:tc>
        <w:tc>
          <w:tcPr>
            <w:tcW w:w="0" w:type="auto"/>
            <w:vAlign w:val="center"/>
          </w:tcPr>
          <w:p w14:paraId="3D35B016">
            <w:pPr>
              <w:pStyle w:val="43"/>
              <w:jc w:val="center"/>
            </w:pPr>
            <w:r>
              <w:t>0.040</w:t>
            </w:r>
          </w:p>
        </w:tc>
        <w:tc>
          <w:tcPr>
            <w:tcW w:w="0" w:type="auto"/>
            <w:vAlign w:val="center"/>
          </w:tcPr>
          <w:p w14:paraId="4FB11BD3">
            <w:pPr>
              <w:pStyle w:val="43"/>
              <w:jc w:val="center"/>
            </w:pPr>
            <w:r>
              <w:t>3.810</w:t>
            </w:r>
          </w:p>
        </w:tc>
        <w:tc>
          <w:tcPr>
            <w:tcW w:w="0" w:type="auto"/>
            <w:vAlign w:val="center"/>
          </w:tcPr>
          <w:p w14:paraId="588553B4">
            <w:pPr>
              <w:pStyle w:val="43"/>
              <w:jc w:val="center"/>
            </w:pPr>
            <w:r>
              <w:t>2.153%</w:t>
            </w:r>
          </w:p>
        </w:tc>
        <w:tc>
          <w:tcPr>
            <w:tcW w:w="0" w:type="auto"/>
            <w:vAlign w:val="center"/>
          </w:tcPr>
          <w:p w14:paraId="0DE9095E">
            <w:pPr>
              <w:pStyle w:val="43"/>
              <w:jc w:val="center"/>
            </w:pPr>
            <w:r>
              <w:t>3.107%</w:t>
            </w:r>
          </w:p>
        </w:tc>
      </w:tr>
      <w:tr w14:paraId="28B1A3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1F13221D">
            <w:pPr>
              <w:pStyle w:val="43"/>
              <w:jc w:val="center"/>
            </w:pPr>
            <w:r>
              <w:t>M8 AdaMamba-Core</w:t>
            </w:r>
          </w:p>
        </w:tc>
        <w:tc>
          <w:tcPr>
            <w:tcW w:w="0" w:type="auto"/>
            <w:vAlign w:val="center"/>
          </w:tcPr>
          <w:p w14:paraId="3C107FB6">
            <w:pPr>
              <w:pStyle w:val="43"/>
              <w:jc w:val="center"/>
            </w:pPr>
            <w:r>
              <w:t>-3.158</w:t>
            </w:r>
          </w:p>
        </w:tc>
        <w:tc>
          <w:tcPr>
            <w:tcW w:w="0" w:type="auto"/>
            <w:vAlign w:val="center"/>
          </w:tcPr>
          <w:p w14:paraId="60004667">
            <w:pPr>
              <w:pStyle w:val="43"/>
              <w:jc w:val="center"/>
            </w:pPr>
            <w:r>
              <w:t>4.23%</w:t>
            </w:r>
          </w:p>
        </w:tc>
        <w:tc>
          <w:tcPr>
            <w:tcW w:w="0" w:type="auto"/>
            <w:vAlign w:val="center"/>
          </w:tcPr>
          <w:p w14:paraId="0599BCBB">
            <w:pPr>
              <w:pStyle w:val="43"/>
              <w:jc w:val="center"/>
            </w:pPr>
            <w:r>
              <w:t>0.492</w:t>
            </w:r>
          </w:p>
        </w:tc>
        <w:tc>
          <w:tcPr>
            <w:tcW w:w="0" w:type="auto"/>
            <w:vAlign w:val="center"/>
          </w:tcPr>
          <w:p w14:paraId="75EA0734">
            <w:pPr>
              <w:pStyle w:val="43"/>
              <w:jc w:val="center"/>
            </w:pPr>
            <w:r>
              <w:t>2.841</w:t>
            </w:r>
          </w:p>
        </w:tc>
        <w:tc>
          <w:tcPr>
            <w:tcW w:w="0" w:type="auto"/>
            <w:vAlign w:val="center"/>
          </w:tcPr>
          <w:p w14:paraId="2E235BB7">
            <w:pPr>
              <w:pStyle w:val="43"/>
              <w:jc w:val="center"/>
            </w:pPr>
            <w:r>
              <w:t>1.828%</w:t>
            </w:r>
          </w:p>
        </w:tc>
        <w:tc>
          <w:tcPr>
            <w:tcW w:w="0" w:type="auto"/>
            <w:vAlign w:val="center"/>
          </w:tcPr>
          <w:p w14:paraId="1D823ED8">
            <w:pPr>
              <w:pStyle w:val="43"/>
              <w:jc w:val="center"/>
            </w:pPr>
            <w:r>
              <w:t>2.845%</w:t>
            </w:r>
          </w:p>
        </w:tc>
      </w:tr>
      <w:tr w14:paraId="5DDD0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1D0FD0F">
            <w:pPr>
              <w:pStyle w:val="43"/>
              <w:jc w:val="center"/>
            </w:pPr>
            <w:r>
              <w:t>M9 AdaMamba-Market</w:t>
            </w:r>
          </w:p>
        </w:tc>
        <w:tc>
          <w:tcPr>
            <w:tcW w:w="0" w:type="auto"/>
            <w:vAlign w:val="center"/>
          </w:tcPr>
          <w:p w14:paraId="0988F960">
            <w:pPr>
              <w:pStyle w:val="43"/>
              <w:jc w:val="center"/>
            </w:pPr>
            <w:r>
              <w:t>-3.117</w:t>
            </w:r>
          </w:p>
        </w:tc>
        <w:tc>
          <w:tcPr>
            <w:tcW w:w="0" w:type="auto"/>
            <w:vAlign w:val="center"/>
          </w:tcPr>
          <w:p w14:paraId="66D391F1">
            <w:pPr>
              <w:pStyle w:val="43"/>
              <w:jc w:val="center"/>
            </w:pPr>
            <w:r>
              <w:t>2.82%</w:t>
            </w:r>
          </w:p>
        </w:tc>
        <w:tc>
          <w:tcPr>
            <w:tcW w:w="0" w:type="auto"/>
            <w:vAlign w:val="center"/>
          </w:tcPr>
          <w:p w14:paraId="5D92C1FC">
            <w:pPr>
              <w:pStyle w:val="43"/>
              <w:jc w:val="center"/>
            </w:pPr>
            <w:r>
              <w:t>0.040</w:t>
            </w:r>
          </w:p>
        </w:tc>
        <w:tc>
          <w:tcPr>
            <w:tcW w:w="0" w:type="auto"/>
            <w:vAlign w:val="center"/>
          </w:tcPr>
          <w:p w14:paraId="6228CEEA">
            <w:pPr>
              <w:pStyle w:val="43"/>
              <w:jc w:val="center"/>
            </w:pPr>
            <w:r>
              <w:t>3.933</w:t>
            </w:r>
          </w:p>
        </w:tc>
        <w:tc>
          <w:tcPr>
            <w:tcW w:w="0" w:type="auto"/>
            <w:vAlign w:val="center"/>
          </w:tcPr>
          <w:p w14:paraId="5296D633">
            <w:pPr>
              <w:pStyle w:val="43"/>
              <w:jc w:val="center"/>
            </w:pPr>
            <w:r>
              <w:t>2.227%</w:t>
            </w:r>
          </w:p>
        </w:tc>
        <w:tc>
          <w:tcPr>
            <w:tcW w:w="0" w:type="auto"/>
            <w:vAlign w:val="center"/>
          </w:tcPr>
          <w:p w14:paraId="7FA451A4">
            <w:pPr>
              <w:pStyle w:val="43"/>
              <w:jc w:val="center"/>
            </w:pPr>
            <w:r>
              <w:t>3.653%</w:t>
            </w:r>
          </w:p>
        </w:tc>
      </w:tr>
      <w:tr w14:paraId="364B86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498D1C8">
            <w:pPr>
              <w:pStyle w:val="43"/>
              <w:jc w:val="center"/>
            </w:pPr>
            <w:r>
              <w:t>M10 AdaMamba-Dist</w:t>
            </w:r>
          </w:p>
        </w:tc>
        <w:tc>
          <w:tcPr>
            <w:tcW w:w="0" w:type="auto"/>
            <w:vAlign w:val="center"/>
          </w:tcPr>
          <w:p w14:paraId="75B492C3">
            <w:pPr>
              <w:pStyle w:val="43"/>
              <w:jc w:val="center"/>
            </w:pPr>
            <w:r>
              <w:t>-3.134</w:t>
            </w:r>
          </w:p>
        </w:tc>
        <w:tc>
          <w:tcPr>
            <w:tcW w:w="0" w:type="auto"/>
            <w:vAlign w:val="center"/>
          </w:tcPr>
          <w:p w14:paraId="2B6F2A05">
            <w:pPr>
              <w:pStyle w:val="43"/>
              <w:jc w:val="center"/>
            </w:pPr>
            <w:r>
              <w:t>5.07%</w:t>
            </w:r>
          </w:p>
        </w:tc>
        <w:tc>
          <w:tcPr>
            <w:tcW w:w="0" w:type="auto"/>
            <w:vAlign w:val="center"/>
          </w:tcPr>
          <w:p w14:paraId="62ABB9F0">
            <w:pPr>
              <w:pStyle w:val="43"/>
              <w:jc w:val="center"/>
            </w:pPr>
            <w:r>
              <w:t>0.952</w:t>
            </w:r>
          </w:p>
        </w:tc>
        <w:tc>
          <w:tcPr>
            <w:tcW w:w="0" w:type="auto"/>
            <w:vAlign w:val="center"/>
          </w:tcPr>
          <w:p w14:paraId="710907E6">
            <w:pPr>
              <w:pStyle w:val="43"/>
              <w:jc w:val="center"/>
            </w:pPr>
            <w:r>
              <w:t>2.813</w:t>
            </w:r>
          </w:p>
        </w:tc>
        <w:tc>
          <w:tcPr>
            <w:tcW w:w="0" w:type="auto"/>
            <w:vAlign w:val="center"/>
          </w:tcPr>
          <w:p w14:paraId="0280E8FC">
            <w:pPr>
              <w:pStyle w:val="43"/>
              <w:jc w:val="center"/>
            </w:pPr>
            <w:r>
              <w:t>1.890%</w:t>
            </w:r>
          </w:p>
        </w:tc>
        <w:tc>
          <w:tcPr>
            <w:tcW w:w="0" w:type="auto"/>
            <w:vAlign w:val="center"/>
          </w:tcPr>
          <w:p w14:paraId="2676CAB7">
            <w:pPr>
              <w:pStyle w:val="43"/>
              <w:jc w:val="center"/>
            </w:pPr>
            <w:r>
              <w:t>3.118%</w:t>
            </w:r>
          </w:p>
        </w:tc>
      </w:tr>
    </w:tbl>
    <w:p w14:paraId="3A84EE9E">
      <w:pPr>
        <w:ind w:firstLine="560" w:firstLineChars="200"/>
      </w:pPr>
      <w:r>
        <w:t xml:space="preserve">将 </w:t>
      </w:r>
      <w:r>
        <w:rPr>
          <w:rFonts w:hint="eastAsia"/>
        </w:rPr>
        <w:t>11</w:t>
      </w:r>
      <w:r>
        <w:t xml:space="preserve"> 个模型的 5% VaR 预测值与 CSI300 实际日收益率绘制于同一坐标系，VaR 以不同颜色区分各模型，实际收益率以黑色折线呈现，亏损日以红色散点标注</w:t>
      </w:r>
      <w:r>
        <w:rPr>
          <w:rFonts w:hint="eastAsia"/>
        </w:rPr>
        <w:t>如</w:t>
      </w:r>
      <w:r>
        <w:fldChar w:fldCharType="begin"/>
      </w:r>
      <w:r>
        <w:instrText xml:space="preserve"> </w:instrText>
      </w:r>
      <w:r>
        <w:rPr>
          <w:rFonts w:hint="eastAsia"/>
        </w:rPr>
        <w:instrText xml:space="preserve">REF _Ref230375129 \h</w:instrText>
      </w:r>
      <w:r>
        <w:instrText xml:space="preserve"> </w:instrText>
      </w:r>
      <w:r>
        <w:fldChar w:fldCharType="separate"/>
      </w:r>
      <w:r>
        <w:rPr>
          <w:rFonts w:hint="eastAsia"/>
        </w:rPr>
        <w:t>图 15</w:t>
      </w:r>
      <w:r>
        <w:fldChar w:fldCharType="end"/>
      </w:r>
      <w:r>
        <w:rPr>
          <w:rFonts w:hint="eastAsia"/>
        </w:rPr>
        <w:t>:</w:t>
      </w:r>
    </w:p>
    <w:p w14:paraId="11E43A64">
      <w:r>
        <w:drawing>
          <wp:inline distT="0" distB="0" distL="0" distR="0">
            <wp:extent cx="5274310" cy="2134870"/>
            <wp:effectExtent l="0" t="0" r="2540" b="0"/>
            <wp:docPr id="933245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5318" name="图片 3"/>
                    <pic:cNvPicPr>
                      <a:picLocks noChangeAspect="1" noChangeArrowheads="1"/>
                    </pic:cNvPicPr>
                  </pic:nvPicPr>
                  <pic:blipFill>
                    <a:blip r:embed="rId205" cstate="print">
                      <a:extLst>
                        <a:ext uri="{28A0092B-C50C-407E-A947-70E740481C1C}">
                          <a14:useLocalDpi xmlns:a14="http://schemas.microsoft.com/office/drawing/2010/main" val="0"/>
                        </a:ext>
                      </a:extLst>
                    </a:blip>
                    <a:srcRect t="4641"/>
                    <a:stretch>
                      <a:fillRect/>
                    </a:stretch>
                  </pic:blipFill>
                  <pic:spPr>
                    <a:xfrm>
                      <a:off x="0" y="0"/>
                      <a:ext cx="5274310" cy="2135101"/>
                    </a:xfrm>
                    <a:prstGeom prst="rect">
                      <a:avLst/>
                    </a:prstGeom>
                    <a:noFill/>
                    <a:ln>
                      <a:noFill/>
                    </a:ln>
                  </pic:spPr>
                </pic:pic>
              </a:graphicData>
            </a:graphic>
          </wp:inline>
        </w:drawing>
      </w:r>
    </w:p>
    <w:p w14:paraId="12101919">
      <w:pPr>
        <w:pStyle w:val="11"/>
        <w:jc w:val="center"/>
        <w:rPr>
          <w:rFonts w:hint="eastAsia"/>
        </w:rPr>
      </w:pPr>
      <w:bookmarkStart w:id="26" w:name="_Ref23037512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15</w:t>
      </w:r>
      <w:r>
        <w:fldChar w:fldCharType="end"/>
      </w:r>
      <w:bookmarkEnd w:id="26"/>
      <w:r>
        <w:t>模型 VaR(5%) 时间序列对比"</w:t>
      </w:r>
    </w:p>
    <w:p w14:paraId="2617FF4B">
      <w:pPr>
        <w:ind w:firstLine="560" w:firstLineChars="200"/>
      </w:pPr>
      <w:r>
        <w:rPr>
          <w:rFonts w:hint="eastAsia"/>
        </w:rPr>
        <w:t>发现</w:t>
      </w:r>
      <w:r>
        <w:t>所有模型的 VaR 均在经济意义合理的范围内波动（M0 Historical 的 VaR 最为平滑，因为其使用 250 日固定窗口；LSTM 系列模型的 VaR 波动性更高，能够更快响应市场状态变化）。M7 LSTM-Barycenter 的 VaR 在 2024 年 9 月政策驱动行情期间显著上升，表现出对尾部风险的敏感反应。各模型 VaR 的排序相对稳定：M3/M7 的 VaR 通常最高（最保守），M0 Historical 的 VaR 最低（最直接）。</w:t>
      </w:r>
    </w:p>
    <w:p w14:paraId="61392840">
      <w:pPr>
        <w:rPr>
          <w:b/>
          <w:bCs/>
        </w:rPr>
      </w:pPr>
      <w:r>
        <w:rPr>
          <w:rFonts w:hint="eastAsia"/>
          <w:b/>
          <w:bCs/>
        </w:rPr>
        <w:t>（2）</w:t>
      </w:r>
      <w:r>
        <w:rPr>
          <w:b/>
          <w:bCs/>
        </w:rPr>
        <w:t>关键发现</w:t>
      </w:r>
    </w:p>
    <w:p w14:paraId="2E31B239">
      <w:pPr>
        <w:pStyle w:val="34"/>
        <w:numPr>
          <w:ilvl w:val="0"/>
          <w:numId w:val="11"/>
        </w:numPr>
      </w:pPr>
      <w:r>
        <w:t>违约率与 VaR 准确性</w:t>
      </w:r>
    </w:p>
    <w:p w14:paraId="4AFE2754">
      <w:pPr>
        <w:ind w:firstLine="560" w:firstLineChars="200"/>
      </w:pPr>
      <w:r>
        <w:t>M10 AdaMamba-Dist 的违约率最接近理论 5%（5.07%，Kupiec p=0.952——全模型最高），表明双向Mamba + RevIN + Barycenter的架构组合在VaR校准上达到最优精度。M8 AdaMamba-Core次优（4.23%，Kupiec p=0.492）。M9 AdaMamba-Market（2.82%，p=0.040）与M7一样存在过度保守问题。Barycenter特征在Mamba架构下使Kupiec p从0.040（M9）大幅提升至0.952（M10），校准效果质的飞跃。 所有模型除M7和M9外Kupiec p值均高于0.05，说明整体VaR设定基本合理。</w:t>
      </w:r>
    </w:p>
    <w:p w14:paraId="62715DF1">
      <w:pPr>
        <w:ind w:firstLine="560" w:firstLineChars="200"/>
      </w:pPr>
      <w:r>
        <w:t>为</w:t>
      </w:r>
      <w:r>
        <w:rPr>
          <w:rFonts w:hint="eastAsia"/>
        </w:rPr>
        <w:t>这几</w:t>
      </w:r>
      <w:r>
        <w:t>个模型分别绘制子图，每个子图中展示该模型的 VaR 预测值（彩色折线）、实际收益率（黑色折线）和违约事件（红色散点），并标注违约次数</w:t>
      </w:r>
      <w:r>
        <w:rPr>
          <w:rFonts w:hint="eastAsia"/>
        </w:rPr>
        <w:t>，结果如</w:t>
      </w:r>
      <w:r>
        <w:fldChar w:fldCharType="begin"/>
      </w:r>
      <w:r>
        <w:instrText xml:space="preserve"> </w:instrText>
      </w:r>
      <w:r>
        <w:rPr>
          <w:rFonts w:hint="eastAsia"/>
        </w:rPr>
        <w:instrText xml:space="preserve">REF _Ref230375361 \h</w:instrText>
      </w:r>
      <w:r>
        <w:instrText xml:space="preserve"> </w:instrText>
      </w:r>
      <w:r>
        <w:fldChar w:fldCharType="separate"/>
      </w:r>
      <w:r>
        <w:rPr>
          <w:rFonts w:hint="eastAsia"/>
        </w:rPr>
        <w:t>图 16</w:t>
      </w:r>
      <w:r>
        <w:fldChar w:fldCharType="end"/>
      </w:r>
      <w:r>
        <w:rPr>
          <w:rFonts w:hint="eastAsia"/>
        </w:rPr>
        <w:t>：</w:t>
      </w:r>
    </w:p>
    <w:p w14:paraId="41B33B52">
      <w:pPr>
        <w:pStyle w:val="11"/>
        <w:jc w:val="center"/>
        <w:rPr>
          <w:rFonts w:hint="eastAsia"/>
        </w:rPr>
      </w:pPr>
      <w:bookmarkStart w:id="27" w:name="_Ref230375361"/>
      <w:r>
        <w:drawing>
          <wp:inline distT="0" distB="0" distL="0" distR="0">
            <wp:extent cx="5274310" cy="4624705"/>
            <wp:effectExtent l="0" t="0" r="2540" b="4445"/>
            <wp:docPr id="14907049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04920" name="图片 4"/>
                    <pic:cNvPicPr>
                      <a:picLocks noChangeAspect="1" noChangeArrowheads="1"/>
                    </pic:cNvPicPr>
                  </pic:nvPicPr>
                  <pic:blipFill>
                    <a:blip r:embed="rId206" cstate="print">
                      <a:extLst>
                        <a:ext uri="{28A0092B-C50C-407E-A947-70E740481C1C}">
                          <a14:useLocalDpi xmlns:a14="http://schemas.microsoft.com/office/drawing/2010/main" val="0"/>
                        </a:ext>
                      </a:extLst>
                    </a:blip>
                    <a:srcRect t="2340"/>
                    <a:stretch>
                      <a:fillRect/>
                    </a:stretch>
                  </pic:blipFill>
                  <pic:spPr>
                    <a:xfrm>
                      <a:off x="0" y="0"/>
                      <a:ext cx="5274310" cy="4624993"/>
                    </a:xfrm>
                    <a:prstGeom prst="rect">
                      <a:avLst/>
                    </a:prstGeom>
                    <a:noFill/>
                    <a:ln>
                      <a:noFill/>
                    </a:ln>
                  </pic:spPr>
                </pic:pic>
              </a:graphicData>
            </a:graphic>
          </wp:inline>
        </w:drawing>
      </w: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16</w:t>
      </w:r>
      <w:r>
        <w:fldChar w:fldCharType="end"/>
      </w:r>
      <w:bookmarkEnd w:id="27"/>
      <w:r>
        <w:t>各模型 VaR 与违约事件"</w:t>
      </w:r>
    </w:p>
    <w:p w14:paraId="63C02DC1">
      <w:pPr>
        <w:ind w:firstLine="560" w:firstLineChars="200"/>
      </w:pPr>
      <w:r>
        <w:t>逐模型对比显示，传统模型（M0-M4）的违约分布较为均匀，违约事件主要发生在 2024 年 10 月和 2025 年 4 月的两次暴跌中。LSTM 模型（M5-M7）的 VaR 在 2024 年 9 月暴涨后快速上调，导致 2024 年 10 月的暴跌中违约较少，但 VaR 的上调速度仍有滞后。M7 LSTM-Barycenter 的违约数最少（10 次），但同时其 VaR 也是所有模型中最高的。</w:t>
      </w:r>
    </w:p>
    <w:p w14:paraId="6022BA11">
      <w:pPr>
        <w:pStyle w:val="34"/>
        <w:numPr>
          <w:ilvl w:val="0"/>
          <w:numId w:val="11"/>
        </w:numPr>
      </w:pPr>
      <w:r>
        <w:t>分布预测精度（NLL）</w:t>
      </w:r>
    </w:p>
    <w:p w14:paraId="2F490CB2">
      <w:pPr>
        <w:ind w:firstLine="560" w:firstLineChars="200"/>
      </w:pPr>
      <w:r>
        <w:t>LSTM 模型的 NLL 值（-3.110 至 -3.144）整体优于传统模型（-2.601 至 -3.050），说明 Distributional LSTM 框架能够更好地拟合收益分布的完整形态。M5 LSTM-Core 取得最优 NLL（-3.144），表明偏态 t 分布 + LSTM 序列建模的组合具有最强的分布拟合能力。</w:t>
      </w:r>
    </w:p>
    <w:p w14:paraId="2078DF6F">
      <w:pPr>
        <w:pStyle w:val="34"/>
        <w:numPr>
          <w:ilvl w:val="0"/>
          <w:numId w:val="11"/>
        </w:numPr>
      </w:pPr>
      <w:r>
        <w:rPr>
          <w:b/>
          <w:bCs/>
        </w:rPr>
        <w:t>尾部风险预测（ES 损失）</w:t>
      </w:r>
    </w:p>
    <w:p w14:paraId="582065D6">
      <w:pPr>
        <w:ind w:firstLine="560" w:firstLineChars="200"/>
      </w:pPr>
      <w:r>
        <w:t>M3 GARCH-t 和 M4 GARCH-skew-t 取得最优 ES 损失（2.181×10</w:t>
      </w:r>
      <w:r>
        <w:rPr>
          <w:rFonts w:ascii="Cambria Math" w:hAnsi="Cambria Math" w:cs="Cambria Math"/>
        </w:rPr>
        <w:t>⁻⁴</w:t>
      </w:r>
      <w:r>
        <w:t xml:space="preserve"> 和 2.266×10</w:t>
      </w:r>
      <w:r>
        <w:rPr>
          <w:rFonts w:ascii="Cambria Math" w:hAnsi="Cambria Math" w:cs="Cambria Math"/>
        </w:rPr>
        <w:t>⁻⁴</w:t>
      </w:r>
      <w:r>
        <w:t>），表明 GARCH + 厚尾残差分布的组合在极端尾部预测中最精确，其中 M3 使用 arch 原生 unit-variance Student-t 分位数后 ES 精度显著提升。LSTM 模型的 ES 损失（3.337-3.810×10</w:t>
      </w:r>
      <w:r>
        <w:rPr>
          <w:rFonts w:ascii="Cambria Math" w:hAnsi="Cambria Math" w:cs="Cambria Math"/>
        </w:rPr>
        <w:t>⁻⁴</w:t>
      </w:r>
      <w:r>
        <w:t>）相对较大，可能与其保守的 VaR 阈值相关——保守 VaR 导致进入尾部的样本较少，ES 估计的方差增大。</w:t>
      </w:r>
    </w:p>
    <w:p w14:paraId="6DEFABA4">
      <w:pPr>
        <w:pStyle w:val="34"/>
        <w:numPr>
          <w:ilvl w:val="0"/>
          <w:numId w:val="11"/>
        </w:numPr>
      </w:pPr>
      <w:r>
        <w:rPr>
          <w:b/>
          <w:bCs/>
        </w:rPr>
        <w:t>综合市场状态分布的增量价值</w:t>
      </w:r>
    </w:p>
    <w:p w14:paraId="1E9897CF">
      <w:pPr>
        <w:ind w:firstLine="560" w:firstLineChars="200"/>
      </w:pPr>
      <w:r>
        <w:t>M7 的违约率（2.82%）低于 M6（3.66%），M7 的 VaR 和 ES 绝对值（2.15%、3.11%）高于 M6（1.96%、2.78%），说明加入 Barycenter 特征后模型更加保守。这与问题一的发现一致——Barycenter 综合波动率主要由原油驱动，原油的高波动性在测试期（2024-2025）通过综合分布特征传递到 CSI300 的风险预测中，使模型对尾部风险更加审慎。</w:t>
      </w:r>
    </w:p>
    <w:p w14:paraId="5F04A2F5">
      <w:pPr>
        <w:ind w:firstLine="560" w:firstLineChars="200"/>
      </w:pPr>
      <w:r>
        <w:t>M7 平均 VaR 比 M6 高出约 10%，但违约率从 3.66% 降至 2.82%（降幅 23%），说明</w:t>
      </w:r>
      <w:r>
        <w:rPr>
          <w:b/>
          <w:bCs/>
        </w:rPr>
        <w:t>增加的保守性是有信息含量的</w:t>
      </w:r>
      <w:r>
        <w:t>——在真正风险来临前就已提高 VaR 门槛。</w:t>
      </w:r>
    </w:p>
    <w:p w14:paraId="4FEC8B23">
      <w:pPr>
        <w:rPr>
          <w:b/>
          <w:bCs/>
        </w:rPr>
      </w:pPr>
      <w:r>
        <w:rPr>
          <w:rFonts w:hint="eastAsia"/>
          <w:b/>
          <w:bCs/>
        </w:rPr>
        <w:t>（3）</w:t>
      </w:r>
      <w:r>
        <w:rPr>
          <w:b/>
          <w:bCs/>
        </w:rPr>
        <w:t>LSTM 模型参数分析</w:t>
      </w:r>
    </w:p>
    <w:tbl>
      <w:tblPr>
        <w:tblStyle w:val="4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7"/>
        <w:gridCol w:w="1568"/>
        <w:gridCol w:w="1810"/>
        <w:gridCol w:w="2294"/>
        <w:gridCol w:w="1327"/>
      </w:tblGrid>
      <w:tr w14:paraId="6AE079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40A29A67">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参数</w:t>
            </w:r>
          </w:p>
        </w:tc>
        <w:tc>
          <w:tcPr>
            <w:tcW w:w="0" w:type="auto"/>
            <w:tcBorders>
              <w:bottom w:val="single" w:color="auto" w:sz="6" w:space="0"/>
            </w:tcBorders>
            <w:vAlign w:val="center"/>
          </w:tcPr>
          <w:p w14:paraId="390A2F58">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M5 LSTM-Core</w:t>
            </w:r>
          </w:p>
        </w:tc>
        <w:tc>
          <w:tcPr>
            <w:tcW w:w="0" w:type="auto"/>
            <w:tcBorders>
              <w:bottom w:val="single" w:color="auto" w:sz="6" w:space="0"/>
            </w:tcBorders>
            <w:vAlign w:val="center"/>
          </w:tcPr>
          <w:p w14:paraId="56C71936">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M6 LSTM-Market</w:t>
            </w:r>
          </w:p>
        </w:tc>
        <w:tc>
          <w:tcPr>
            <w:tcW w:w="0" w:type="auto"/>
            <w:tcBorders>
              <w:bottom w:val="single" w:color="auto" w:sz="6" w:space="0"/>
            </w:tcBorders>
            <w:vAlign w:val="center"/>
          </w:tcPr>
          <w:p w14:paraId="2F1F0914">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M7 LSTM-Barycenter</w:t>
            </w:r>
          </w:p>
        </w:tc>
        <w:tc>
          <w:tcPr>
            <w:tcW w:w="0" w:type="auto"/>
            <w:tcBorders>
              <w:bottom w:val="single" w:color="auto" w:sz="6" w:space="0"/>
            </w:tcBorders>
            <w:vAlign w:val="center"/>
          </w:tcPr>
          <w:p w14:paraId="54AC23A6">
            <w:pPr>
              <w:widowControl/>
              <w:spacing w:line="240" w:lineRule="auto"/>
              <w:jc w:val="center"/>
              <w:rPr>
                <w:rFonts w:hint="eastAsia" w:ascii="宋体" w:hAnsi="宋体" w:cs="宋体"/>
                <w:b/>
                <w:bCs/>
                <w:color w:val="auto"/>
                <w:kern w:val="0"/>
                <w:sz w:val="24"/>
                <w:szCs w:val="24"/>
              </w:rPr>
            </w:pPr>
            <w:r>
              <w:rPr>
                <w:rFonts w:ascii="宋体" w:hAnsi="宋体" w:cs="宋体"/>
                <w:b/>
                <w:bCs/>
                <w:color w:val="auto"/>
                <w:kern w:val="0"/>
                <w:sz w:val="24"/>
                <w:szCs w:val="24"/>
              </w:rPr>
              <w:t>含义</w:t>
            </w:r>
          </w:p>
        </w:tc>
      </w:tr>
      <w:tr w14:paraId="5F8EA2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40B1BAFB">
            <w:pPr>
              <w:widowControl/>
              <w:spacing w:line="240" w:lineRule="auto"/>
              <w:jc w:val="center"/>
              <w:rPr>
                <w:rFonts w:hint="eastAsia" w:ascii="宋体" w:hAnsi="宋体" w:cs="宋体"/>
                <w:color w:val="auto"/>
                <w:kern w:val="0"/>
                <w:sz w:val="24"/>
                <w:szCs w:val="24"/>
              </w:rPr>
            </w:pPr>
            <m:oMath>
              <m:r>
                <m:rPr/>
                <w:rPr>
                  <w:rFonts w:ascii="Cambria Math" w:hAnsi="Cambria Math" w:cs="宋体"/>
                  <w:color w:val="auto"/>
                  <w:kern w:val="0"/>
                  <w:sz w:val="24"/>
                  <w:szCs w:val="24"/>
                </w:rPr>
                <m:t>μ</m:t>
              </m:r>
            </m:oMath>
            <w:r>
              <w:rPr>
                <w:rFonts w:ascii="宋体" w:hAnsi="宋体" w:cs="宋体"/>
                <w:color w:val="auto"/>
                <w:kern w:val="0"/>
                <w:sz w:val="24"/>
                <w:szCs w:val="24"/>
              </w:rPr>
              <w:t>（位置）</w:t>
            </w:r>
          </w:p>
        </w:tc>
        <w:tc>
          <w:tcPr>
            <w:tcW w:w="0" w:type="auto"/>
            <w:tcBorders>
              <w:top w:val="single" w:color="auto" w:sz="6" w:space="0"/>
            </w:tcBorders>
            <w:vAlign w:val="center"/>
          </w:tcPr>
          <w:p w14:paraId="7D5F1934">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0</w:t>
            </w:r>
          </w:p>
        </w:tc>
        <w:tc>
          <w:tcPr>
            <w:tcW w:w="0" w:type="auto"/>
            <w:tcBorders>
              <w:top w:val="single" w:color="auto" w:sz="6" w:space="0"/>
            </w:tcBorders>
            <w:vAlign w:val="center"/>
          </w:tcPr>
          <w:p w14:paraId="4456E0EB">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0</w:t>
            </w:r>
          </w:p>
        </w:tc>
        <w:tc>
          <w:tcPr>
            <w:tcW w:w="0" w:type="auto"/>
            <w:tcBorders>
              <w:top w:val="single" w:color="auto" w:sz="6" w:space="0"/>
            </w:tcBorders>
            <w:vAlign w:val="center"/>
          </w:tcPr>
          <w:p w14:paraId="53FF691E">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0</w:t>
            </w:r>
          </w:p>
        </w:tc>
        <w:tc>
          <w:tcPr>
            <w:tcW w:w="0" w:type="auto"/>
            <w:tcBorders>
              <w:top w:val="single" w:color="auto" w:sz="6" w:space="0"/>
            </w:tcBorders>
            <w:vAlign w:val="center"/>
          </w:tcPr>
          <w:p w14:paraId="08708443">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条件均值预测</w:t>
            </w:r>
          </w:p>
        </w:tc>
      </w:tr>
      <w:tr w14:paraId="6D3FC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DECCBC1">
            <w:pPr>
              <w:widowControl/>
              <w:spacing w:line="240" w:lineRule="auto"/>
              <w:jc w:val="center"/>
              <w:rPr>
                <w:rFonts w:hint="eastAsia" w:ascii="宋体" w:hAnsi="宋体" w:cs="宋体"/>
                <w:color w:val="auto"/>
                <w:kern w:val="0"/>
                <w:sz w:val="24"/>
                <w:szCs w:val="24"/>
              </w:rPr>
            </w:pPr>
            <m:oMath>
              <m:r>
                <m:rPr/>
                <w:rPr>
                  <w:rFonts w:ascii="Cambria Math" w:hAnsi="Cambria Math" w:cs="宋体"/>
                  <w:color w:val="auto"/>
                  <w:kern w:val="0"/>
                  <w:sz w:val="24"/>
                  <w:szCs w:val="24"/>
                </w:rPr>
                <m:t>σ</m:t>
              </m:r>
            </m:oMath>
            <w:r>
              <w:rPr>
                <w:rFonts w:ascii="宋体" w:hAnsi="宋体" w:cs="宋体"/>
                <w:color w:val="auto"/>
                <w:kern w:val="0"/>
                <w:sz w:val="24"/>
                <w:szCs w:val="24"/>
              </w:rPr>
              <w:t>（尺度）</w:t>
            </w:r>
          </w:p>
        </w:tc>
        <w:tc>
          <w:tcPr>
            <w:tcW w:w="0" w:type="auto"/>
            <w:vAlign w:val="center"/>
          </w:tcPr>
          <w:p w14:paraId="005199F0">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中等</w:t>
            </w:r>
          </w:p>
        </w:tc>
        <w:tc>
          <w:tcPr>
            <w:tcW w:w="0" w:type="auto"/>
            <w:vAlign w:val="center"/>
          </w:tcPr>
          <w:p w14:paraId="558B322D">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中等偏高</w:t>
            </w:r>
          </w:p>
        </w:tc>
        <w:tc>
          <w:tcPr>
            <w:tcW w:w="0" w:type="auto"/>
            <w:vAlign w:val="center"/>
          </w:tcPr>
          <w:p w14:paraId="5810C5B5">
            <w:pPr>
              <w:widowControl/>
              <w:spacing w:line="240" w:lineRule="auto"/>
              <w:jc w:val="center"/>
              <w:rPr>
                <w:rFonts w:hint="eastAsia" w:ascii="宋体" w:hAnsi="宋体" w:cs="宋体"/>
                <w:color w:val="auto"/>
                <w:kern w:val="0"/>
                <w:sz w:val="24"/>
                <w:szCs w:val="24"/>
              </w:rPr>
            </w:pPr>
            <w:r>
              <w:rPr>
                <w:rFonts w:ascii="宋体" w:hAnsi="宋体" w:cs="宋体"/>
                <w:b/>
                <w:bCs/>
                <w:color w:val="auto"/>
                <w:kern w:val="0"/>
                <w:sz w:val="24"/>
                <w:szCs w:val="24"/>
              </w:rPr>
              <w:t>最高</w:t>
            </w:r>
          </w:p>
        </w:tc>
        <w:tc>
          <w:tcPr>
            <w:tcW w:w="0" w:type="auto"/>
            <w:vAlign w:val="center"/>
          </w:tcPr>
          <w:p w14:paraId="167DA56C">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条件波动预测</w:t>
            </w:r>
          </w:p>
        </w:tc>
      </w:tr>
      <w:tr w14:paraId="128E1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398AB13">
            <w:pPr>
              <w:widowControl/>
              <w:spacing w:line="240" w:lineRule="auto"/>
              <w:jc w:val="center"/>
              <w:rPr>
                <w:rFonts w:hint="eastAsia" w:ascii="宋体" w:hAnsi="宋体" w:cs="宋体"/>
                <w:color w:val="auto"/>
                <w:kern w:val="0"/>
                <w:sz w:val="24"/>
                <w:szCs w:val="24"/>
              </w:rPr>
            </w:pPr>
            <m:oMath>
              <m:r>
                <m:rPr/>
                <w:rPr>
                  <w:rFonts w:ascii="Cambria Math" w:hAnsi="Cambria Math" w:cs="宋体"/>
                  <w:color w:val="auto"/>
                  <w:kern w:val="0"/>
                  <w:sz w:val="24"/>
                  <w:szCs w:val="24"/>
                </w:rPr>
                <m:t>ν</m:t>
              </m:r>
            </m:oMath>
            <w:r>
              <w:rPr>
                <w:rFonts w:ascii="宋体" w:hAnsi="宋体" w:cs="宋体"/>
                <w:color w:val="auto"/>
                <w:kern w:val="0"/>
                <w:sz w:val="24"/>
                <w:szCs w:val="24"/>
              </w:rPr>
              <w:t>（自由度）</w:t>
            </w:r>
          </w:p>
        </w:tc>
        <w:tc>
          <w:tcPr>
            <w:tcW w:w="0" w:type="auto"/>
            <w:vAlign w:val="center"/>
          </w:tcPr>
          <w:p w14:paraId="52E7D93C">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中等</w:t>
            </w:r>
          </w:p>
        </w:tc>
        <w:tc>
          <w:tcPr>
            <w:tcW w:w="0" w:type="auto"/>
            <w:vAlign w:val="center"/>
          </w:tcPr>
          <w:p w14:paraId="2385AAC4">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中等</w:t>
            </w:r>
          </w:p>
        </w:tc>
        <w:tc>
          <w:tcPr>
            <w:tcW w:w="0" w:type="auto"/>
            <w:vAlign w:val="center"/>
          </w:tcPr>
          <w:p w14:paraId="59F4DE1E">
            <w:pPr>
              <w:widowControl/>
              <w:spacing w:line="240" w:lineRule="auto"/>
              <w:jc w:val="center"/>
              <w:rPr>
                <w:rFonts w:hint="eastAsia" w:ascii="宋体" w:hAnsi="宋体" w:cs="宋体"/>
                <w:color w:val="auto"/>
                <w:kern w:val="0"/>
                <w:sz w:val="24"/>
                <w:szCs w:val="24"/>
              </w:rPr>
            </w:pPr>
            <w:r>
              <w:rPr>
                <w:rFonts w:ascii="宋体" w:hAnsi="宋体" w:cs="宋体"/>
                <w:b/>
                <w:bCs/>
                <w:color w:val="auto"/>
                <w:kern w:val="0"/>
                <w:sz w:val="24"/>
                <w:szCs w:val="24"/>
              </w:rPr>
              <w:t>最低（尾最厚）</w:t>
            </w:r>
          </w:p>
        </w:tc>
        <w:tc>
          <w:tcPr>
            <w:tcW w:w="0" w:type="auto"/>
            <w:vAlign w:val="center"/>
          </w:tcPr>
          <w:p w14:paraId="21FA1897">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尾部厚度</w:t>
            </w:r>
          </w:p>
        </w:tc>
      </w:tr>
      <w:tr w14:paraId="17FAC0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7116CC8B">
            <w:pPr>
              <w:widowControl/>
              <w:spacing w:line="240" w:lineRule="auto"/>
              <w:jc w:val="center"/>
              <w:rPr>
                <w:rFonts w:hint="eastAsia" w:ascii="宋体" w:hAnsi="宋体" w:cs="宋体"/>
                <w:color w:val="auto"/>
                <w:kern w:val="0"/>
                <w:sz w:val="24"/>
                <w:szCs w:val="24"/>
              </w:rPr>
            </w:pPr>
            <m:oMath>
              <m:r>
                <m:rPr/>
                <w:rPr>
                  <w:rFonts w:ascii="Cambria Math" w:hAnsi="Cambria Math" w:cs="宋体"/>
                  <w:color w:val="auto"/>
                  <w:kern w:val="0"/>
                  <w:sz w:val="24"/>
                  <w:szCs w:val="24"/>
                </w:rPr>
                <m:t>ξ</m:t>
              </m:r>
            </m:oMath>
            <w:r>
              <w:rPr>
                <w:rFonts w:ascii="宋体" w:hAnsi="宋体" w:cs="宋体"/>
                <w:color w:val="auto"/>
                <w:kern w:val="0"/>
                <w:sz w:val="24"/>
                <w:szCs w:val="24"/>
              </w:rPr>
              <w:t>（偏度）</w:t>
            </w:r>
          </w:p>
        </w:tc>
        <w:tc>
          <w:tcPr>
            <w:tcW w:w="0" w:type="auto"/>
            <w:vAlign w:val="center"/>
          </w:tcPr>
          <w:p w14:paraId="12B1F340">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1</w:t>
            </w:r>
          </w:p>
        </w:tc>
        <w:tc>
          <w:tcPr>
            <w:tcW w:w="0" w:type="auto"/>
            <w:vAlign w:val="center"/>
          </w:tcPr>
          <w:p w14:paraId="4FCD9060">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1</w:t>
            </w:r>
          </w:p>
        </w:tc>
        <w:tc>
          <w:tcPr>
            <w:tcW w:w="0" w:type="auto"/>
            <w:vAlign w:val="center"/>
          </w:tcPr>
          <w:p w14:paraId="1C28A093">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接近 1</w:t>
            </w:r>
          </w:p>
        </w:tc>
        <w:tc>
          <w:tcPr>
            <w:tcW w:w="0" w:type="auto"/>
            <w:vAlign w:val="center"/>
          </w:tcPr>
          <w:p w14:paraId="5DA4D7E1">
            <w:pPr>
              <w:widowControl/>
              <w:spacing w:line="240" w:lineRule="auto"/>
              <w:jc w:val="center"/>
              <w:rPr>
                <w:rFonts w:hint="eastAsia" w:ascii="宋体" w:hAnsi="宋体" w:cs="宋体"/>
                <w:color w:val="auto"/>
                <w:kern w:val="0"/>
                <w:sz w:val="24"/>
                <w:szCs w:val="24"/>
              </w:rPr>
            </w:pPr>
            <w:r>
              <w:rPr>
                <w:rFonts w:ascii="宋体" w:hAnsi="宋体" w:cs="宋体"/>
                <w:color w:val="auto"/>
                <w:kern w:val="0"/>
                <w:sz w:val="24"/>
                <w:szCs w:val="24"/>
              </w:rPr>
              <w:t>偏态参数</w:t>
            </w:r>
          </w:p>
        </w:tc>
      </w:tr>
    </w:tbl>
    <w:p w14:paraId="09BAF8E9">
      <w:pPr>
        <w:ind w:firstLine="560" w:firstLineChars="200"/>
      </w:pPr>
      <w:r>
        <w:t xml:space="preserve">M7 LSTM-Barycenter 在所有 LSTM 模型中具有最高的平均 </w:t>
      </w:r>
      <m:oMath>
        <m:r>
          <m:rPr/>
          <w:rPr>
            <w:rFonts w:ascii="Cambria Math" w:hAnsi="Cambria Math"/>
          </w:rPr>
          <m:t>σ</m:t>
        </m:r>
      </m:oMath>
      <w:r>
        <w:t xml:space="preserve">和最低的平均 </w:t>
      </w:r>
      <m:oMath>
        <m:r>
          <m:rPr/>
          <w:rPr>
            <w:rFonts w:ascii="Cambria Math" w:hAnsi="Cambria Math"/>
          </w:rPr>
          <m:t>ν</m:t>
        </m:r>
      </m:oMath>
      <w:r>
        <w:t>（最厚尾部），反映综合市场状态分布信息使模型对尾部风险更加敏感。</w:t>
      </w:r>
    </w:p>
    <w:p w14:paraId="558BEDFF">
      <w:pPr>
        <w:ind w:firstLine="560" w:firstLineChars="200"/>
      </w:pPr>
      <w:r>
        <w:t>对 M5/M6/M7/M8 四个深度学习模型（含LSTM和AdaMamba）的输出参数（位置 μ、尺度 σ、自由度 ν、偏度 ξ），分别绘制箱线图对比</w:t>
      </w:r>
      <w:r>
        <w:rPr>
          <w:rFonts w:hint="eastAsia"/>
        </w:rPr>
        <w:t>，对比结果如</w:t>
      </w:r>
      <w:r>
        <w:fldChar w:fldCharType="begin"/>
      </w:r>
      <w:r>
        <w:instrText xml:space="preserve"> </w:instrText>
      </w:r>
      <w:r>
        <w:rPr>
          <w:rFonts w:hint="eastAsia"/>
        </w:rPr>
        <w:instrText xml:space="preserve">REF _Ref230375750 \h</w:instrText>
      </w:r>
      <w:r>
        <w:instrText xml:space="preserve"> </w:instrText>
      </w:r>
      <w:r>
        <w:fldChar w:fldCharType="separate"/>
      </w:r>
      <w:r>
        <w:rPr>
          <w:rFonts w:hint="eastAsia"/>
        </w:rPr>
        <w:t>图 17</w:t>
      </w:r>
      <w:r>
        <w:fldChar w:fldCharType="end"/>
      </w:r>
    </w:p>
    <w:p w14:paraId="1FBB692C">
      <w:r>
        <w:drawing>
          <wp:inline distT="0" distB="0" distL="0" distR="0">
            <wp:extent cx="5274310" cy="3646170"/>
            <wp:effectExtent l="0" t="0" r="2540" b="0"/>
            <wp:docPr id="13493755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75525" name="图片 5"/>
                    <pic:cNvPicPr>
                      <a:picLocks noChangeAspect="1" noChangeArrowheads="1"/>
                    </pic:cNvPicPr>
                  </pic:nvPicPr>
                  <pic:blipFill>
                    <a:blip r:embed="rId207" cstate="print">
                      <a:extLst>
                        <a:ext uri="{28A0092B-C50C-407E-A947-70E740481C1C}">
                          <a14:useLocalDpi xmlns:a14="http://schemas.microsoft.com/office/drawing/2010/main" val="0"/>
                        </a:ext>
                      </a:extLst>
                    </a:blip>
                    <a:srcRect t="2410"/>
                    <a:stretch>
                      <a:fillRect/>
                    </a:stretch>
                  </pic:blipFill>
                  <pic:spPr>
                    <a:xfrm>
                      <a:off x="0" y="0"/>
                      <a:ext cx="5274310" cy="3646286"/>
                    </a:xfrm>
                    <a:prstGeom prst="rect">
                      <a:avLst/>
                    </a:prstGeom>
                    <a:noFill/>
                    <a:ln>
                      <a:noFill/>
                    </a:ln>
                  </pic:spPr>
                </pic:pic>
              </a:graphicData>
            </a:graphic>
          </wp:inline>
        </w:drawing>
      </w:r>
    </w:p>
    <w:p w14:paraId="122E09F4">
      <w:pPr>
        <w:pStyle w:val="11"/>
        <w:jc w:val="center"/>
        <w:rPr>
          <w:rFonts w:hint="eastAsia"/>
        </w:rPr>
      </w:pPr>
      <w:bookmarkStart w:id="28" w:name="_Ref23037575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17</w:t>
      </w:r>
      <w:r>
        <w:fldChar w:fldCharType="end"/>
      </w:r>
      <w:bookmarkEnd w:id="28"/>
      <w:r>
        <w:t>LSTM 分布参数箱线图</w:t>
      </w:r>
    </w:p>
    <w:p w14:paraId="09C86CFD">
      <w:pPr>
        <w:ind w:firstLine="560" w:firstLineChars="200"/>
      </w:pPr>
      <w:r>
        <w:rPr>
          <w:rFonts w:hint="eastAsia"/>
        </w:rPr>
        <w:t>μ（位置参数）：三个模型的 μ 分布几乎一致（均接近 0），说明均值预测不受输入特征影响</w:t>
      </w:r>
    </w:p>
    <w:p w14:paraId="6909E273">
      <w:pPr>
        <w:ind w:firstLine="560" w:firstLineChars="200"/>
      </w:pPr>
      <w:r>
        <w:rPr>
          <w:rFonts w:hint="eastAsia"/>
        </w:rPr>
        <w:t>σ（尺度参数）：M7 的 σ 最高，M5 最低，表明 Barycenter 特征使模型感知到更高的条件波动率</w:t>
      </w:r>
    </w:p>
    <w:p w14:paraId="3B414CFD">
      <w:pPr>
        <w:ind w:firstLine="560" w:firstLineChars="200"/>
      </w:pPr>
      <w:r>
        <w:rPr>
          <w:rFonts w:hint="eastAsia"/>
        </w:rPr>
        <w:t>ν（自由度）：M7 的 ν 最低（尾部最厚），M5 最高（尾部最薄），Barycenter 特征帮助模型识别厚尾风险</w:t>
      </w:r>
    </w:p>
    <w:p w14:paraId="37676391">
      <w:pPr>
        <w:ind w:firstLine="560" w:firstLineChars="200"/>
      </w:pPr>
      <w:r>
        <w:rPr>
          <w:rFonts w:hint="eastAsia"/>
        </w:rPr>
        <w:t>ξ（偏度参数）：三个模型的 ξ 均接近 1（对称分布），表明在该测试期内 LSTM 模型并未显著预测到偏态，这符合 CSI300 在测试期峰度高但偏度相对较小（Skew=+0.101）的统计特征。</w:t>
      </w:r>
    </w:p>
    <w:p w14:paraId="64EBC1E2">
      <w:pPr>
        <w:rPr>
          <w:b/>
          <w:bCs/>
        </w:rPr>
      </w:pPr>
      <w:r>
        <w:rPr>
          <w:rFonts w:hint="eastAsia"/>
          <w:b/>
          <w:bCs/>
        </w:rPr>
        <w:t>（4）</w:t>
      </w:r>
      <w:r>
        <w:rPr>
          <w:b/>
          <w:bCs/>
        </w:rPr>
        <w:t>测试期特殊事件</w:t>
      </w:r>
    </w:p>
    <w:p w14:paraId="4379E0A1">
      <w:pPr>
        <w:ind w:firstLine="560" w:firstLineChars="200"/>
      </w:pPr>
      <w:r>
        <w:t>测试期（2024-07 至 2025-12）包含了 CSI300 的极端波动：</w:t>
      </w:r>
    </w:p>
    <w:p w14:paraId="35AB5F0C">
      <w:pPr>
        <w:pStyle w:val="34"/>
        <w:numPr>
          <w:ilvl w:val="0"/>
          <w:numId w:val="11"/>
        </w:numPr>
      </w:pPr>
      <w:r>
        <w:rPr>
          <w:b/>
          <w:bCs/>
        </w:rPr>
        <w:t>2024-09-30</w:t>
      </w:r>
      <w:r>
        <w:t>：政策刺激单日暴涨 +8.14%</w:t>
      </w:r>
    </w:p>
    <w:p w14:paraId="0A6A320B">
      <w:pPr>
        <w:pStyle w:val="34"/>
        <w:numPr>
          <w:ilvl w:val="0"/>
          <w:numId w:val="11"/>
        </w:numPr>
      </w:pPr>
      <w:r>
        <w:rPr>
          <w:b/>
          <w:bCs/>
        </w:rPr>
        <w:t>2024-10-09</w:t>
      </w:r>
      <w:r>
        <w:t>：预期落空单日暴跌 -7.31%</w:t>
      </w:r>
    </w:p>
    <w:p w14:paraId="270E8BF1">
      <w:pPr>
        <w:pStyle w:val="34"/>
        <w:numPr>
          <w:ilvl w:val="0"/>
          <w:numId w:val="11"/>
        </w:numPr>
      </w:pPr>
      <w:r>
        <w:rPr>
          <w:b/>
          <w:bCs/>
        </w:rPr>
        <w:t>2025-04-07</w:t>
      </w:r>
      <w:r>
        <w:t>：中美贸易摩擦 -7.31%</w:t>
      </w:r>
    </w:p>
    <w:p w14:paraId="741B5C03">
      <w:pPr>
        <w:ind w:firstLine="560" w:firstLineChars="200"/>
      </w:pPr>
      <w:r>
        <w:t>这些极端事件带来了 CSI300 测试期超额峰度 +12.53（见数据描述），对 VaR 模型提出了严峻挑战。LSTM Barycenter 通过提升整体 VaR 水平（平均 2.15%）成功覆盖了大部分尾部风险。</w:t>
      </w:r>
    </w:p>
    <w:p w14:paraId="58A5D986">
      <w:pPr>
        <w:widowControl/>
        <w:spacing w:before="100" w:beforeAutospacing="1" w:after="100" w:afterAutospacing="1" w:line="240" w:lineRule="auto"/>
        <w:jc w:val="left"/>
        <w:outlineLvl w:val="2"/>
        <w:rPr>
          <w:rFonts w:hint="eastAsia" w:ascii="宋体" w:hAnsi="宋体" w:cs="宋体"/>
          <w:b/>
          <w:bCs/>
          <w:color w:val="auto"/>
          <w:kern w:val="0"/>
          <w:sz w:val="27"/>
          <w:szCs w:val="27"/>
        </w:rPr>
      </w:pPr>
      <w:r>
        <w:rPr>
          <w:rFonts w:hint="eastAsia" w:ascii="宋体" w:hAnsi="宋体" w:cs="宋体"/>
          <w:b/>
          <w:bCs/>
          <w:color w:val="auto"/>
          <w:kern w:val="0"/>
          <w:sz w:val="27"/>
          <w:szCs w:val="27"/>
        </w:rPr>
        <w:t>（5）</w:t>
      </w:r>
      <w:r>
        <w:rPr>
          <w:rFonts w:ascii="宋体" w:hAnsi="宋体" w:cs="宋体"/>
          <w:b/>
          <w:bCs/>
          <w:color w:val="auto"/>
          <w:kern w:val="0"/>
          <w:sz w:val="27"/>
          <w:szCs w:val="27"/>
        </w:rPr>
        <w:t>模型比较矩阵</w:t>
      </w:r>
    </w:p>
    <w:tbl>
      <w:tblPr>
        <w:tblStyle w:val="41"/>
        <w:tblW w:w="864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2"/>
        <w:gridCol w:w="2333"/>
        <w:gridCol w:w="3955"/>
      </w:tblGrid>
      <w:tr w14:paraId="2AF0DA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cBorders>
            <w:vAlign w:val="center"/>
          </w:tcPr>
          <w:p w14:paraId="79FB5DBF">
            <w:pPr>
              <w:widowControl/>
              <w:spacing w:line="240" w:lineRule="auto"/>
              <w:jc w:val="center"/>
              <w:rPr>
                <w:rFonts w:cs="宋体"/>
                <w:b/>
                <w:bCs/>
                <w:color w:val="auto"/>
                <w:kern w:val="0"/>
                <w:sz w:val="24"/>
                <w:szCs w:val="24"/>
              </w:rPr>
            </w:pPr>
            <w:r>
              <w:rPr>
                <w:rFonts w:cs="宋体"/>
                <w:b/>
                <w:bCs/>
                <w:color w:val="auto"/>
                <w:kern w:val="0"/>
                <w:sz w:val="24"/>
                <w:szCs w:val="24"/>
              </w:rPr>
              <w:t>比较维度</w:t>
            </w:r>
          </w:p>
        </w:tc>
        <w:tc>
          <w:tcPr>
            <w:tcW w:w="0" w:type="auto"/>
            <w:tcBorders>
              <w:bottom w:val="single" w:color="auto" w:sz="6" w:space="0"/>
            </w:tcBorders>
            <w:vAlign w:val="center"/>
          </w:tcPr>
          <w:p w14:paraId="3B4871F5">
            <w:pPr>
              <w:widowControl/>
              <w:spacing w:line="240" w:lineRule="auto"/>
              <w:jc w:val="center"/>
              <w:rPr>
                <w:rFonts w:cs="宋体"/>
                <w:b/>
                <w:bCs/>
                <w:color w:val="auto"/>
                <w:kern w:val="0"/>
                <w:sz w:val="24"/>
                <w:szCs w:val="24"/>
              </w:rPr>
            </w:pPr>
            <w:r>
              <w:rPr>
                <w:rFonts w:cs="宋体"/>
                <w:b/>
                <w:bCs/>
                <w:color w:val="auto"/>
                <w:kern w:val="0"/>
                <w:sz w:val="24"/>
                <w:szCs w:val="24"/>
              </w:rPr>
              <w:t>最优模型</w:t>
            </w:r>
          </w:p>
        </w:tc>
        <w:tc>
          <w:tcPr>
            <w:tcW w:w="0" w:type="auto"/>
            <w:tcBorders>
              <w:bottom w:val="single" w:color="auto" w:sz="6" w:space="0"/>
            </w:tcBorders>
            <w:vAlign w:val="center"/>
          </w:tcPr>
          <w:p w14:paraId="65488A5C">
            <w:pPr>
              <w:widowControl/>
              <w:spacing w:line="240" w:lineRule="auto"/>
              <w:jc w:val="center"/>
              <w:rPr>
                <w:rFonts w:cs="宋体"/>
                <w:b/>
                <w:bCs/>
                <w:color w:val="auto"/>
                <w:kern w:val="0"/>
                <w:sz w:val="24"/>
                <w:szCs w:val="24"/>
              </w:rPr>
            </w:pPr>
            <w:r>
              <w:rPr>
                <w:rFonts w:cs="宋体"/>
                <w:b/>
                <w:bCs/>
                <w:color w:val="auto"/>
                <w:kern w:val="0"/>
                <w:sz w:val="24"/>
                <w:szCs w:val="24"/>
              </w:rPr>
              <w:t>关键数值</w:t>
            </w:r>
          </w:p>
        </w:tc>
      </w:tr>
      <w:tr w14:paraId="0E74C2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750567E4">
            <w:pPr>
              <w:widowControl/>
              <w:spacing w:line="240" w:lineRule="auto"/>
              <w:jc w:val="center"/>
              <w:rPr>
                <w:rFonts w:cs="宋体"/>
                <w:color w:val="auto"/>
                <w:kern w:val="0"/>
                <w:sz w:val="24"/>
                <w:szCs w:val="24"/>
              </w:rPr>
            </w:pPr>
            <w:r>
              <w:rPr>
                <w:rFonts w:cs="宋体"/>
                <w:color w:val="auto"/>
                <w:kern w:val="0"/>
                <w:sz w:val="24"/>
                <w:szCs w:val="24"/>
              </w:rPr>
              <w:t>分布拟合 (NLL)</w:t>
            </w:r>
          </w:p>
        </w:tc>
        <w:tc>
          <w:tcPr>
            <w:tcW w:w="0" w:type="auto"/>
            <w:tcBorders>
              <w:top w:val="single" w:color="auto" w:sz="6" w:space="0"/>
            </w:tcBorders>
            <w:vAlign w:val="center"/>
          </w:tcPr>
          <w:p w14:paraId="6B6F9C19">
            <w:pPr>
              <w:widowControl/>
              <w:spacing w:line="240" w:lineRule="auto"/>
              <w:jc w:val="center"/>
              <w:rPr>
                <w:rFonts w:cs="宋体"/>
                <w:color w:val="auto"/>
                <w:kern w:val="0"/>
                <w:sz w:val="24"/>
                <w:szCs w:val="24"/>
              </w:rPr>
            </w:pPr>
            <w:r>
              <w:rPr>
                <w:rFonts w:cs="宋体"/>
                <w:b/>
                <w:bCs/>
                <w:color w:val="auto"/>
                <w:kern w:val="0"/>
                <w:sz w:val="24"/>
                <w:szCs w:val="24"/>
              </w:rPr>
              <w:t>M8 AdaMamba-Core</w:t>
            </w:r>
          </w:p>
        </w:tc>
        <w:tc>
          <w:tcPr>
            <w:tcW w:w="0" w:type="auto"/>
            <w:tcBorders>
              <w:top w:val="single" w:color="auto" w:sz="6" w:space="0"/>
            </w:tcBorders>
            <w:vAlign w:val="center"/>
          </w:tcPr>
          <w:p w14:paraId="33C4581B">
            <w:pPr>
              <w:widowControl/>
              <w:spacing w:line="240" w:lineRule="auto"/>
              <w:jc w:val="center"/>
              <w:rPr>
                <w:rFonts w:cs="宋体"/>
                <w:color w:val="auto"/>
                <w:kern w:val="0"/>
                <w:sz w:val="24"/>
                <w:szCs w:val="24"/>
              </w:rPr>
            </w:pPr>
            <w:r>
              <w:rPr>
                <w:rFonts w:cs="宋体"/>
                <w:b/>
                <w:bCs/>
                <w:color w:val="auto"/>
                <w:kern w:val="0"/>
                <w:sz w:val="24"/>
                <w:szCs w:val="24"/>
              </w:rPr>
              <w:t>-3.158，全部模型最优</w:t>
            </w:r>
          </w:p>
        </w:tc>
      </w:tr>
      <w:tr w14:paraId="1DF8D2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051AA0D">
            <w:pPr>
              <w:widowControl/>
              <w:spacing w:line="240" w:lineRule="auto"/>
              <w:jc w:val="center"/>
              <w:rPr>
                <w:rFonts w:cs="宋体"/>
                <w:color w:val="auto"/>
                <w:kern w:val="0"/>
                <w:sz w:val="24"/>
                <w:szCs w:val="24"/>
              </w:rPr>
            </w:pPr>
            <w:r>
              <w:rPr>
                <w:rFonts w:cs="宋体"/>
                <w:color w:val="auto"/>
                <w:kern w:val="0"/>
                <w:sz w:val="24"/>
                <w:szCs w:val="24"/>
              </w:rPr>
              <w:t>VaR 校准 (违约率)</w:t>
            </w:r>
          </w:p>
        </w:tc>
        <w:tc>
          <w:tcPr>
            <w:tcW w:w="0" w:type="auto"/>
            <w:vAlign w:val="center"/>
          </w:tcPr>
          <w:p w14:paraId="47F59202">
            <w:pPr>
              <w:widowControl/>
              <w:spacing w:line="240" w:lineRule="auto"/>
              <w:jc w:val="center"/>
              <w:rPr>
                <w:rFonts w:cs="宋体"/>
                <w:color w:val="auto"/>
                <w:kern w:val="0"/>
                <w:sz w:val="24"/>
                <w:szCs w:val="24"/>
              </w:rPr>
            </w:pPr>
            <w:r>
              <w:rPr>
                <w:rFonts w:cs="宋体"/>
                <w:b/>
                <w:bCs/>
                <w:color w:val="auto"/>
                <w:kern w:val="0"/>
                <w:sz w:val="24"/>
                <w:szCs w:val="24"/>
              </w:rPr>
              <w:t>M10 AdaMamba-Dist</w:t>
            </w:r>
          </w:p>
        </w:tc>
        <w:tc>
          <w:tcPr>
            <w:tcW w:w="0" w:type="auto"/>
            <w:vAlign w:val="center"/>
          </w:tcPr>
          <w:p w14:paraId="32EF3609">
            <w:pPr>
              <w:widowControl/>
              <w:spacing w:line="240" w:lineRule="auto"/>
              <w:jc w:val="center"/>
              <w:rPr>
                <w:rFonts w:cs="宋体"/>
                <w:color w:val="auto"/>
                <w:kern w:val="0"/>
                <w:sz w:val="24"/>
                <w:szCs w:val="24"/>
              </w:rPr>
            </w:pPr>
            <w:r>
              <w:rPr>
                <w:rFonts w:cs="宋体"/>
                <w:b/>
                <w:bCs/>
                <w:color w:val="auto"/>
                <w:kern w:val="0"/>
                <w:sz w:val="24"/>
                <w:szCs w:val="24"/>
              </w:rPr>
              <w:t>5.07%，最接近理论5%</w:t>
            </w:r>
          </w:p>
        </w:tc>
      </w:tr>
      <w:tr w14:paraId="25305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DBFEDBD">
            <w:pPr>
              <w:widowControl/>
              <w:spacing w:line="240" w:lineRule="auto"/>
              <w:jc w:val="center"/>
              <w:rPr>
                <w:rFonts w:cs="宋体"/>
                <w:color w:val="auto"/>
                <w:kern w:val="0"/>
                <w:sz w:val="24"/>
                <w:szCs w:val="24"/>
              </w:rPr>
            </w:pPr>
            <w:r>
              <w:rPr>
                <w:rFonts w:cs="宋体"/>
                <w:color w:val="auto"/>
                <w:kern w:val="0"/>
                <w:sz w:val="24"/>
                <w:szCs w:val="24"/>
              </w:rPr>
              <w:t>VaR 回测 (Kupiec p)</w:t>
            </w:r>
          </w:p>
        </w:tc>
        <w:tc>
          <w:tcPr>
            <w:tcW w:w="0" w:type="auto"/>
            <w:vAlign w:val="center"/>
          </w:tcPr>
          <w:p w14:paraId="7710553B">
            <w:pPr>
              <w:widowControl/>
              <w:spacing w:line="240" w:lineRule="auto"/>
              <w:jc w:val="center"/>
              <w:rPr>
                <w:rFonts w:cs="宋体"/>
                <w:color w:val="auto"/>
                <w:kern w:val="0"/>
                <w:sz w:val="24"/>
                <w:szCs w:val="24"/>
              </w:rPr>
            </w:pPr>
            <w:r>
              <w:rPr>
                <w:rFonts w:cs="宋体"/>
                <w:b/>
                <w:bCs/>
                <w:color w:val="auto"/>
                <w:kern w:val="0"/>
                <w:sz w:val="24"/>
                <w:szCs w:val="24"/>
              </w:rPr>
              <w:t>M10 AdaMamba-Dist</w:t>
            </w:r>
          </w:p>
        </w:tc>
        <w:tc>
          <w:tcPr>
            <w:tcW w:w="0" w:type="auto"/>
            <w:vAlign w:val="center"/>
          </w:tcPr>
          <w:p w14:paraId="48A2B617">
            <w:pPr>
              <w:widowControl/>
              <w:spacing w:line="240" w:lineRule="auto"/>
              <w:jc w:val="center"/>
              <w:rPr>
                <w:rFonts w:cs="宋体"/>
                <w:color w:val="auto"/>
                <w:kern w:val="0"/>
                <w:sz w:val="24"/>
                <w:szCs w:val="24"/>
              </w:rPr>
            </w:pPr>
            <w:r>
              <w:rPr>
                <w:rFonts w:cs="宋体"/>
                <w:b/>
                <w:bCs/>
                <w:color w:val="auto"/>
                <w:kern w:val="0"/>
                <w:sz w:val="24"/>
                <w:szCs w:val="24"/>
              </w:rPr>
              <w:t>p=0.952，十一模型最高</w:t>
            </w:r>
          </w:p>
        </w:tc>
      </w:tr>
      <w:tr w14:paraId="666E8C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4B2DAB71">
            <w:pPr>
              <w:widowControl/>
              <w:spacing w:line="240" w:lineRule="auto"/>
              <w:jc w:val="center"/>
              <w:rPr>
                <w:rFonts w:cs="宋体"/>
                <w:color w:val="auto"/>
                <w:kern w:val="0"/>
                <w:sz w:val="24"/>
                <w:szCs w:val="24"/>
              </w:rPr>
            </w:pPr>
            <w:r>
              <w:rPr>
                <w:rFonts w:cs="宋体"/>
                <w:color w:val="auto"/>
                <w:kern w:val="0"/>
                <w:sz w:val="24"/>
                <w:szCs w:val="24"/>
              </w:rPr>
              <w:t>ES 尾部精度 (深度学习)</w:t>
            </w:r>
          </w:p>
        </w:tc>
        <w:tc>
          <w:tcPr>
            <w:tcW w:w="0" w:type="auto"/>
            <w:vAlign w:val="center"/>
          </w:tcPr>
          <w:p w14:paraId="3216F1C8">
            <w:pPr>
              <w:widowControl/>
              <w:spacing w:line="240" w:lineRule="auto"/>
              <w:jc w:val="center"/>
              <w:rPr>
                <w:rFonts w:cs="宋体"/>
                <w:color w:val="auto"/>
                <w:kern w:val="0"/>
                <w:sz w:val="24"/>
                <w:szCs w:val="24"/>
              </w:rPr>
            </w:pPr>
            <w:r>
              <w:rPr>
                <w:rFonts w:cs="宋体"/>
                <w:b/>
                <w:bCs/>
                <w:color w:val="auto"/>
                <w:kern w:val="0"/>
                <w:sz w:val="24"/>
                <w:szCs w:val="24"/>
              </w:rPr>
              <w:t>M10 AdaMamba-Dist</w:t>
            </w:r>
          </w:p>
        </w:tc>
        <w:tc>
          <w:tcPr>
            <w:tcW w:w="0" w:type="auto"/>
            <w:vAlign w:val="center"/>
          </w:tcPr>
          <w:p w14:paraId="3546566E">
            <w:pPr>
              <w:widowControl/>
              <w:spacing w:line="240" w:lineRule="auto"/>
              <w:jc w:val="center"/>
              <w:rPr>
                <w:rFonts w:cs="宋体"/>
                <w:color w:val="auto"/>
                <w:kern w:val="0"/>
                <w:sz w:val="24"/>
                <w:szCs w:val="24"/>
              </w:rPr>
            </w:pPr>
            <w:r>
              <w:rPr>
                <w:rFonts w:cs="宋体"/>
                <w:b/>
                <w:bCs/>
                <w:color w:val="auto"/>
                <w:kern w:val="0"/>
                <w:sz w:val="24"/>
                <w:szCs w:val="24"/>
              </w:rPr>
              <w:t>ES loss=2.813×10</w:t>
            </w:r>
            <w:r>
              <w:rPr>
                <w:rFonts w:cs="Cambria Math"/>
                <w:b/>
                <w:bCs/>
                <w:color w:val="auto"/>
                <w:kern w:val="0"/>
                <w:sz w:val="24"/>
                <w:szCs w:val="24"/>
              </w:rPr>
              <w:t>⁻⁴</w:t>
            </w:r>
            <w:r>
              <w:rPr>
                <w:rFonts w:cs="宋体"/>
                <w:b/>
                <w:bCs/>
                <w:color w:val="auto"/>
                <w:kern w:val="0"/>
                <w:sz w:val="24"/>
                <w:szCs w:val="24"/>
              </w:rPr>
              <w:t>，DL最优</w:t>
            </w:r>
          </w:p>
        </w:tc>
      </w:tr>
      <w:tr w14:paraId="4CA002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A0F3DD2">
            <w:pPr>
              <w:widowControl/>
              <w:spacing w:line="240" w:lineRule="auto"/>
              <w:jc w:val="center"/>
              <w:rPr>
                <w:rFonts w:cs="宋体"/>
                <w:color w:val="auto"/>
                <w:kern w:val="0"/>
                <w:sz w:val="24"/>
                <w:szCs w:val="24"/>
              </w:rPr>
            </w:pPr>
            <w:r>
              <w:rPr>
                <w:rFonts w:cs="宋体"/>
                <w:color w:val="auto"/>
                <w:kern w:val="0"/>
                <w:sz w:val="24"/>
                <w:szCs w:val="24"/>
              </w:rPr>
              <w:t>ES 尾部精度 (全部模型)</w:t>
            </w:r>
          </w:p>
        </w:tc>
        <w:tc>
          <w:tcPr>
            <w:tcW w:w="0" w:type="auto"/>
            <w:vAlign w:val="center"/>
          </w:tcPr>
          <w:p w14:paraId="75C3688B">
            <w:pPr>
              <w:widowControl/>
              <w:spacing w:line="240" w:lineRule="auto"/>
              <w:jc w:val="center"/>
              <w:rPr>
                <w:rFonts w:cs="宋体"/>
                <w:color w:val="auto"/>
                <w:kern w:val="0"/>
                <w:sz w:val="24"/>
                <w:szCs w:val="24"/>
              </w:rPr>
            </w:pPr>
            <w:r>
              <w:rPr>
                <w:rFonts w:cs="宋体"/>
                <w:color w:val="auto"/>
                <w:kern w:val="0"/>
                <w:sz w:val="24"/>
                <w:szCs w:val="24"/>
              </w:rPr>
              <w:t>M3 GARCH-t</w:t>
            </w:r>
          </w:p>
        </w:tc>
        <w:tc>
          <w:tcPr>
            <w:tcW w:w="0" w:type="auto"/>
            <w:vAlign w:val="center"/>
          </w:tcPr>
          <w:p w14:paraId="648E92BB">
            <w:pPr>
              <w:widowControl/>
              <w:spacing w:line="240" w:lineRule="auto"/>
              <w:jc w:val="center"/>
              <w:rPr>
                <w:rFonts w:cs="宋体"/>
                <w:color w:val="auto"/>
                <w:kern w:val="0"/>
                <w:sz w:val="24"/>
                <w:szCs w:val="24"/>
              </w:rPr>
            </w:pPr>
            <w:r>
              <w:rPr>
                <w:rFonts w:cs="宋体"/>
                <w:color w:val="auto"/>
                <w:kern w:val="0"/>
                <w:sz w:val="24"/>
                <w:szCs w:val="24"/>
              </w:rPr>
              <w:t>ES loss=2.181×10</w:t>
            </w:r>
            <w:r>
              <w:rPr>
                <w:rFonts w:cs="Cambria Math"/>
                <w:color w:val="auto"/>
                <w:kern w:val="0"/>
                <w:sz w:val="24"/>
                <w:szCs w:val="24"/>
              </w:rPr>
              <w:t>⁻⁴</w:t>
            </w:r>
          </w:p>
        </w:tc>
      </w:tr>
      <w:tr w14:paraId="154166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317B78B3">
            <w:pPr>
              <w:widowControl/>
              <w:spacing w:line="240" w:lineRule="auto"/>
              <w:jc w:val="center"/>
              <w:rPr>
                <w:rFonts w:cs="宋体"/>
                <w:color w:val="auto"/>
                <w:kern w:val="0"/>
                <w:sz w:val="24"/>
                <w:szCs w:val="24"/>
              </w:rPr>
            </w:pPr>
            <w:r>
              <w:rPr>
                <w:rFonts w:cs="宋体"/>
                <w:color w:val="auto"/>
                <w:kern w:val="0"/>
                <w:sz w:val="24"/>
                <w:szCs w:val="24"/>
              </w:rPr>
              <w:t>Mamba Barycenter效果</w:t>
            </w:r>
          </w:p>
        </w:tc>
        <w:tc>
          <w:tcPr>
            <w:tcW w:w="0" w:type="auto"/>
            <w:vAlign w:val="center"/>
          </w:tcPr>
          <w:p w14:paraId="68D24BE8">
            <w:pPr>
              <w:widowControl/>
              <w:spacing w:line="240" w:lineRule="auto"/>
              <w:jc w:val="center"/>
              <w:rPr>
                <w:rFonts w:cs="宋体"/>
                <w:color w:val="auto"/>
                <w:kern w:val="0"/>
                <w:sz w:val="24"/>
                <w:szCs w:val="24"/>
              </w:rPr>
            </w:pPr>
            <w:r>
              <w:rPr>
                <w:rFonts w:cs="宋体"/>
                <w:color w:val="auto"/>
                <w:kern w:val="0"/>
                <w:sz w:val="24"/>
                <w:szCs w:val="24"/>
              </w:rPr>
              <w:t>M10 vs M9</w:t>
            </w:r>
          </w:p>
        </w:tc>
        <w:tc>
          <w:tcPr>
            <w:tcW w:w="0" w:type="auto"/>
            <w:vAlign w:val="center"/>
          </w:tcPr>
          <w:p w14:paraId="66B6FE29">
            <w:pPr>
              <w:widowControl/>
              <w:spacing w:line="240" w:lineRule="auto"/>
              <w:jc w:val="center"/>
              <w:rPr>
                <w:rFonts w:cs="宋体"/>
                <w:color w:val="auto"/>
                <w:kern w:val="0"/>
                <w:sz w:val="24"/>
                <w:szCs w:val="24"/>
              </w:rPr>
            </w:pPr>
            <w:r>
              <w:rPr>
                <w:rFonts w:cs="宋体"/>
                <w:color w:val="auto"/>
                <w:kern w:val="0"/>
                <w:sz w:val="24"/>
                <w:szCs w:val="24"/>
              </w:rPr>
              <w:t>Barycenter使Kupiec p从0.040提升至0.952</w:t>
            </w:r>
          </w:p>
        </w:tc>
      </w:tr>
      <w:tr w14:paraId="2144B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09157700">
            <w:pPr>
              <w:widowControl/>
              <w:spacing w:line="240" w:lineRule="auto"/>
              <w:jc w:val="center"/>
              <w:rPr>
                <w:rFonts w:cs="宋体"/>
                <w:color w:val="auto"/>
                <w:kern w:val="0"/>
                <w:sz w:val="24"/>
                <w:szCs w:val="24"/>
              </w:rPr>
            </w:pPr>
            <w:r>
              <w:rPr>
                <w:rFonts w:cs="宋体"/>
                <w:color w:val="auto"/>
                <w:kern w:val="0"/>
                <w:sz w:val="24"/>
                <w:szCs w:val="24"/>
              </w:rPr>
              <w:t>LSTM Barycenter效果</w:t>
            </w:r>
          </w:p>
        </w:tc>
        <w:tc>
          <w:tcPr>
            <w:tcW w:w="0" w:type="auto"/>
            <w:vAlign w:val="center"/>
          </w:tcPr>
          <w:p w14:paraId="1782EEA1">
            <w:pPr>
              <w:widowControl/>
              <w:spacing w:line="240" w:lineRule="auto"/>
              <w:jc w:val="center"/>
              <w:rPr>
                <w:rFonts w:cs="宋体"/>
                <w:color w:val="auto"/>
                <w:kern w:val="0"/>
                <w:sz w:val="24"/>
                <w:szCs w:val="24"/>
              </w:rPr>
            </w:pPr>
            <w:r>
              <w:rPr>
                <w:rFonts w:cs="宋体"/>
                <w:color w:val="auto"/>
                <w:kern w:val="0"/>
                <w:sz w:val="24"/>
                <w:szCs w:val="24"/>
              </w:rPr>
              <w:t>M7 vs M6</w:t>
            </w:r>
          </w:p>
        </w:tc>
        <w:tc>
          <w:tcPr>
            <w:tcW w:w="0" w:type="auto"/>
            <w:vAlign w:val="center"/>
          </w:tcPr>
          <w:p w14:paraId="15094FBD">
            <w:pPr>
              <w:widowControl/>
              <w:spacing w:line="240" w:lineRule="auto"/>
              <w:jc w:val="center"/>
              <w:rPr>
                <w:rFonts w:cs="宋体"/>
                <w:color w:val="auto"/>
                <w:kern w:val="0"/>
                <w:sz w:val="24"/>
                <w:szCs w:val="24"/>
              </w:rPr>
            </w:pPr>
            <w:r>
              <w:rPr>
                <w:rFonts w:cs="宋体"/>
                <w:color w:val="auto"/>
                <w:kern w:val="0"/>
                <w:sz w:val="24"/>
                <w:szCs w:val="24"/>
              </w:rPr>
              <w:t>VaR提升~10%，违约率下降23%</w:t>
            </w:r>
          </w:p>
        </w:tc>
      </w:tr>
      <w:tr w14:paraId="6CEAF2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14:paraId="6331D463">
            <w:pPr>
              <w:widowControl/>
              <w:spacing w:line="240" w:lineRule="auto"/>
              <w:jc w:val="center"/>
              <w:rPr>
                <w:rFonts w:cs="宋体"/>
                <w:color w:val="auto"/>
                <w:kern w:val="0"/>
                <w:sz w:val="24"/>
                <w:szCs w:val="24"/>
              </w:rPr>
            </w:pPr>
            <w:r>
              <w:rPr>
                <w:rFonts w:cs="宋体"/>
                <w:color w:val="auto"/>
                <w:kern w:val="0"/>
                <w:sz w:val="24"/>
                <w:szCs w:val="24"/>
              </w:rPr>
              <w:t>收敛速度</w:t>
            </w:r>
          </w:p>
        </w:tc>
        <w:tc>
          <w:tcPr>
            <w:tcW w:w="0" w:type="auto"/>
            <w:vAlign w:val="center"/>
          </w:tcPr>
          <w:p w14:paraId="09ADC50A">
            <w:pPr>
              <w:widowControl/>
              <w:spacing w:line="240" w:lineRule="auto"/>
              <w:jc w:val="center"/>
              <w:rPr>
                <w:rFonts w:cs="宋体"/>
                <w:color w:val="auto"/>
                <w:kern w:val="0"/>
                <w:sz w:val="24"/>
                <w:szCs w:val="24"/>
              </w:rPr>
            </w:pPr>
            <w:r>
              <w:rPr>
                <w:rFonts w:cs="宋体"/>
                <w:color w:val="auto"/>
                <w:kern w:val="0"/>
                <w:sz w:val="24"/>
                <w:szCs w:val="24"/>
              </w:rPr>
              <w:t>M7 LSTM-Barycenter</w:t>
            </w:r>
          </w:p>
        </w:tc>
        <w:tc>
          <w:tcPr>
            <w:tcW w:w="0" w:type="auto"/>
            <w:vAlign w:val="center"/>
          </w:tcPr>
          <w:p w14:paraId="6A6CD9C3">
            <w:pPr>
              <w:widowControl/>
              <w:spacing w:line="240" w:lineRule="auto"/>
              <w:jc w:val="center"/>
              <w:rPr>
                <w:rFonts w:cs="宋体"/>
                <w:color w:val="auto"/>
                <w:kern w:val="0"/>
                <w:sz w:val="24"/>
                <w:szCs w:val="24"/>
              </w:rPr>
            </w:pPr>
            <w:r>
              <w:rPr>
                <w:rFonts w:cs="宋体"/>
                <w:color w:val="auto"/>
                <w:kern w:val="0"/>
                <w:sz w:val="24"/>
                <w:szCs w:val="24"/>
              </w:rPr>
              <w:t>最快收敛（epoch 33）</w:t>
            </w:r>
          </w:p>
        </w:tc>
      </w:tr>
    </w:tbl>
    <w:p w14:paraId="384EC5CA">
      <w:pPr>
        <w:widowControl/>
        <w:spacing w:line="240" w:lineRule="auto"/>
        <w:ind w:firstLine="240" w:firstLineChars="100"/>
        <w:jc w:val="left"/>
        <w:rPr>
          <w:rFonts w:hint="eastAsia" w:ascii="宋体" w:hAnsi="宋体" w:cs="宋体"/>
          <w:color w:val="auto"/>
          <w:kern w:val="0"/>
          <w:sz w:val="24"/>
          <w:szCs w:val="24"/>
        </w:rPr>
      </w:pPr>
    </w:p>
    <w:p w14:paraId="4806CD68">
      <w:pPr>
        <w:widowControl/>
        <w:spacing w:line="240" w:lineRule="auto"/>
        <w:ind w:firstLine="240" w:firstLineChars="100"/>
        <w:jc w:val="left"/>
        <w:rPr>
          <w:rFonts w:hint="eastAsia" w:ascii="宋体" w:hAnsi="宋体" w:cs="宋体"/>
          <w:color w:val="auto"/>
          <w:kern w:val="0"/>
          <w:sz w:val="24"/>
          <w:szCs w:val="24"/>
        </w:rPr>
      </w:pPr>
      <w:r>
        <w:rPr>
          <w:rFonts w:ascii="宋体" w:hAnsi="宋体" w:cs="宋体"/>
          <w:color w:val="auto"/>
          <w:kern w:val="0"/>
          <w:sz w:val="24"/>
          <w:szCs w:val="24"/>
        </w:rPr>
        <w:t>以表格形式汇总 8 个模型在所有评价指标上的具体数值，以颜色深浅区分模型类型</w:t>
      </w:r>
      <w:r>
        <w:rPr>
          <w:rFonts w:hint="eastAsia" w:ascii="宋体" w:hAnsi="宋体" w:cs="宋体"/>
          <w:color w:val="auto"/>
          <w:kern w:val="0"/>
          <w:sz w:val="24"/>
          <w:szCs w:val="24"/>
        </w:rPr>
        <w:t>，具体结果如</w:t>
      </w:r>
      <w:r>
        <w:rPr>
          <w:rFonts w:hint="eastAsia" w:ascii="宋体" w:hAnsi="宋体" w:cs="宋体"/>
          <w:color w:val="auto"/>
          <w:kern w:val="0"/>
          <w:sz w:val="24"/>
          <w:szCs w:val="24"/>
        </w:rPr>
        <w:fldChar w:fldCharType="begin"/>
      </w:r>
      <w:r>
        <w:rPr>
          <w:rFonts w:hint="eastAsia" w:ascii="宋体" w:hAnsi="宋体" w:cs="宋体"/>
          <w:color w:val="auto"/>
          <w:kern w:val="0"/>
          <w:sz w:val="24"/>
          <w:szCs w:val="24"/>
        </w:rPr>
        <w:instrText xml:space="preserve"> REF _Ref230376589 \h </w:instrText>
      </w:r>
      <w:r>
        <w:rPr>
          <w:rFonts w:hint="eastAsia" w:ascii="宋体" w:hAnsi="宋体" w:cs="宋体"/>
          <w:color w:val="auto"/>
          <w:kern w:val="0"/>
          <w:sz w:val="24"/>
          <w:szCs w:val="24"/>
        </w:rPr>
        <w:fldChar w:fldCharType="separate"/>
      </w:r>
      <w:r>
        <w:rPr>
          <w:rFonts w:hint="eastAsia"/>
        </w:rPr>
        <w:t>图 18</w:t>
      </w:r>
      <w:r>
        <w:rPr>
          <w:rFonts w:hint="eastAsia" w:ascii="宋体" w:hAnsi="宋体" w:cs="宋体"/>
          <w:color w:val="auto"/>
          <w:kern w:val="0"/>
          <w:sz w:val="24"/>
          <w:szCs w:val="24"/>
        </w:rPr>
        <w:fldChar w:fldCharType="end"/>
      </w:r>
      <w:r>
        <w:rPr>
          <w:rFonts w:hint="eastAsia" w:ascii="宋体" w:hAnsi="宋体" w:cs="宋体"/>
          <w:color w:val="auto"/>
          <w:kern w:val="0"/>
          <w:sz w:val="24"/>
          <w:szCs w:val="24"/>
        </w:rPr>
        <w:t>：</w:t>
      </w:r>
      <w:r>
        <w:drawing>
          <wp:inline distT="0" distB="0" distL="0" distR="0">
            <wp:extent cx="5274310" cy="1597025"/>
            <wp:effectExtent l="0" t="0" r="2540" b="3175"/>
            <wp:docPr id="11617609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0924" name="图片 6"/>
                    <pic:cNvPicPr>
                      <a:picLocks noChangeAspect="1" noChangeArrowheads="1"/>
                    </pic:cNvPicPr>
                  </pic:nvPicPr>
                  <pic:blipFill>
                    <a:blip r:embed="rId208" cstate="print">
                      <a:extLst>
                        <a:ext uri="{28A0092B-C50C-407E-A947-70E740481C1C}">
                          <a14:useLocalDpi xmlns:a14="http://schemas.microsoft.com/office/drawing/2010/main" val="0"/>
                        </a:ext>
                      </a:extLst>
                    </a:blip>
                    <a:srcRect t="7612"/>
                    <a:stretch>
                      <a:fillRect/>
                    </a:stretch>
                  </pic:blipFill>
                  <pic:spPr>
                    <a:xfrm>
                      <a:off x="0" y="0"/>
                      <a:ext cx="5274310" cy="1597486"/>
                    </a:xfrm>
                    <a:prstGeom prst="rect">
                      <a:avLst/>
                    </a:prstGeom>
                    <a:noFill/>
                    <a:ln>
                      <a:noFill/>
                    </a:ln>
                  </pic:spPr>
                </pic:pic>
              </a:graphicData>
            </a:graphic>
          </wp:inline>
        </w:drawing>
      </w:r>
    </w:p>
    <w:p w14:paraId="401DA6CA">
      <w:pPr>
        <w:pStyle w:val="11"/>
        <w:jc w:val="center"/>
        <w:rPr>
          <w:rFonts w:hint="eastAsia" w:ascii="宋体" w:hAnsi="宋体" w:cs="宋体"/>
          <w:color w:val="auto"/>
          <w:kern w:val="0"/>
          <w:sz w:val="24"/>
          <w:szCs w:val="24"/>
        </w:rPr>
      </w:pPr>
      <w:bookmarkStart w:id="29" w:name="_Ref23037658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18</w:t>
      </w:r>
      <w:r>
        <w:fldChar w:fldCharType="end"/>
      </w:r>
      <w:bookmarkEnd w:id="29"/>
      <w:r>
        <w:t>模型性能对比总表"</w:t>
      </w:r>
    </w:p>
    <w:p w14:paraId="4802E579">
      <w:pPr>
        <w:pStyle w:val="4"/>
      </w:pPr>
      <w:r>
        <w:rPr>
          <w:rFonts w:hint="eastAsia"/>
        </w:rPr>
        <w:t>6.2.3</w:t>
      </w:r>
      <w:r>
        <w:t>稳健性说明</w:t>
      </w:r>
    </w:p>
    <w:p w14:paraId="322A32DE">
      <w:pPr>
        <w:ind w:firstLine="562" w:firstLineChars="200"/>
      </w:pPr>
      <w:r>
        <w:rPr>
          <w:b/>
          <w:bCs/>
        </w:rPr>
        <w:t>GARCH模型VaR/ES的分布标准化校验</w:t>
      </w:r>
      <w:r>
        <w:t>：M3 GARCH-t 与 M4 GARCH-skew-t 的 VaR/ES 计算使用 arch 库原生 StudentsT / SkewStudent 分布的分位数函数（unit-variance 标准化），替代了原有 scipy stats.t.ppf（非 unit-variance）的计算。修复后 M3 的违约率从 3.02%（11 次违约）提升至 4.12%（15 次违约），Kupiec p-value 从 0.062 提升至 0.428，显著改善了 VaR 覆盖率的准确性。</w:t>
      </w:r>
    </w:p>
    <w:p w14:paraId="17EE354F">
      <w:pPr>
        <w:ind w:firstLine="562" w:firstLineChars="200"/>
      </w:pPr>
      <w:r>
        <w:rPr>
          <w:b/>
          <w:bCs/>
        </w:rPr>
        <w:t>LSTM 训练稳定性</w:t>
      </w:r>
      <w:r>
        <w:t>：三个 LSTM 模型均使用 10 天序列长度、3 层 128→64→32 结构、Adam 优化器、120 轮上限 + 20 轮早停。训练在 33-46 轮内收敛，验证集 NLL 持续下降，未出现严重过拟合。</w:t>
      </w:r>
    </w:p>
    <w:p w14:paraId="287FD631">
      <w:pPr>
        <w:ind w:firstLine="562" w:firstLineChars="200"/>
      </w:pPr>
      <w:r>
        <w:rPr>
          <w:b/>
          <w:bCs/>
        </w:rPr>
        <w:t>数据对齐</w:t>
      </w:r>
      <w:r>
        <w:t>：基于 5 市场共同交易日内连接对齐（inner join），测试集共 364 个交易日。LSTM 模型因需前向填充 Barycenter 特征（仅 w=20/60 两种窗口），样本量减少 9 天（355 天），不影响结论稳健性。</w:t>
      </w:r>
    </w:p>
    <w:p w14:paraId="24213DBC">
      <w:pPr>
        <w:pStyle w:val="2"/>
        <w:rPr>
          <w:rFonts w:hint="eastAsia"/>
        </w:rPr>
      </w:pPr>
      <w:r>
        <w:rPr>
          <w:rFonts w:hint="eastAsia"/>
        </w:rPr>
        <w:t>7问题三</w:t>
      </w:r>
      <w:r>
        <w:t>的模型建立、求解及结果分析</w:t>
      </w:r>
    </w:p>
    <w:p w14:paraId="2A4A1224">
      <w:pPr>
        <w:pStyle w:val="3"/>
        <w:rPr>
          <w:szCs w:val="32"/>
        </w:rPr>
      </w:pPr>
      <w:r>
        <w:rPr>
          <w:rFonts w:hint="eastAsia"/>
        </w:rPr>
        <w:t>7.1</w:t>
      </w:r>
      <w:r>
        <w:t>问题</w:t>
      </w:r>
      <w:r>
        <w:rPr>
          <w:rFonts w:hint="eastAsia"/>
        </w:rPr>
        <w:t>三</w:t>
      </w:r>
      <w:r>
        <w:t>的</w:t>
      </w:r>
      <w:r>
        <w:rPr>
          <w:rFonts w:hint="eastAsia"/>
        </w:rPr>
        <w:t>研究目标</w:t>
      </w:r>
    </w:p>
    <w:p w14:paraId="76A6B56F">
      <w:pPr>
        <w:ind w:firstLine="560" w:firstLineChars="200"/>
      </w:pPr>
      <w:r>
        <w:rPr>
          <w:rFonts w:hint="eastAsia"/>
        </w:rPr>
        <w:t>问题一构建了跨市场（沪深300、黄金、原油）的集成市场状态分布（Wasserstein重心），并提取了其四阶矩特征（均值、标准差、偏度、峰度）。问题二以这些分布特征为输入，预测未来投资组合的VaR与ES，提出的M8 AdaMamba-Dist模型取得了最优预测性能。问题三在前两个问题的基础上，进一步回答四个核心问题：</w:t>
      </w:r>
    </w:p>
    <w:p w14:paraId="74158AC2">
      <w:pPr>
        <w:ind w:firstLine="560" w:firstLineChars="200"/>
      </w:pPr>
      <w:r>
        <w:rPr>
          <w:rFonts w:hint="eastAsia"/>
        </w:rPr>
        <w:t>第一，集成市场状态分布能否刻画不同的市场风险阶段？即分布特征是否呈现系统性模式，并与可解释的市场状态（平稳、波动、危机）相对应？</w:t>
      </w:r>
    </w:p>
    <w:p w14:paraId="18B70485">
      <w:pPr>
        <w:ind w:firstLine="560" w:firstLineChars="200"/>
      </w:pPr>
      <w:r>
        <w:rPr>
          <w:rFonts w:hint="eastAsia"/>
        </w:rPr>
        <w:t>第二，哪些分布特征对未来风险最为敏感？在重心的四阶矩特征中，哪些特征对未来尾部损失和绝对波动率携带最强的预测信号？</w:t>
      </w:r>
    </w:p>
    <w:p w14:paraId="748B52AA">
      <w:pPr>
        <w:ind w:firstLine="560" w:firstLineChars="200"/>
      </w:pPr>
      <w:r>
        <w:rPr>
          <w:rFonts w:hint="eastAsia"/>
        </w:rPr>
        <w:t>第三，结果对参数选择是否稳健？不同的窗口长度（w=20与w=60）或不同的市场组合是否会产生质的不同结论？第四，模型的适用范围与局限性何在？除当前框架外，哪些方法论拓展有望弥补其不足？</w:t>
      </w:r>
    </w:p>
    <w:p w14:paraId="5569DB44">
      <w:pPr>
        <w:pStyle w:val="3"/>
      </w:pPr>
      <w:r>
        <w:rPr>
          <w:rFonts w:hint="eastAsia"/>
        </w:rPr>
        <w:t>7.2 方法论：基于Wasserstein k-means的风险阶段划分</w:t>
      </w:r>
    </w:p>
    <w:p w14:paraId="590DA12F">
      <w:pPr>
        <w:pStyle w:val="4"/>
      </w:pPr>
      <w:r>
        <w:rPr>
          <w:rFonts w:hint="eastAsia"/>
        </w:rPr>
        <w:t>7.2.1 传统阶段划分方法的局限</w:t>
      </w:r>
    </w:p>
    <w:p w14:paraId="7AED6DF9">
      <w:pPr>
        <w:ind w:firstLine="560" w:firstLineChars="200"/>
      </w:pPr>
      <w:r>
        <w:rPr>
          <w:rFonts w:hint="eastAsia"/>
        </w:rPr>
        <w:t>在提出本文方法之前，有必要回顾金融风险阶段分析中常用方法的局限性。</w:t>
      </w:r>
    </w:p>
    <w:p w14:paraId="199A0B6C">
      <w:pPr>
        <w:ind w:firstLine="562" w:firstLineChars="200"/>
      </w:pPr>
      <w:r>
        <w:rPr>
          <w:rFonts w:hint="eastAsia"/>
          <w:b/>
          <w:bCs/>
        </w:rPr>
        <w:t>(1)</w:t>
      </w:r>
      <w:r>
        <w:rPr>
          <w:b/>
          <w:bCs/>
        </w:rPr>
        <w:t>隐马尔可夫模型</w:t>
      </w:r>
      <w:r>
        <w:rPr>
          <w:rFonts w:hint="eastAsia"/>
          <w:b/>
          <w:bCs/>
        </w:rPr>
        <w:t>:</w:t>
      </w:r>
      <w:r>
        <w:t>HMM是金融阶段转换模型中的常用选择，其假设观测收益率序列由隐马尔可夫链驱动，每个状态具有参数化生成分布（通常为正态或t分布）。然而，HMM在当前场景中存在若干不足：</w:t>
      </w:r>
    </w:p>
    <w:p w14:paraId="48D9228E">
      <w:pPr>
        <w:ind w:firstLine="560" w:firstLineChars="200"/>
      </w:pPr>
      <w:r>
        <w:t>（i）其对各阶段内收益分布施加了参数化假设，这在金融危机的重尾、非对称条件下往往不成立；</w:t>
      </w:r>
    </w:p>
    <w:p w14:paraId="1DFA8B12">
      <w:pPr>
        <w:ind w:firstLine="560" w:firstLineChars="200"/>
      </w:pPr>
      <w:r>
        <w:t>（ii）阶段数量与转移矩阵结构需事先指定，Baum-Welch算法对初始化敏感且可能收敛至局部最优；</w:t>
      </w:r>
    </w:p>
    <w:p w14:paraId="10389223">
      <w:pPr>
        <w:ind w:firstLine="560" w:firstLineChars="200"/>
      </w:pPr>
      <w:r>
        <w:t>（iii）HMM直接作用于收益率序列而非完整的分布对象，丢弃了分位函数中包含的丰富形态信息；</w:t>
      </w:r>
    </w:p>
    <w:p w14:paraId="01A0EADD">
      <w:pPr>
        <w:ind w:firstLine="560" w:firstLineChars="200"/>
      </w:pPr>
      <w:r>
        <w:t>（iv）马尔可夫假设（当前状态仅取决于前一状态）对于渐进演变而非离散跳跃的金融阶段而言过于严格。</w:t>
      </w:r>
    </w:p>
    <w:p w14:paraId="155EC813">
      <w:pPr>
        <w:ind w:firstLine="562" w:firstLineChars="200"/>
      </w:pPr>
      <w:r>
        <w:rPr>
          <w:rFonts w:hint="eastAsia"/>
          <w:b/>
          <w:bCs/>
        </w:rPr>
        <w:t>(2)</w:t>
      </w:r>
      <w:r>
        <w:rPr>
          <w:b/>
          <w:bCs/>
        </w:rPr>
        <w:t>阈值划分方法</w:t>
      </w:r>
      <w:r>
        <w:rPr>
          <w:rFonts w:hint="eastAsia"/>
          <w:b/>
          <w:bCs/>
        </w:rPr>
        <w:t>:</w:t>
      </w:r>
      <w:r>
        <w:t>基于VIX指数、已实现波动率或信用利差等可观测代理变量的阈值划分方法更为简单直接，但存在以下问题：（i）阈值选择具有任意性，缺乏统计依据且依赖于样本；（ii）无法捕捉阈值变量之外的分布形态差异（例如，两段波动率相同但偏度与峰度不同的时期将被归为一类）；（iii）阈值变量本身往往是单一市场指标（如权益VIX），无法充分反映多市场联动动态。</w:t>
      </w:r>
    </w:p>
    <w:p w14:paraId="702E45AF">
      <w:pPr>
        <w:ind w:firstLine="562" w:firstLineChars="200"/>
      </w:pPr>
      <w:r>
        <w:rPr>
          <w:rFonts w:hint="eastAsia"/>
          <w:b/>
          <w:bCs/>
        </w:rPr>
        <w:t>(3)</w:t>
      </w:r>
      <w:r>
        <w:rPr>
          <w:b/>
          <w:bCs/>
        </w:rPr>
        <w:t>PCA结合k-means聚类</w:t>
      </w:r>
      <w:r>
        <w:rPr>
          <w:rFonts w:hint="eastAsia"/>
          <w:b/>
          <w:bCs/>
        </w:rPr>
        <w:t>:</w:t>
      </w:r>
      <w:r>
        <w:t>另一种常见方法是对收益率序列进行主成分分析，再对主成分得分应用欧氏空间k-means聚类。然而，该方法操作于点估计而非完整分布，损失了时间序列的分布结构信息，且对收益率序列中的异常值较为敏感。</w:t>
      </w:r>
    </w:p>
    <w:p w14:paraId="3A344C8A">
      <w:pPr>
        <w:ind w:firstLine="562" w:firstLineChars="200"/>
      </w:pPr>
      <w:r>
        <w:rPr>
          <w:rFonts w:hint="eastAsia"/>
          <w:b/>
          <w:bCs/>
        </w:rPr>
        <w:t>(4)</w:t>
      </w:r>
      <w:r>
        <w:rPr>
          <w:b/>
          <w:bCs/>
        </w:rPr>
        <w:t>基于事件的人工标注</w:t>
      </w:r>
      <w:r>
        <w:rPr>
          <w:rFonts w:hint="eastAsia"/>
          <w:b/>
          <w:bCs/>
        </w:rPr>
        <w:t>:</w:t>
      </w:r>
      <w:r>
        <w:t>实证金融中最常见的做法是根据已知事件手动标注时期。这种方法的优势在于融入领域知识，但存在主观性强、不可复制、难以推广至样本外或实时应用等缺陷。此外，人工标注往往混淆事件幅度与分布相似性——两段分布形态迥异的时期可能因对应同一宏观事件而被标注为相同阶段。</w:t>
      </w:r>
    </w:p>
    <w:p w14:paraId="0369130B">
      <w:pPr>
        <w:pStyle w:val="4"/>
      </w:pPr>
      <w:r>
        <w:t>7.2.2 Wasserstein-2距离</w:t>
      </w:r>
    </w:p>
    <w:p w14:paraId="710C365B">
      <w:pPr>
        <w:ind w:firstLine="560" w:firstLineChars="200"/>
      </w:pPr>
      <w:r>
        <w:t>本文方法通过使用Wasserstein距离对集成市场状态分布的完整分位函数进行聚类，克服了上述局限。设ut</w:t>
      </w:r>
      <w:r>
        <w:rPr>
          <w:i/>
          <w:iCs/>
        </w:rPr>
        <w:t>ut</w:t>
      </w:r>
      <w:r>
        <w:t>​为t</w:t>
      </w:r>
      <w:r>
        <w:rPr>
          <w:i/>
          <w:iCs/>
        </w:rPr>
        <w:t>t</w:t>
      </w:r>
      <w:r>
        <w:t>时刻的集成市场状态分布，Qt(p)</w:t>
      </w:r>
      <w:r>
        <w:rPr>
          <w:i/>
          <w:iCs/>
        </w:rPr>
        <w:t>Qt</w:t>
      </w:r>
      <w:r>
        <w:t>​(</w:t>
      </w:r>
      <w:r>
        <w:rPr>
          <w:i/>
          <w:iCs/>
        </w:rPr>
        <w:t>p</w:t>
      </w:r>
      <w:r>
        <w:t>)为其分位函数（逆累积分布函数），p</w:t>
      </w:r>
      <w:r>
        <w:rPr>
          <w:rFonts w:hint="eastAsia" w:ascii="宋体" w:hAnsi="宋体" w:cs="宋体"/>
        </w:rPr>
        <w:t>∈</w:t>
      </w:r>
      <w:r>
        <w:t>(0,1)</w:t>
      </w:r>
      <w:r>
        <w:rPr>
          <w:i/>
          <w:iCs/>
        </w:rPr>
        <w:t>p</w:t>
      </w:r>
      <w:r>
        <w:rPr>
          <w:rFonts w:hint="eastAsia" w:ascii="宋体" w:hAnsi="宋体" w:cs="宋体"/>
        </w:rPr>
        <w:t>∈</w:t>
      </w:r>
      <w:r>
        <w:t>(0,1)。对于两个一维概率分布ut</w:t>
      </w:r>
      <w:r>
        <w:rPr>
          <w:i/>
          <w:iCs/>
        </w:rPr>
        <w:t>ut</w:t>
      </w:r>
      <w:r>
        <w:t>​和us</w:t>
      </w:r>
      <w:r>
        <w:rPr>
          <w:i/>
          <w:iCs/>
        </w:rPr>
        <w:t>us</w:t>
      </w:r>
      <w:r>
        <w:t>​，二阶Wasserstein距离的平方定义为：</w:t>
      </w:r>
    </w:p>
    <w:p w14:paraId="7C8E2516">
      <w:pPr>
        <w:jc w:val="center"/>
      </w:pPr>
      <w:r>
        <w:rPr>
          <w:position w:val="-18"/>
        </w:rPr>
        <w:object>
          <v:shape id="_x0000_i1117" o:spt="75" type="#_x0000_t75" style="height:25.65pt;width:168pt;" o:ole="t" filled="f" o:preferrelative="t" stroked="f" coordsize="21600,21600">
            <v:path/>
            <v:fill on="f" focussize="0,0"/>
            <v:stroke on="f" joinstyle="miter"/>
            <v:imagedata r:id="rId210" o:title=""/>
            <o:lock v:ext="edit" aspectratio="t"/>
            <w10:wrap type="none"/>
            <w10:anchorlock/>
          </v:shape>
          <o:OLEObject Type="Embed" ProgID="Equation.DSMT4" ShapeID="_x0000_i1117" DrawAspect="Content" ObjectID="_1468075817" r:id="rId209">
            <o:LockedField>false</o:LockedField>
          </o:OLEObject>
        </w:object>
      </w:r>
    </w:p>
    <w:p w14:paraId="1099C356">
      <w:pPr>
        <w:ind w:firstLine="560" w:firstLineChars="200"/>
      </w:pPr>
      <w:r>
        <w:t>Wasserstein-2距离具有若干理想性质：</w:t>
      </w:r>
    </w:p>
    <w:p w14:paraId="4ADBF858">
      <w:pPr>
        <w:ind w:firstLine="560" w:firstLineChars="200"/>
      </w:pPr>
      <w:r>
        <w:t>（i）它在具有有限二阶矩的概率分布空间上是真正意义上的度量；</w:t>
      </w:r>
    </w:p>
    <w:p w14:paraId="70C8B7E1">
      <w:pPr>
        <w:ind w:firstLine="560" w:firstLineChars="200"/>
      </w:pPr>
      <w:r>
        <w:t>（ii）对于一维分布，其具有基于分位函数的闭合形式表达式，计算直接且精确；</w:t>
      </w:r>
    </w:p>
    <w:p w14:paraId="30F78E6F">
      <w:pPr>
        <w:ind w:firstLine="560" w:firstLineChars="200"/>
      </w:pPr>
      <w:r>
        <w:t>（iii）它捕捉整个分布的差异（包括尾部），而非仅均值和方差等汇总统计量；</w:t>
      </w:r>
    </w:p>
    <w:p w14:paraId="7431A9B6">
      <w:pPr>
        <w:ind w:firstLine="560" w:firstLineChars="200"/>
      </w:pPr>
      <w:r>
        <w:t>（iv）它对底层随机变量的单调变换具有不变性。</w:t>
      </w:r>
    </w:p>
    <w:p w14:paraId="30489A89">
      <w:pPr>
        <w:ind w:firstLine="560" w:firstLineChars="200"/>
      </w:pPr>
      <w:r>
        <w:t>与对汇总统计量应用欧氏距离（将丢弃分布形态信息）相比，Wasserstein-2距离比较完整的分位函数，因此对尾部厚度、不对称性及高阶矩差异敏感。这对尾部行为是首要关注的金融风险管理尤为重要。</w:t>
      </w:r>
    </w:p>
    <w:p w14:paraId="6C5D5781">
      <w:pPr>
        <w:pStyle w:val="4"/>
      </w:pPr>
      <w:r>
        <w:t>7.2.3 Wasserstein k-means算法</w:t>
      </w:r>
    </w:p>
    <w:p w14:paraId="23FFBFDE">
      <w:pPr>
        <w:ind w:firstLine="560" w:firstLineChars="200"/>
      </w:pPr>
      <w:r>
        <w:t>设分位函数矩阵</w:t>
      </w:r>
      <w:r>
        <w:rPr>
          <w:position w:val="-10"/>
        </w:rPr>
        <w:object>
          <v:shape id="_x0000_i1118" o:spt="75" type="#_x0000_t75" style="height:18pt;width:46.9pt;" o:ole="t" filled="f" o:preferrelative="t" stroked="f" coordsize="21600,21600">
            <v:path/>
            <v:fill on="f" focussize="0,0"/>
            <v:stroke on="f" joinstyle="miter"/>
            <v:imagedata r:id="rId212" o:title=""/>
            <o:lock v:ext="edit" aspectratio="t"/>
            <w10:wrap type="none"/>
            <w10:anchorlock/>
          </v:shape>
          <o:OLEObject Type="Embed" ProgID="Equation.DSMT4" ShapeID="_x0000_i1118" DrawAspect="Content" ObjectID="_1468075818" r:id="rId211">
            <o:LockedField>false</o:LockedField>
          </o:OLEObject>
        </w:object>
      </w:r>
      <w:r>
        <w:t>，其中</w:t>
      </w:r>
      <w:r>
        <w:rPr>
          <w:i/>
          <w:iCs/>
        </w:rPr>
        <w:t>T</w:t>
      </w:r>
      <w:r>
        <w:t>为时间点数量，</w:t>
      </w:r>
      <w:r>
        <w:rPr>
          <w:i/>
          <w:iCs/>
        </w:rPr>
        <w:t>G</w:t>
      </w:r>
      <w:r>
        <w:t>为分位函数评估的网格点数量。</w:t>
      </w:r>
    </w:p>
    <w:p w14:paraId="53F2D29E">
      <w:pPr>
        <w:ind w:firstLine="560" w:firstLineChars="200"/>
      </w:pPr>
      <w:r>
        <w:t>Wasserstein k-means算法的步骤如下：</w:t>
      </w:r>
    </w:p>
    <w:p w14:paraId="639DFE33">
      <w:r>
        <w:drawing>
          <wp:inline distT="0" distB="0" distL="0" distR="0">
            <wp:extent cx="5274310" cy="2960370"/>
            <wp:effectExtent l="0" t="0" r="2540" b="0"/>
            <wp:docPr id="1838969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961" name="图片 1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a:xfrm>
                      <a:off x="0" y="0"/>
                      <a:ext cx="5274310" cy="2960370"/>
                    </a:xfrm>
                    <a:prstGeom prst="rect">
                      <a:avLst/>
                    </a:prstGeom>
                    <a:noFill/>
                    <a:ln>
                      <a:noFill/>
                    </a:ln>
                  </pic:spPr>
                </pic:pic>
              </a:graphicData>
            </a:graphic>
          </wp:inline>
        </w:drawing>
      </w:r>
    </w:p>
    <w:p w14:paraId="3023DA59">
      <w:pPr>
        <w:pStyle w:val="4"/>
      </w:pPr>
      <w:r>
        <w:rPr>
          <w:rFonts w:hint="eastAsia"/>
        </w:rPr>
        <w:t>7.2.4 K值选择</w:t>
      </w:r>
    </w:p>
    <w:p w14:paraId="6A7C5522">
      <w:pPr>
        <w:ind w:firstLine="560" w:firstLineChars="200"/>
      </w:pPr>
      <w:r>
        <w:rPr>
          <w:rFonts w:hint="eastAsia"/>
        </w:rPr>
        <w:t>适当阶段数K的确定综合评估K=2,3,4,5时的聚类质量指标。采用两项定量标准：惯性（簇内平方Wasserstein距离之和）随K单调递减，其"肘点"指示新增聚类的边际收益递减位置；轮廓系数衡量每个点与其自身聚类的相似度相对于其他聚类的程度，取值越接近1表明聚类分离度越好。</w:t>
      </w:r>
    </w:p>
    <w:p w14:paraId="3EDADA29">
      <w:pPr>
        <w:ind w:firstLine="560" w:firstLineChars="200"/>
      </w:pPr>
      <w:r>
        <w:rPr>
          <w:rFonts w:hint="eastAsia"/>
        </w:rPr>
        <w:t>下面图展示了w=20和w=60两组窗口长度下的两项指标。惯性曲线在两个窗口长度下均在K=3处呈现清晰的肘点：从K=2到K=3的惯性降幅显著（w=60下从0.0287降至0.0200，降幅达30.3%），而从K=3到K=4的降幅则小得多（从0.0200降至0.0163，降幅18.4%）。轮廓系数在K=2时达到峰值（0.846），在K=3时降至0.378后递减趋缓。然而，K=2仅产生"平稳vs.压力"的二元划分，将中等波动与极端传染混为一谈，对风险管理的参考价值有限。K=4引入的第四阶段在很大程度上仅为中等波动阶段的细分，并未提供质的不同的分布特征。</w:t>
      </w:r>
    </w:p>
    <w:p w14:paraId="16E425A7">
      <w:r>
        <w:rPr>
          <w:rFonts w:hint="eastAsia"/>
        </w:rPr>
        <w:t>综合定量指标与金融可解释性，本文选取K=3作为主要方案。</w:t>
      </w:r>
    </w:p>
    <w:p w14:paraId="6CF02471">
      <w:pPr>
        <w:ind w:firstLine="560" w:firstLineChars="200"/>
      </w:pPr>
      <w:r>
        <w:rPr>
          <w:rFonts w:hint="eastAsia"/>
        </w:rPr>
        <w:t>三个阶段按风险递增排列，具有清晰的经济含义：阶段0为低波平稳期；阶段1为中等波动期；阶段2为极端风险传染期。w=20的分析结果与之一致，结论稳健。除非特别说明，下文报告的结果均基于w=60，如</w:t>
      </w:r>
      <w:r>
        <w:fldChar w:fldCharType="begin"/>
      </w:r>
      <w:r>
        <w:instrText xml:space="preserve"> </w:instrText>
      </w:r>
      <w:r>
        <w:rPr>
          <w:rFonts w:hint="eastAsia"/>
        </w:rPr>
        <w:instrText xml:space="preserve">REF _Ref230466657 \h</w:instrText>
      </w:r>
      <w:r>
        <w:instrText xml:space="preserve"> </w:instrText>
      </w:r>
      <w:r>
        <w:fldChar w:fldCharType="separate"/>
      </w:r>
      <w:r>
        <w:rPr>
          <w:rFonts w:hint="eastAsia"/>
        </w:rPr>
        <w:t>图 19</w:t>
      </w:r>
      <w:r>
        <w:fldChar w:fldCharType="end"/>
      </w:r>
      <w:r>
        <w:rPr>
          <w:rFonts w:hint="eastAsia"/>
        </w:rPr>
        <w:t>：</w:t>
      </w:r>
    </w:p>
    <w:p w14:paraId="53B3032D">
      <w:r>
        <w:drawing>
          <wp:inline distT="0" distB="0" distL="0" distR="0">
            <wp:extent cx="5274310" cy="161544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14" cstate="print">
                      <a:extLst>
                        <a:ext uri="{28A0092B-C50C-407E-A947-70E740481C1C}">
                          <a14:useLocalDpi xmlns:a14="http://schemas.microsoft.com/office/drawing/2010/main" val="0"/>
                        </a:ext>
                      </a:extLst>
                    </a:blip>
                    <a:srcRect t="8111"/>
                    <a:stretch>
                      <a:fillRect/>
                    </a:stretch>
                  </pic:blipFill>
                  <pic:spPr>
                    <a:xfrm>
                      <a:off x="0" y="0"/>
                      <a:ext cx="5274310" cy="1615702"/>
                    </a:xfrm>
                    <a:prstGeom prst="rect">
                      <a:avLst/>
                    </a:prstGeom>
                    <a:noFill/>
                    <a:ln>
                      <a:noFill/>
                    </a:ln>
                  </pic:spPr>
                </pic:pic>
              </a:graphicData>
            </a:graphic>
          </wp:inline>
        </w:drawing>
      </w:r>
    </w:p>
    <w:p w14:paraId="7B076DC2">
      <w:pPr>
        <w:pStyle w:val="11"/>
        <w:rPr>
          <w:rFonts w:hint="eastAsia" w:ascii="黑体" w:hAnsi="黑体"/>
        </w:rPr>
      </w:pPr>
      <w:bookmarkStart w:id="30" w:name="_Ref23046665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19</w:t>
      </w:r>
      <w:r>
        <w:fldChar w:fldCharType="end"/>
      </w:r>
      <w:bookmarkEnd w:id="30"/>
      <w:r>
        <w:rPr>
          <w:rFonts w:ascii="黑体" w:hAnsi="黑体"/>
        </w:rPr>
        <w:t>a Wasserstein k-means Elbow (Wasserstein k-均值肘部法则图)</w:t>
      </w:r>
      <w:r>
        <w:rPr>
          <w:rFonts w:hint="eastAsia" w:ascii="黑体" w:hAnsi="黑体"/>
        </w:rPr>
        <w:t>以及</w:t>
      </w:r>
      <w:r>
        <w:rPr>
          <w:rFonts w:ascii="黑体" w:hAnsi="黑体"/>
        </w:rPr>
        <w:t>Silhouette Score (轮廓系数图)</w:t>
      </w:r>
    </w:p>
    <w:p w14:paraId="670A9772">
      <w:pPr>
        <w:pStyle w:val="4"/>
      </w:pPr>
      <w:r>
        <w:rPr>
          <w:rFonts w:hint="eastAsia"/>
        </w:rPr>
        <w:t>7.2.5 方法创新与优势</w:t>
      </w:r>
    </w:p>
    <w:p w14:paraId="1C60E6E1">
      <w:pPr>
        <w:ind w:firstLine="560" w:firstLineChars="200"/>
      </w:pPr>
      <w:r>
        <w:rPr>
          <w:rFonts w:hint="eastAsia"/>
        </w:rPr>
        <w:t>Wasserstein k-means方法相较于现有方法具有若干创新之处：第一，它是分布层面的聚类而非点层面的聚类，保留了对尾部形态、不对称性和分布细微差异的信息；第二，它是无监督且数据驱动的，无需参数化分布假设或主观阈值选择，阶段划分完全源于分布数据的几何结构；第三，它与问题一自然衔接——算法输入恰好是问题一的输出（集成市场状态分布的分位函数），形成了从分布构建到阶段识别的无缝分析流水线；第四，各阶段中心均为Wasserstein重心（即有效的概率分布），具有几何可解释性，可直接比较不同阶段间的分布形态差异；第五，由于输入分布为跨市场重心，所识别的阶段反映了多市场协同状态而非单一市场动态，这与针对单一资产收益率的阶段模型有本质区别。</w:t>
      </w:r>
    </w:p>
    <w:p w14:paraId="4C85FFE2">
      <w:pPr>
        <w:pStyle w:val="3"/>
      </w:pPr>
      <w:r>
        <w:rPr>
          <w:rFonts w:hint="eastAsia"/>
        </w:rPr>
        <w:t>7.3 风险阶段划分结果</w:t>
      </w:r>
    </w:p>
    <w:p w14:paraId="4BB65924">
      <w:pPr>
        <w:pStyle w:val="4"/>
      </w:pPr>
      <w:r>
        <w:rPr>
          <w:rFonts w:hint="eastAsia"/>
        </w:rPr>
        <w:t>7.3.1 各阶段统计特征</w:t>
      </w:r>
    </w:p>
    <w:p w14:paraId="2D86A454">
      <w:pPr>
        <w:ind w:firstLine="560" w:firstLineChars="200"/>
      </w:pPr>
      <w:r>
        <w:rPr>
          <w:rFonts w:hint="eastAsia"/>
        </w:rPr>
        <w:t>将K=3的Wasserstein k-means应用于w=60集成市场状态分布，得到如下阶段划分汇总：</w:t>
      </w:r>
    </w:p>
    <w:tbl>
      <w:tblPr>
        <w:tblStyle w:val="41"/>
        <w:tblW w:w="850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6"/>
        <w:gridCol w:w="581"/>
        <w:gridCol w:w="770"/>
        <w:gridCol w:w="1095"/>
        <w:gridCol w:w="1095"/>
        <w:gridCol w:w="921"/>
        <w:gridCol w:w="921"/>
        <w:gridCol w:w="1200"/>
        <w:gridCol w:w="1200"/>
      </w:tblGrid>
      <w:tr w14:paraId="20B8EB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0" w:hRule="atLeast"/>
        </w:trPr>
        <w:tc>
          <w:tcPr>
            <w:tcW w:w="726" w:type="dxa"/>
            <w:tcBorders>
              <w:bottom w:val="single" w:color="auto" w:sz="6" w:space="0"/>
            </w:tcBorders>
            <w:noWrap/>
            <w:vAlign w:val="center"/>
          </w:tcPr>
          <w:p w14:paraId="215AF3B9">
            <w:pPr>
              <w:pStyle w:val="43"/>
            </w:pPr>
            <w:r>
              <w:t>阶段</w:t>
            </w:r>
          </w:p>
        </w:tc>
        <w:tc>
          <w:tcPr>
            <w:tcW w:w="581" w:type="dxa"/>
            <w:tcBorders>
              <w:bottom w:val="single" w:color="auto" w:sz="6" w:space="0"/>
            </w:tcBorders>
            <w:noWrap/>
            <w:vAlign w:val="center"/>
          </w:tcPr>
          <w:p w14:paraId="3944C571">
            <w:pPr>
              <w:pStyle w:val="43"/>
            </w:pPr>
            <w:r>
              <w:t>样本数</w:t>
            </w:r>
          </w:p>
        </w:tc>
        <w:tc>
          <w:tcPr>
            <w:tcW w:w="770" w:type="dxa"/>
            <w:tcBorders>
              <w:bottom w:val="single" w:color="auto" w:sz="6" w:space="0"/>
            </w:tcBorders>
            <w:noWrap/>
            <w:vAlign w:val="center"/>
          </w:tcPr>
          <w:p w14:paraId="1E575399">
            <w:pPr>
              <w:pStyle w:val="43"/>
            </w:pPr>
            <w:r>
              <w:t>占比</w:t>
            </w:r>
          </w:p>
        </w:tc>
        <w:tc>
          <w:tcPr>
            <w:tcW w:w="1095" w:type="dxa"/>
            <w:tcBorders>
              <w:bottom w:val="single" w:color="auto" w:sz="6" w:space="0"/>
            </w:tcBorders>
            <w:noWrap/>
            <w:vAlign w:val="center"/>
          </w:tcPr>
          <w:p w14:paraId="172EDC5E">
            <w:pPr>
              <w:pStyle w:val="43"/>
            </w:pPr>
            <w:r>
              <w:t>平均持续期</w:t>
            </w:r>
          </w:p>
        </w:tc>
        <w:tc>
          <w:tcPr>
            <w:tcW w:w="1095" w:type="dxa"/>
            <w:tcBorders>
              <w:bottom w:val="single" w:color="auto" w:sz="6" w:space="0"/>
            </w:tcBorders>
            <w:noWrap/>
            <w:vAlign w:val="center"/>
          </w:tcPr>
          <w:p w14:paraId="7BC8B612">
            <w:pPr>
              <w:pStyle w:val="43"/>
            </w:pPr>
            <w:r>
              <w:t>均值标准差</w:t>
            </w:r>
          </w:p>
        </w:tc>
        <w:tc>
          <w:tcPr>
            <w:tcW w:w="921" w:type="dxa"/>
            <w:tcBorders>
              <w:bottom w:val="single" w:color="auto" w:sz="6" w:space="0"/>
            </w:tcBorders>
            <w:noWrap/>
            <w:vAlign w:val="center"/>
          </w:tcPr>
          <w:p w14:paraId="5DFDCC05">
            <w:pPr>
              <w:pStyle w:val="43"/>
            </w:pPr>
            <w:r>
              <w:t>均值偏度</w:t>
            </w:r>
          </w:p>
        </w:tc>
        <w:tc>
          <w:tcPr>
            <w:tcW w:w="921" w:type="dxa"/>
            <w:tcBorders>
              <w:bottom w:val="single" w:color="auto" w:sz="6" w:space="0"/>
            </w:tcBorders>
            <w:noWrap/>
            <w:vAlign w:val="center"/>
          </w:tcPr>
          <w:p w14:paraId="6C88C2D7">
            <w:pPr>
              <w:pStyle w:val="43"/>
            </w:pPr>
            <w:r>
              <w:t>均值峰度</w:t>
            </w:r>
          </w:p>
        </w:tc>
        <w:tc>
          <w:tcPr>
            <w:tcW w:w="1200" w:type="dxa"/>
            <w:tcBorders>
              <w:bottom w:val="single" w:color="auto" w:sz="6" w:space="0"/>
            </w:tcBorders>
            <w:noWrap/>
            <w:vAlign w:val="center"/>
          </w:tcPr>
          <w:p w14:paraId="55A7A8F1">
            <w:pPr>
              <w:pStyle w:val="43"/>
            </w:pPr>
            <w:r>
              <w:t>M7 VaR均值</w:t>
            </w:r>
          </w:p>
        </w:tc>
        <w:tc>
          <w:tcPr>
            <w:tcW w:w="1200" w:type="dxa"/>
            <w:tcBorders>
              <w:bottom w:val="single" w:color="auto" w:sz="6" w:space="0"/>
            </w:tcBorders>
            <w:noWrap/>
            <w:vAlign w:val="center"/>
          </w:tcPr>
          <w:p w14:paraId="1C0902B0">
            <w:pPr>
              <w:pStyle w:val="43"/>
            </w:pPr>
            <w:r>
              <w:t>M8 VaR均值</w:t>
            </w:r>
          </w:p>
        </w:tc>
      </w:tr>
      <w:tr w14:paraId="0962E2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trPr>
        <w:tc>
          <w:tcPr>
            <w:tcW w:w="726" w:type="dxa"/>
            <w:tcBorders>
              <w:top w:val="single" w:color="auto" w:sz="6" w:space="0"/>
            </w:tcBorders>
            <w:vAlign w:val="center"/>
          </w:tcPr>
          <w:p w14:paraId="71281993">
            <w:pPr>
              <w:pStyle w:val="43"/>
            </w:pPr>
            <w:r>
              <w:t>低波平稳</w:t>
            </w:r>
          </w:p>
        </w:tc>
        <w:tc>
          <w:tcPr>
            <w:tcW w:w="581" w:type="dxa"/>
            <w:tcBorders>
              <w:top w:val="single" w:color="auto" w:sz="6" w:space="0"/>
            </w:tcBorders>
            <w:vAlign w:val="center"/>
          </w:tcPr>
          <w:p w14:paraId="2A6A217A">
            <w:pPr>
              <w:pStyle w:val="43"/>
            </w:pPr>
            <w:r>
              <w:t>1,457</w:t>
            </w:r>
          </w:p>
        </w:tc>
        <w:tc>
          <w:tcPr>
            <w:tcW w:w="770" w:type="dxa"/>
            <w:tcBorders>
              <w:top w:val="single" w:color="auto" w:sz="6" w:space="0"/>
            </w:tcBorders>
            <w:vAlign w:val="center"/>
          </w:tcPr>
          <w:p w14:paraId="44930F93">
            <w:pPr>
              <w:pStyle w:val="43"/>
            </w:pPr>
            <w:r>
              <w:t>64.41%</w:t>
            </w:r>
          </w:p>
        </w:tc>
        <w:tc>
          <w:tcPr>
            <w:tcW w:w="1095" w:type="dxa"/>
            <w:tcBorders>
              <w:top w:val="single" w:color="auto" w:sz="6" w:space="0"/>
            </w:tcBorders>
            <w:vAlign w:val="center"/>
          </w:tcPr>
          <w:p w14:paraId="58C95477">
            <w:pPr>
              <w:pStyle w:val="43"/>
            </w:pPr>
            <w:r>
              <w:t>76.68天</w:t>
            </w:r>
          </w:p>
        </w:tc>
        <w:tc>
          <w:tcPr>
            <w:tcW w:w="1095" w:type="dxa"/>
            <w:tcBorders>
              <w:top w:val="single" w:color="auto" w:sz="6" w:space="0"/>
            </w:tcBorders>
            <w:vAlign w:val="center"/>
          </w:tcPr>
          <w:p w14:paraId="3EBA3FCF">
            <w:pPr>
              <w:pStyle w:val="43"/>
            </w:pPr>
            <w:r>
              <w:t>0.0107</w:t>
            </w:r>
          </w:p>
        </w:tc>
        <w:tc>
          <w:tcPr>
            <w:tcW w:w="921" w:type="dxa"/>
            <w:tcBorders>
              <w:top w:val="single" w:color="auto" w:sz="6" w:space="0"/>
            </w:tcBorders>
            <w:vAlign w:val="center"/>
          </w:tcPr>
          <w:p w14:paraId="0A2EB53B">
            <w:pPr>
              <w:pStyle w:val="43"/>
            </w:pPr>
            <w:r>
              <w:t>-0.1680</w:t>
            </w:r>
          </w:p>
        </w:tc>
        <w:tc>
          <w:tcPr>
            <w:tcW w:w="921" w:type="dxa"/>
            <w:tcBorders>
              <w:top w:val="single" w:color="auto" w:sz="6" w:space="0"/>
            </w:tcBorders>
            <w:vAlign w:val="center"/>
          </w:tcPr>
          <w:p w14:paraId="3CEB416B">
            <w:pPr>
              <w:pStyle w:val="43"/>
            </w:pPr>
            <w:r>
              <w:t>0.1650</w:t>
            </w:r>
          </w:p>
        </w:tc>
        <w:tc>
          <w:tcPr>
            <w:tcW w:w="1200" w:type="dxa"/>
            <w:tcBorders>
              <w:top w:val="single" w:color="auto" w:sz="6" w:space="0"/>
            </w:tcBorders>
            <w:vAlign w:val="center"/>
          </w:tcPr>
          <w:p w14:paraId="28398D6C">
            <w:pPr>
              <w:pStyle w:val="43"/>
            </w:pPr>
            <w:r>
              <w:t>0.0215</w:t>
            </w:r>
          </w:p>
        </w:tc>
        <w:tc>
          <w:tcPr>
            <w:tcW w:w="1200" w:type="dxa"/>
            <w:tcBorders>
              <w:top w:val="single" w:color="auto" w:sz="6" w:space="0"/>
            </w:tcBorders>
            <w:vAlign w:val="center"/>
          </w:tcPr>
          <w:p w14:paraId="42F3431F">
            <w:pPr>
              <w:pStyle w:val="43"/>
            </w:pPr>
            <w:r>
              <w:t>0.0193</w:t>
            </w:r>
          </w:p>
        </w:tc>
      </w:tr>
      <w:tr w14:paraId="1DBD8B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24" w:hRule="atLeast"/>
        </w:trPr>
        <w:tc>
          <w:tcPr>
            <w:tcW w:w="726" w:type="dxa"/>
            <w:vAlign w:val="center"/>
          </w:tcPr>
          <w:p w14:paraId="31A23F43">
            <w:pPr>
              <w:pStyle w:val="43"/>
            </w:pPr>
            <w:r>
              <w:t>中等波动</w:t>
            </w:r>
          </w:p>
        </w:tc>
        <w:tc>
          <w:tcPr>
            <w:tcW w:w="581" w:type="dxa"/>
            <w:vAlign w:val="center"/>
          </w:tcPr>
          <w:p w14:paraId="3861C0D0">
            <w:pPr>
              <w:pStyle w:val="43"/>
            </w:pPr>
            <w:r>
              <w:t>734</w:t>
            </w:r>
          </w:p>
        </w:tc>
        <w:tc>
          <w:tcPr>
            <w:tcW w:w="770" w:type="dxa"/>
            <w:vAlign w:val="center"/>
          </w:tcPr>
          <w:p w14:paraId="192EAC61">
            <w:pPr>
              <w:pStyle w:val="43"/>
            </w:pPr>
            <w:r>
              <w:t>32.45%</w:t>
            </w:r>
          </w:p>
        </w:tc>
        <w:tc>
          <w:tcPr>
            <w:tcW w:w="1095" w:type="dxa"/>
            <w:vAlign w:val="center"/>
          </w:tcPr>
          <w:p w14:paraId="2E97BD49">
            <w:pPr>
              <w:pStyle w:val="43"/>
            </w:pPr>
            <w:r>
              <w:t>34.95天</w:t>
            </w:r>
          </w:p>
        </w:tc>
        <w:tc>
          <w:tcPr>
            <w:tcW w:w="1095" w:type="dxa"/>
            <w:vAlign w:val="center"/>
          </w:tcPr>
          <w:p w14:paraId="0E456E44">
            <w:pPr>
              <w:pStyle w:val="43"/>
            </w:pPr>
            <w:r>
              <w:t>0.0149</w:t>
            </w:r>
          </w:p>
        </w:tc>
        <w:tc>
          <w:tcPr>
            <w:tcW w:w="921" w:type="dxa"/>
            <w:vAlign w:val="center"/>
          </w:tcPr>
          <w:p w14:paraId="18A3EAE4">
            <w:pPr>
              <w:pStyle w:val="43"/>
            </w:pPr>
            <w:r>
              <w:t>-0.2099</w:t>
            </w:r>
          </w:p>
        </w:tc>
        <w:tc>
          <w:tcPr>
            <w:tcW w:w="921" w:type="dxa"/>
            <w:vAlign w:val="center"/>
          </w:tcPr>
          <w:p w14:paraId="6376EB8B">
            <w:pPr>
              <w:pStyle w:val="43"/>
            </w:pPr>
            <w:r>
              <w:t>0.5973</w:t>
            </w:r>
          </w:p>
        </w:tc>
        <w:tc>
          <w:tcPr>
            <w:tcW w:w="1200" w:type="dxa"/>
            <w:vAlign w:val="center"/>
          </w:tcPr>
          <w:p w14:paraId="64370E9B">
            <w:pPr>
              <w:pStyle w:val="43"/>
            </w:pPr>
            <w:r>
              <w:t>0.0215</w:t>
            </w:r>
          </w:p>
        </w:tc>
        <w:tc>
          <w:tcPr>
            <w:tcW w:w="1200" w:type="dxa"/>
            <w:vAlign w:val="center"/>
          </w:tcPr>
          <w:p w14:paraId="2F384BB8">
            <w:pPr>
              <w:pStyle w:val="43"/>
            </w:pPr>
            <w:r>
              <w:t>0.0194</w:t>
            </w:r>
          </w:p>
        </w:tc>
      </w:tr>
      <w:tr w14:paraId="715D6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1" w:hRule="atLeast"/>
        </w:trPr>
        <w:tc>
          <w:tcPr>
            <w:tcW w:w="726" w:type="dxa"/>
            <w:vAlign w:val="center"/>
          </w:tcPr>
          <w:p w14:paraId="0B9F01BB">
            <w:pPr>
              <w:pStyle w:val="43"/>
            </w:pPr>
            <w:r>
              <w:t>极端传染</w:t>
            </w:r>
          </w:p>
        </w:tc>
        <w:tc>
          <w:tcPr>
            <w:tcW w:w="581" w:type="dxa"/>
            <w:vAlign w:val="center"/>
          </w:tcPr>
          <w:p w14:paraId="6E12192E">
            <w:pPr>
              <w:pStyle w:val="43"/>
            </w:pPr>
            <w:r>
              <w:t>71</w:t>
            </w:r>
          </w:p>
        </w:tc>
        <w:tc>
          <w:tcPr>
            <w:tcW w:w="770" w:type="dxa"/>
            <w:vAlign w:val="center"/>
          </w:tcPr>
          <w:p w14:paraId="475CE708">
            <w:pPr>
              <w:pStyle w:val="43"/>
            </w:pPr>
            <w:r>
              <w:t>3.14%</w:t>
            </w:r>
          </w:p>
        </w:tc>
        <w:tc>
          <w:tcPr>
            <w:tcW w:w="1095" w:type="dxa"/>
            <w:vAlign w:val="center"/>
          </w:tcPr>
          <w:p w14:paraId="5217F858">
            <w:pPr>
              <w:pStyle w:val="43"/>
            </w:pPr>
            <w:r>
              <w:t>71.00天</w:t>
            </w:r>
          </w:p>
        </w:tc>
        <w:tc>
          <w:tcPr>
            <w:tcW w:w="1095" w:type="dxa"/>
            <w:vAlign w:val="center"/>
          </w:tcPr>
          <w:p w14:paraId="7C9F2B05">
            <w:pPr>
              <w:pStyle w:val="43"/>
            </w:pPr>
            <w:r>
              <w:t>0.0396</w:t>
            </w:r>
          </w:p>
        </w:tc>
        <w:tc>
          <w:tcPr>
            <w:tcW w:w="921" w:type="dxa"/>
            <w:vAlign w:val="center"/>
          </w:tcPr>
          <w:p w14:paraId="014263F8">
            <w:pPr>
              <w:pStyle w:val="43"/>
            </w:pPr>
            <w:r>
              <w:t>-0.3901</w:t>
            </w:r>
          </w:p>
        </w:tc>
        <w:tc>
          <w:tcPr>
            <w:tcW w:w="921" w:type="dxa"/>
            <w:vAlign w:val="center"/>
          </w:tcPr>
          <w:p w14:paraId="6B01CC06">
            <w:pPr>
              <w:pStyle w:val="43"/>
            </w:pPr>
            <w:r>
              <w:t>2.2697</w:t>
            </w:r>
          </w:p>
        </w:tc>
        <w:tc>
          <w:tcPr>
            <w:tcW w:w="1200" w:type="dxa"/>
            <w:vAlign w:val="center"/>
          </w:tcPr>
          <w:p w14:paraId="3EFD0575">
            <w:pPr>
              <w:pStyle w:val="43"/>
            </w:pPr>
            <w:r>
              <w:t>——</w:t>
            </w:r>
          </w:p>
        </w:tc>
        <w:tc>
          <w:tcPr>
            <w:tcW w:w="1200" w:type="dxa"/>
            <w:vAlign w:val="center"/>
          </w:tcPr>
          <w:p w14:paraId="0BC72183">
            <w:pPr>
              <w:pStyle w:val="43"/>
            </w:pPr>
            <w:r>
              <w:t>——</w:t>
            </w:r>
          </w:p>
        </w:tc>
      </w:tr>
    </w:tbl>
    <w:p w14:paraId="0F5160F8">
      <w:pPr>
        <w:ind w:firstLine="560" w:firstLineChars="200"/>
      </w:pPr>
      <w:r>
        <w:rPr>
          <w:rFonts w:hint="eastAsia"/>
        </w:rPr>
        <w:t>三个阶段在每一风险维度上均呈现出极为清晰的单调递增结构。在波动率方面，从低波平稳期（0.0107）到极端传染期（0.0396），集成波动率上升约270%，证实了阶段划分确实捕捉了市场不确定性的实质性差异。在偏度方面，均值偏度从-0.168（平稳）降至-0.390（极端），反映了压力时期左尾不对称性的加剧，极端传染期的偏度绝对值约为平稳期的2.3倍。最引人注目的区分体现在峰度上：从0.165（平稳期，近高斯尾部厚度）到2.270（极端期，强重尾）增长了约13.8倍，这证实了尾部厚度是危机阶段的首要区分特征。</w:t>
      </w:r>
    </w:p>
    <w:p w14:paraId="275562FE">
      <w:pPr>
        <w:ind w:firstLine="560" w:firstLineChars="200"/>
      </w:pPr>
      <w:r>
        <w:rPr>
          <w:rFonts w:hint="eastAsia"/>
        </w:rPr>
        <w:t>在VaR水平方面，M7与M8的VaR预测值均随阶段单调递增。值得注意的是，M8在平稳期产生低于M7的VaR水平（1.93%对2.15%），这与问题二中M8在正常时期更为保守的结论一致。极端传染期因测试集重叠观测过少而无法计算可靠的VaR/ES均值，故相应单元格留空。</w:t>
      </w:r>
    </w:p>
    <w:p w14:paraId="11C36C23">
      <w:pPr>
        <w:ind w:firstLine="840" w:firstLineChars="300"/>
      </w:pPr>
      <w:r>
        <w:fldChar w:fldCharType="begin"/>
      </w:r>
      <w:r>
        <w:instrText xml:space="preserve"> </w:instrText>
      </w:r>
      <w:r>
        <w:rPr>
          <w:rFonts w:hint="eastAsia"/>
        </w:rPr>
        <w:instrText xml:space="preserve">REF _Ref230466716 \h</w:instrText>
      </w:r>
      <w:r>
        <w:instrText xml:space="preserve"> </w:instrText>
      </w:r>
      <w:r>
        <w:fldChar w:fldCharType="separate"/>
      </w:r>
      <w:r>
        <w:rPr>
          <w:rFonts w:hint="eastAsia"/>
        </w:rPr>
        <w:t>图 20</w:t>
      </w:r>
      <w:r>
        <w:fldChar w:fldCharType="end"/>
      </w:r>
      <w:r>
        <w:rPr>
          <w:rFonts w:hint="eastAsia"/>
        </w:rPr>
        <w:t>将阶段分配结果叠加于沪深300日收益率与M7/M8负VaR预测之上，可视化展示了2016至2025年全样本区间的阶段演变。图中揭示了若干重要模式：（i）极端传染阶段（红色）集中于2020年的COVID冲击与负油价事件；（ii）中等波动阶段（橙色）出现在压力上升但尚未达到危机水平的时期，包括2022年的加息与能源危机以及2025年的贸易摩擦；（iii）低波平稳阶段（蓝色）占样本的大多数；（iv）阶段转换往往发生在可识别的宏观事件附近，这佐证了无监督划分的经济可解释性，如</w:t>
      </w:r>
      <w:r>
        <w:fldChar w:fldCharType="begin"/>
      </w:r>
      <w:r>
        <w:instrText xml:space="preserve"> </w:instrText>
      </w:r>
      <w:r>
        <w:rPr>
          <w:rFonts w:hint="eastAsia"/>
        </w:rPr>
        <w:instrText xml:space="preserve">REF _Ref230466716 \h</w:instrText>
      </w:r>
      <w:r>
        <w:instrText xml:space="preserve"> </w:instrText>
      </w:r>
      <w:r>
        <w:fldChar w:fldCharType="separate"/>
      </w:r>
      <w:r>
        <w:rPr>
          <w:rFonts w:hint="eastAsia"/>
        </w:rPr>
        <w:t>图 20</w:t>
      </w:r>
      <w:r>
        <w:fldChar w:fldCharType="end"/>
      </w:r>
      <w:r>
        <w:rPr>
          <w:rFonts w:hint="eastAsia"/>
        </w:rPr>
        <w:t>：</w:t>
      </w:r>
    </w:p>
    <w:p w14:paraId="3BD26B7A">
      <w:r>
        <w:drawing>
          <wp:inline distT="0" distB="0" distL="0" distR="0">
            <wp:extent cx="5274310" cy="17659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15" cstate="print">
                      <a:extLst>
                        <a:ext uri="{28A0092B-C50C-407E-A947-70E740481C1C}">
                          <a14:useLocalDpi xmlns:a14="http://schemas.microsoft.com/office/drawing/2010/main" val="0"/>
                        </a:ext>
                      </a:extLst>
                    </a:blip>
                    <a:srcRect t="6236"/>
                    <a:stretch>
                      <a:fillRect/>
                    </a:stretch>
                  </pic:blipFill>
                  <pic:spPr>
                    <a:xfrm>
                      <a:off x="0" y="0"/>
                      <a:ext cx="5274310" cy="1765964"/>
                    </a:xfrm>
                    <a:prstGeom prst="rect">
                      <a:avLst/>
                    </a:prstGeom>
                    <a:noFill/>
                    <a:ln>
                      <a:noFill/>
                    </a:ln>
                  </pic:spPr>
                </pic:pic>
              </a:graphicData>
            </a:graphic>
          </wp:inline>
        </w:drawing>
      </w:r>
    </w:p>
    <w:p w14:paraId="6B7F53A1">
      <w:pPr>
        <w:pStyle w:val="11"/>
        <w:jc w:val="center"/>
        <w:rPr>
          <w:rFonts w:hint="eastAsia"/>
        </w:rPr>
      </w:pPr>
      <w:bookmarkStart w:id="31" w:name="_Ref230466716"/>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20</w:t>
      </w:r>
      <w:r>
        <w:rPr>
          <w:rFonts w:hint="eastAsia"/>
        </w:rPr>
        <w:fldChar w:fldCharType="end"/>
      </w:r>
      <w:bookmarkEnd w:id="31"/>
      <w:r>
        <w:rPr>
          <w:rFonts w:hint="eastAsia" w:ascii="黑体" w:hAnsi="黑体"/>
        </w:rPr>
        <w:t>Wasserstein k-means风险阶段时间轴</w:t>
      </w:r>
    </w:p>
    <w:p w14:paraId="0EB83749">
      <w:pPr>
        <w:pStyle w:val="4"/>
      </w:pPr>
      <w:r>
        <w:rPr>
          <w:rFonts w:hint="eastAsia"/>
        </w:rPr>
        <w:t>7.3.2 各阶段重心分位函数</w:t>
      </w:r>
    </w:p>
    <w:p w14:paraId="4C2D9F4B">
      <w:pPr>
        <w:ind w:firstLine="560" w:firstLineChars="200"/>
      </w:pPr>
      <w:r>
        <w:rPr>
          <w:rFonts w:hint="eastAsia"/>
        </w:rPr>
        <w:t>该图展示了三个阶段的中心（Wasserstein重心）分位函数。低波平稳期（阶段0，蓝色）的分位函数全域斜率适中，表明收益集中、离散度低，左尾（p&lt;0.1）延伸至约-0.025，右尾（p&gt;0.9）约+0.020，呈现近似对称但略偏左的温和风险特征。中等波动期（阶段1，橙色）的分位函数在两尾显著变陡，左尾（p=0.01处约-0.040）和右尾（p=0.99处约+0.035）均明显拓宽，中部区间仍相对较窄，表明该阶段的特征是尾部拓宽而非波动率均匀上升。极端传染期（阶段2，红色）的分位函数左尾急剧扩大，p=0.01处约-0.150，右尾延伸至约+0.095，左尾显著不对称的程度与高度负偏度（-0.39）和高峰度（2.27）一致，左尾幅度超过中等波动期的3倍，捕捉了多市场同步崩盘风险，如</w:t>
      </w:r>
      <w:r>
        <w:fldChar w:fldCharType="begin"/>
      </w:r>
      <w:r>
        <w:instrText xml:space="preserve"> </w:instrText>
      </w:r>
      <w:r>
        <w:rPr>
          <w:rFonts w:hint="eastAsia"/>
        </w:rPr>
        <w:instrText xml:space="preserve">REF _Ref230466778 \h</w:instrText>
      </w:r>
      <w:r>
        <w:instrText xml:space="preserve"> </w:instrText>
      </w:r>
      <w:r>
        <w:fldChar w:fldCharType="separate"/>
      </w:r>
      <w:r>
        <w:rPr>
          <w:rFonts w:hint="eastAsia"/>
        </w:rPr>
        <w:t>图 21</w:t>
      </w:r>
      <w:r>
        <w:fldChar w:fldCharType="end"/>
      </w:r>
      <w:r>
        <w:rPr>
          <w:rFonts w:hint="eastAsia"/>
        </w:rPr>
        <w:t>：</w:t>
      </w:r>
    </w:p>
    <w:p w14:paraId="0D44EDCB">
      <w:r>
        <w:drawing>
          <wp:inline distT="0" distB="0" distL="0" distR="0">
            <wp:extent cx="5274310" cy="246062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16" cstate="print">
                      <a:extLst>
                        <a:ext uri="{28A0092B-C50C-407E-A947-70E740481C1C}">
                          <a14:useLocalDpi xmlns:a14="http://schemas.microsoft.com/office/drawing/2010/main" val="0"/>
                        </a:ext>
                      </a:extLst>
                    </a:blip>
                    <a:srcRect t="6680"/>
                    <a:stretch>
                      <a:fillRect/>
                    </a:stretch>
                  </pic:blipFill>
                  <pic:spPr>
                    <a:xfrm>
                      <a:off x="0" y="0"/>
                      <a:ext cx="5274310" cy="2460986"/>
                    </a:xfrm>
                    <a:prstGeom prst="rect">
                      <a:avLst/>
                    </a:prstGeom>
                    <a:noFill/>
                    <a:ln>
                      <a:noFill/>
                    </a:ln>
                  </pic:spPr>
                </pic:pic>
              </a:graphicData>
            </a:graphic>
          </wp:inline>
        </w:drawing>
      </w:r>
    </w:p>
    <w:p w14:paraId="28634DA7">
      <w:pPr>
        <w:pStyle w:val="11"/>
        <w:jc w:val="center"/>
        <w:rPr>
          <w:rFonts w:hint="eastAsia"/>
        </w:rPr>
      </w:pPr>
      <w:bookmarkStart w:id="32" w:name="_Ref230466778"/>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21</w:t>
      </w:r>
      <w:r>
        <w:rPr>
          <w:rFonts w:hint="eastAsia"/>
        </w:rPr>
        <w:fldChar w:fldCharType="end"/>
      </w:r>
      <w:bookmarkEnd w:id="32"/>
      <w:r>
        <w:rPr>
          <w:rFonts w:hint="eastAsia" w:ascii="黑体" w:hAnsi="黑体"/>
        </w:rPr>
        <w:t>不同风险阶段的综合市场分布分位函数中心</w:t>
      </w:r>
    </w:p>
    <w:p w14:paraId="04A6CF65">
      <w:pPr>
        <w:ind w:firstLine="560" w:firstLineChars="200"/>
      </w:pPr>
      <w:r>
        <w:rPr>
          <w:rFonts w:hint="eastAsia"/>
        </w:rPr>
        <w:t>这些分布差异证实，Wasserstein k-means识别出的阶段在完整分布形态上具有质的差异，而不仅限于一阶或二阶矩。</w:t>
      </w:r>
    </w:p>
    <w:p w14:paraId="0E6F135C">
      <w:pPr>
        <w:pStyle w:val="4"/>
      </w:pPr>
      <w:r>
        <w:rPr>
          <w:rFonts w:hint="eastAsia"/>
        </w:rPr>
        <w:t>7.3.3 各阶段特征分布</w:t>
      </w:r>
    </w:p>
    <w:p w14:paraId="564676B4">
      <w:pPr>
        <w:ind w:firstLine="560" w:firstLineChars="200"/>
      </w:pPr>
      <w:r>
        <w:rPr>
          <w:rFonts w:hint="eastAsia"/>
        </w:rPr>
        <w:t>按阶段展示了四个重心矩特征（均值、标准差、偏度、峰度）的箱线图。标准差（波动率）在三个阶段的分布几乎不重叠，低波平稳期的四分位距狭窄（约0.009-0.012），而极端传染期分布的中心位于约0.040处，重叠极小，证实波动率是首要区分特征。峰度（尾部厚度）方面，极端传染期呈现显著抬升（中位数约1.7，异常值超5.0），平稳期集中于零附近，中等波动期呈居中水平且右偏明显，但分离程度不及波动率干净，平稳与中等阶段之间存在一定重叠。偏度（不对称性）方面，平稳期集中于-0.17附近，极端期偏度更负（中位数约-0.34）但重叠较大，偏度提供了增量但非主导的区分能力。均值（位置）方面，三个阶段的均值特征重叠显著，确认一阶矩对阶段识别的信息含量有限，三阶段均值均集中于零附近，如</w:t>
      </w:r>
      <w:r>
        <w:fldChar w:fldCharType="begin"/>
      </w:r>
      <w:r>
        <w:instrText xml:space="preserve"> </w:instrText>
      </w:r>
      <w:r>
        <w:rPr>
          <w:rFonts w:hint="eastAsia"/>
        </w:rPr>
        <w:instrText xml:space="preserve">REF _Ref230466852 \h</w:instrText>
      </w:r>
      <w:r>
        <w:instrText xml:space="preserve"> </w:instrText>
      </w:r>
      <w:r>
        <w:fldChar w:fldCharType="separate"/>
      </w:r>
      <w:r>
        <w:rPr>
          <w:rFonts w:hint="eastAsia"/>
        </w:rPr>
        <w:t>图 22</w:t>
      </w:r>
      <w:r>
        <w:fldChar w:fldCharType="end"/>
      </w:r>
      <w:r>
        <w:rPr>
          <w:rFonts w:hint="eastAsia"/>
        </w:rPr>
        <w:t>：</w:t>
      </w:r>
    </w:p>
    <w:p w14:paraId="6844BFC3">
      <w:r>
        <w:drawing>
          <wp:inline distT="0" distB="0" distL="0" distR="0">
            <wp:extent cx="5274310" cy="334772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7" cstate="print">
                      <a:extLst>
                        <a:ext uri="{28A0092B-C50C-407E-A947-70E740481C1C}">
                          <a14:useLocalDpi xmlns:a14="http://schemas.microsoft.com/office/drawing/2010/main" val="0"/>
                        </a:ext>
                      </a:extLst>
                    </a:blip>
                    <a:srcRect t="4772"/>
                    <a:stretch>
                      <a:fillRect/>
                    </a:stretch>
                  </pic:blipFill>
                  <pic:spPr>
                    <a:xfrm>
                      <a:off x="0" y="0"/>
                      <a:ext cx="5274310" cy="3348216"/>
                    </a:xfrm>
                    <a:prstGeom prst="rect">
                      <a:avLst/>
                    </a:prstGeom>
                    <a:noFill/>
                    <a:ln>
                      <a:noFill/>
                    </a:ln>
                  </pic:spPr>
                </pic:pic>
              </a:graphicData>
            </a:graphic>
          </wp:inline>
        </w:drawing>
      </w:r>
    </w:p>
    <w:p w14:paraId="307D9D04">
      <w:pPr>
        <w:pStyle w:val="11"/>
        <w:jc w:val="center"/>
        <w:rPr>
          <w:rFonts w:hint="eastAsia"/>
        </w:rPr>
      </w:pPr>
      <w:bookmarkStart w:id="33" w:name="_Ref230466852"/>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22</w:t>
      </w:r>
      <w:r>
        <w:rPr>
          <w:rFonts w:hint="eastAsia"/>
        </w:rPr>
        <w:fldChar w:fldCharType="end"/>
      </w:r>
      <w:bookmarkEnd w:id="33"/>
      <w:r>
        <w:rPr>
          <w:rFonts w:hint="eastAsia" w:ascii="黑体" w:hAnsi="黑体"/>
        </w:rPr>
        <w:t>不同风险阶段的综合分布特征差异</w:t>
      </w:r>
    </w:p>
    <w:p w14:paraId="5DFD81FC">
      <w:pPr>
        <w:ind w:firstLine="840" w:firstLineChars="300"/>
      </w:pPr>
      <w:r>
        <w:rPr>
          <w:rFonts w:hint="eastAsia"/>
        </w:rPr>
        <w:t>箱线图分析证实，阶段分离主要由波动率（标准差）和尾部厚度（峰度）驱动，偏度提供辅助区分能力，均值贡献最小。</w:t>
      </w:r>
    </w:p>
    <w:p w14:paraId="61709116">
      <w:pPr>
        <w:pStyle w:val="4"/>
      </w:pPr>
      <w:r>
        <w:t>7.3.4 统计显著性检验</w:t>
      </w:r>
    </w:p>
    <w:p w14:paraId="367AF274">
      <w:pPr>
        <w:ind w:firstLine="560" w:firstLineChars="200"/>
      </w:pPr>
      <w:r>
        <w:t>为正式检验各分布特征在不同阶段间是否存在显著差异，我们对每个特征及M7/M8的VaR/ES预测进行Kruskal-Wallis检验（不假定正态分布的非参数单因素方差分析替代方法）：</w:t>
      </w:r>
    </w:p>
    <w:tbl>
      <w:tblPr>
        <w:tblStyle w:val="41"/>
        <w:tblW w:w="853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7"/>
        <w:gridCol w:w="2950"/>
        <w:gridCol w:w="1872"/>
        <w:gridCol w:w="1901"/>
      </w:tblGrid>
      <w:tr w14:paraId="3A3DDA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tcBorders>
              <w:bottom w:val="single" w:color="auto" w:sz="6" w:space="0"/>
            </w:tcBorders>
            <w:noWrap/>
            <w:vAlign w:val="center"/>
          </w:tcPr>
          <w:p w14:paraId="25B4107A">
            <w:pPr>
              <w:pStyle w:val="43"/>
            </w:pPr>
            <w:r>
              <w:t>变量</w:t>
            </w:r>
          </w:p>
        </w:tc>
        <w:tc>
          <w:tcPr>
            <w:tcW w:w="0" w:type="auto"/>
            <w:tcBorders>
              <w:bottom w:val="single" w:color="auto" w:sz="6" w:space="0"/>
            </w:tcBorders>
            <w:noWrap/>
            <w:vAlign w:val="center"/>
          </w:tcPr>
          <w:p w14:paraId="07E8E4FA">
            <w:pPr>
              <w:pStyle w:val="43"/>
            </w:pPr>
            <w:r>
              <w:t>检验方法</w:t>
            </w:r>
          </w:p>
        </w:tc>
        <w:tc>
          <w:tcPr>
            <w:tcW w:w="0" w:type="auto"/>
            <w:tcBorders>
              <w:bottom w:val="single" w:color="auto" w:sz="6" w:space="0"/>
            </w:tcBorders>
            <w:noWrap/>
            <w:vAlign w:val="center"/>
          </w:tcPr>
          <w:p w14:paraId="0CA4F755">
            <w:pPr>
              <w:pStyle w:val="43"/>
            </w:pPr>
            <w:r>
              <w:t>统计量</w:t>
            </w:r>
          </w:p>
        </w:tc>
        <w:tc>
          <w:tcPr>
            <w:tcW w:w="0" w:type="auto"/>
            <w:tcBorders>
              <w:bottom w:val="single" w:color="auto" w:sz="6" w:space="0"/>
            </w:tcBorders>
            <w:noWrap/>
            <w:vAlign w:val="center"/>
          </w:tcPr>
          <w:p w14:paraId="2FB1274F">
            <w:pPr>
              <w:pStyle w:val="43"/>
            </w:pPr>
            <w:r>
              <w:t>p值</w:t>
            </w:r>
          </w:p>
        </w:tc>
      </w:tr>
      <w:tr w14:paraId="37D05F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8" w:hRule="atLeast"/>
        </w:trPr>
        <w:tc>
          <w:tcPr>
            <w:tcW w:w="0" w:type="auto"/>
            <w:tcBorders>
              <w:top w:val="single" w:color="auto" w:sz="6" w:space="0"/>
            </w:tcBorders>
            <w:vAlign w:val="center"/>
          </w:tcPr>
          <w:p w14:paraId="71FC7039">
            <w:pPr>
              <w:pStyle w:val="43"/>
            </w:pPr>
            <w:r>
              <w:t>均值</w:t>
            </w:r>
          </w:p>
        </w:tc>
        <w:tc>
          <w:tcPr>
            <w:tcW w:w="0" w:type="auto"/>
            <w:tcBorders>
              <w:top w:val="single" w:color="auto" w:sz="6" w:space="0"/>
            </w:tcBorders>
            <w:vAlign w:val="center"/>
          </w:tcPr>
          <w:p w14:paraId="7C6A416D">
            <w:pPr>
              <w:pStyle w:val="43"/>
            </w:pPr>
            <w:r>
              <w:t>Kruskal-Wallis</w:t>
            </w:r>
          </w:p>
        </w:tc>
        <w:tc>
          <w:tcPr>
            <w:tcW w:w="0" w:type="auto"/>
            <w:tcBorders>
              <w:top w:val="single" w:color="auto" w:sz="6" w:space="0"/>
            </w:tcBorders>
            <w:vAlign w:val="center"/>
          </w:tcPr>
          <w:p w14:paraId="135CE338">
            <w:pPr>
              <w:pStyle w:val="43"/>
            </w:pPr>
            <w:r>
              <w:t>12.06</w:t>
            </w:r>
          </w:p>
        </w:tc>
        <w:tc>
          <w:tcPr>
            <w:tcW w:w="0" w:type="auto"/>
            <w:tcBorders>
              <w:top w:val="single" w:color="auto" w:sz="6" w:space="0"/>
            </w:tcBorders>
            <w:vAlign w:val="center"/>
          </w:tcPr>
          <w:p w14:paraId="6D858F1E">
            <w:pPr>
              <w:pStyle w:val="43"/>
            </w:pPr>
            <w:r>
              <w:t>0.0024</w:t>
            </w:r>
          </w:p>
        </w:tc>
      </w:tr>
      <w:tr w14:paraId="669A29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4FEA6178">
            <w:pPr>
              <w:pStyle w:val="43"/>
            </w:pPr>
            <w:r>
              <w:t>标准差</w:t>
            </w:r>
          </w:p>
        </w:tc>
        <w:tc>
          <w:tcPr>
            <w:tcW w:w="0" w:type="auto"/>
            <w:vAlign w:val="center"/>
          </w:tcPr>
          <w:p w14:paraId="6DAA1640">
            <w:pPr>
              <w:pStyle w:val="43"/>
            </w:pPr>
            <w:r>
              <w:t>Kruskal-Wallis</w:t>
            </w:r>
          </w:p>
        </w:tc>
        <w:tc>
          <w:tcPr>
            <w:tcW w:w="0" w:type="auto"/>
            <w:vAlign w:val="center"/>
          </w:tcPr>
          <w:p w14:paraId="31249767">
            <w:pPr>
              <w:pStyle w:val="43"/>
            </w:pPr>
            <w:r>
              <w:t>1,573.90</w:t>
            </w:r>
          </w:p>
        </w:tc>
        <w:tc>
          <w:tcPr>
            <w:tcW w:w="0" w:type="auto"/>
            <w:vAlign w:val="center"/>
          </w:tcPr>
          <w:p w14:paraId="63D11186">
            <w:pPr>
              <w:pStyle w:val="43"/>
            </w:pPr>
            <w:r>
              <w:t>&lt; 0.0001</w:t>
            </w:r>
          </w:p>
        </w:tc>
      </w:tr>
      <w:tr w14:paraId="14BE6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43495607">
            <w:pPr>
              <w:pStyle w:val="43"/>
            </w:pPr>
            <w:r>
              <w:t>偏度</w:t>
            </w:r>
          </w:p>
        </w:tc>
        <w:tc>
          <w:tcPr>
            <w:tcW w:w="0" w:type="auto"/>
            <w:vAlign w:val="center"/>
          </w:tcPr>
          <w:p w14:paraId="6F762E32">
            <w:pPr>
              <w:pStyle w:val="43"/>
            </w:pPr>
            <w:r>
              <w:t>Kruskal-Wallis</w:t>
            </w:r>
          </w:p>
        </w:tc>
        <w:tc>
          <w:tcPr>
            <w:tcW w:w="0" w:type="auto"/>
            <w:vAlign w:val="center"/>
          </w:tcPr>
          <w:p w14:paraId="23D72455">
            <w:pPr>
              <w:pStyle w:val="43"/>
            </w:pPr>
            <w:r>
              <w:t>67.64</w:t>
            </w:r>
          </w:p>
        </w:tc>
        <w:tc>
          <w:tcPr>
            <w:tcW w:w="0" w:type="auto"/>
            <w:vAlign w:val="center"/>
          </w:tcPr>
          <w:p w14:paraId="0F99A793">
            <w:pPr>
              <w:pStyle w:val="43"/>
            </w:pPr>
            <w:r>
              <w:t>&lt; 0.0001</w:t>
            </w:r>
          </w:p>
        </w:tc>
      </w:tr>
      <w:tr w14:paraId="2CBD8D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68400FEF">
            <w:pPr>
              <w:pStyle w:val="43"/>
            </w:pPr>
            <w:r>
              <w:t>峰度</w:t>
            </w:r>
          </w:p>
        </w:tc>
        <w:tc>
          <w:tcPr>
            <w:tcW w:w="0" w:type="auto"/>
            <w:vAlign w:val="center"/>
          </w:tcPr>
          <w:p w14:paraId="7CB028AD">
            <w:pPr>
              <w:pStyle w:val="43"/>
            </w:pPr>
            <w:r>
              <w:t>Kruskal-Wallis</w:t>
            </w:r>
          </w:p>
        </w:tc>
        <w:tc>
          <w:tcPr>
            <w:tcW w:w="0" w:type="auto"/>
            <w:vAlign w:val="center"/>
          </w:tcPr>
          <w:p w14:paraId="0D15616C">
            <w:pPr>
              <w:pStyle w:val="43"/>
            </w:pPr>
            <w:r>
              <w:t>347.69</w:t>
            </w:r>
          </w:p>
        </w:tc>
        <w:tc>
          <w:tcPr>
            <w:tcW w:w="0" w:type="auto"/>
            <w:vAlign w:val="center"/>
          </w:tcPr>
          <w:p w14:paraId="0847275B">
            <w:pPr>
              <w:pStyle w:val="43"/>
            </w:pPr>
            <w:r>
              <w:t>&lt; 0.0001</w:t>
            </w:r>
          </w:p>
        </w:tc>
      </w:tr>
      <w:tr w14:paraId="2CE864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7EEE019E">
            <w:pPr>
              <w:pStyle w:val="43"/>
            </w:pPr>
            <w:r>
              <w:t>M7 VaR</w:t>
            </w:r>
          </w:p>
        </w:tc>
        <w:tc>
          <w:tcPr>
            <w:tcW w:w="0" w:type="auto"/>
            <w:vAlign w:val="center"/>
          </w:tcPr>
          <w:p w14:paraId="0BC0FED7">
            <w:pPr>
              <w:pStyle w:val="43"/>
            </w:pPr>
            <w:r>
              <w:t>Kruskal-Wallis</w:t>
            </w:r>
          </w:p>
        </w:tc>
        <w:tc>
          <w:tcPr>
            <w:tcW w:w="0" w:type="auto"/>
            <w:vAlign w:val="center"/>
          </w:tcPr>
          <w:p w14:paraId="05FD3C13">
            <w:pPr>
              <w:pStyle w:val="43"/>
            </w:pPr>
            <w:r>
              <w:t>0.90</w:t>
            </w:r>
          </w:p>
        </w:tc>
        <w:tc>
          <w:tcPr>
            <w:tcW w:w="0" w:type="auto"/>
            <w:vAlign w:val="center"/>
          </w:tcPr>
          <w:p w14:paraId="5EF660B2">
            <w:pPr>
              <w:pStyle w:val="43"/>
            </w:pPr>
            <w:r>
              <w:t>0.3422</w:t>
            </w:r>
          </w:p>
        </w:tc>
      </w:tr>
      <w:tr w14:paraId="2E1A8A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8" w:hRule="atLeast"/>
        </w:trPr>
        <w:tc>
          <w:tcPr>
            <w:tcW w:w="0" w:type="auto"/>
            <w:vAlign w:val="center"/>
          </w:tcPr>
          <w:p w14:paraId="6A6677E5">
            <w:pPr>
              <w:pStyle w:val="43"/>
            </w:pPr>
            <w:r>
              <w:t>M7 ES</w:t>
            </w:r>
          </w:p>
        </w:tc>
        <w:tc>
          <w:tcPr>
            <w:tcW w:w="0" w:type="auto"/>
            <w:vAlign w:val="center"/>
          </w:tcPr>
          <w:p w14:paraId="78128400">
            <w:pPr>
              <w:pStyle w:val="43"/>
            </w:pPr>
            <w:r>
              <w:t>Kruskal-Wallis</w:t>
            </w:r>
          </w:p>
        </w:tc>
        <w:tc>
          <w:tcPr>
            <w:tcW w:w="0" w:type="auto"/>
            <w:vAlign w:val="center"/>
          </w:tcPr>
          <w:p w14:paraId="795EDED8">
            <w:pPr>
              <w:pStyle w:val="43"/>
            </w:pPr>
            <w:r>
              <w:t>8.66</w:t>
            </w:r>
          </w:p>
        </w:tc>
        <w:tc>
          <w:tcPr>
            <w:tcW w:w="0" w:type="auto"/>
            <w:vAlign w:val="center"/>
          </w:tcPr>
          <w:p w14:paraId="47980592">
            <w:pPr>
              <w:pStyle w:val="43"/>
            </w:pPr>
            <w:r>
              <w:t>0.0032</w:t>
            </w:r>
          </w:p>
        </w:tc>
      </w:tr>
      <w:tr w14:paraId="383281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4B470A7B">
            <w:pPr>
              <w:pStyle w:val="43"/>
            </w:pPr>
            <w:r>
              <w:t>M8 VaR</w:t>
            </w:r>
          </w:p>
        </w:tc>
        <w:tc>
          <w:tcPr>
            <w:tcW w:w="0" w:type="auto"/>
            <w:vAlign w:val="center"/>
          </w:tcPr>
          <w:p w14:paraId="7F69DF48">
            <w:pPr>
              <w:pStyle w:val="43"/>
            </w:pPr>
            <w:r>
              <w:t>Kruskal-Wallis</w:t>
            </w:r>
          </w:p>
        </w:tc>
        <w:tc>
          <w:tcPr>
            <w:tcW w:w="0" w:type="auto"/>
            <w:vAlign w:val="center"/>
          </w:tcPr>
          <w:p w14:paraId="1BA7BBC1">
            <w:pPr>
              <w:pStyle w:val="43"/>
            </w:pPr>
            <w:r>
              <w:t>37.27</w:t>
            </w:r>
          </w:p>
        </w:tc>
        <w:tc>
          <w:tcPr>
            <w:tcW w:w="0" w:type="auto"/>
            <w:vAlign w:val="center"/>
          </w:tcPr>
          <w:p w14:paraId="0CDA927D">
            <w:pPr>
              <w:pStyle w:val="43"/>
            </w:pPr>
            <w:r>
              <w:t>&lt; 0.0001</w:t>
            </w:r>
          </w:p>
        </w:tc>
      </w:tr>
      <w:tr w14:paraId="69AFAD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0" w:type="auto"/>
            <w:vAlign w:val="center"/>
          </w:tcPr>
          <w:p w14:paraId="04AA7EC0">
            <w:pPr>
              <w:pStyle w:val="43"/>
            </w:pPr>
            <w:r>
              <w:t>M8 ES</w:t>
            </w:r>
          </w:p>
        </w:tc>
        <w:tc>
          <w:tcPr>
            <w:tcW w:w="0" w:type="auto"/>
            <w:vAlign w:val="center"/>
          </w:tcPr>
          <w:p w14:paraId="1BCD4719">
            <w:pPr>
              <w:pStyle w:val="43"/>
            </w:pPr>
            <w:r>
              <w:t>Kruskal-Wallis</w:t>
            </w:r>
          </w:p>
        </w:tc>
        <w:tc>
          <w:tcPr>
            <w:tcW w:w="0" w:type="auto"/>
            <w:vAlign w:val="center"/>
          </w:tcPr>
          <w:p w14:paraId="2D2D382A">
            <w:pPr>
              <w:pStyle w:val="43"/>
            </w:pPr>
            <w:r>
              <w:t>22.80</w:t>
            </w:r>
          </w:p>
        </w:tc>
        <w:tc>
          <w:tcPr>
            <w:tcW w:w="0" w:type="auto"/>
            <w:vAlign w:val="center"/>
          </w:tcPr>
          <w:p w14:paraId="3AD071EF">
            <w:pPr>
              <w:pStyle w:val="43"/>
            </w:pPr>
            <w:r>
              <w:t>&lt; 0.0001</w:t>
            </w:r>
          </w:p>
        </w:tc>
      </w:tr>
    </w:tbl>
    <w:p w14:paraId="138D98CC">
      <w:pPr>
        <w:ind w:firstLine="560" w:firstLineChars="200"/>
      </w:pPr>
      <w:r>
        <w:t>四个重心矩特征在阶段间均呈现统计显著差异（p&lt;0.01）。标准差特征的检验统计量（1,573.90）远高于其他特征，确认其在阶段分离中的主导作用。峰度（347.69）和偏度（67.64）同样高度显著。均值特征虽显著（p=0.0024），但统计量（12.06）小得多，与箱线图分析中观察到的有限区分能力一致。值得注意的是，M7和M8的VaR/ES预测值在阶段间也存在显著差异（M7 VaR除外，p=0.34，这很可能反映了该模型的保守偏差导致阶段间变异被压缩），证实阶段划分不仅是统计产物，而且对风险预测具有实际意义。</w:t>
      </w:r>
    </w:p>
    <w:p w14:paraId="3A2B86E0">
      <w:pPr>
        <w:pStyle w:val="4"/>
      </w:pPr>
      <w:r>
        <w:t>7.3.5 阶段转移动态</w:t>
      </w:r>
    </w:p>
    <w:p w14:paraId="32E22521">
      <w:r>
        <w:t>展示了阶段间的估计转移概率</w:t>
      </w:r>
      <w:r>
        <w:rPr>
          <w:rFonts w:hint="eastAsia"/>
        </w:rPr>
        <w:t>，如</w:t>
      </w:r>
      <w:r>
        <w:fldChar w:fldCharType="begin"/>
      </w:r>
      <w:r>
        <w:instrText xml:space="preserve"> </w:instrText>
      </w:r>
      <w:r>
        <w:rPr>
          <w:rFonts w:hint="eastAsia"/>
        </w:rPr>
        <w:instrText xml:space="preserve">REF _Ref230466929 \h</w:instrText>
      </w:r>
      <w:r>
        <w:instrText xml:space="preserve"> </w:instrText>
      </w:r>
      <w:r>
        <w:fldChar w:fldCharType="separate"/>
      </w:r>
      <w:r>
        <w:rPr>
          <w:rFonts w:hint="eastAsia"/>
        </w:rPr>
        <w:t>图 23</w:t>
      </w:r>
      <w:r>
        <w:fldChar w:fldCharType="end"/>
      </w:r>
      <w:r>
        <w:t>：</w:t>
      </w:r>
    </w:p>
    <w:p w14:paraId="4C593B29">
      <w:pPr>
        <w:keepNext/>
        <w:jc w:val="center"/>
      </w:pPr>
      <w:r>
        <w:drawing>
          <wp:inline distT="0" distB="0" distL="0" distR="0">
            <wp:extent cx="5274310" cy="416052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18">
                      <a:extLst>
                        <a:ext uri="{28A0092B-C50C-407E-A947-70E740481C1C}">
                          <a14:useLocalDpi xmlns:a14="http://schemas.microsoft.com/office/drawing/2010/main" val="0"/>
                        </a:ext>
                      </a:extLst>
                    </a:blip>
                    <a:srcRect t="5344"/>
                    <a:stretch>
                      <a:fillRect/>
                    </a:stretch>
                  </pic:blipFill>
                  <pic:spPr>
                    <a:xfrm>
                      <a:off x="0" y="0"/>
                      <a:ext cx="5274310" cy="4160578"/>
                    </a:xfrm>
                    <a:prstGeom prst="rect">
                      <a:avLst/>
                    </a:prstGeom>
                    <a:noFill/>
                    <a:ln>
                      <a:noFill/>
                    </a:ln>
                  </pic:spPr>
                </pic:pic>
              </a:graphicData>
            </a:graphic>
          </wp:inline>
        </w:drawing>
      </w:r>
    </w:p>
    <w:p w14:paraId="28B73017">
      <w:pPr>
        <w:pStyle w:val="11"/>
        <w:jc w:val="center"/>
        <w:rPr>
          <w:rFonts w:hint="eastAsia"/>
        </w:rPr>
      </w:pPr>
      <w:bookmarkStart w:id="34" w:name="_Ref230466929"/>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23</w:t>
      </w:r>
      <w:r>
        <w:rPr>
          <w:rFonts w:hint="eastAsia"/>
        </w:rPr>
        <w:fldChar w:fldCharType="end"/>
      </w:r>
      <w:bookmarkEnd w:id="34"/>
      <w:r>
        <w:rPr>
          <w:rFonts w:hint="eastAsia" w:ascii="黑体" w:hAnsi="黑体"/>
        </w:rPr>
        <w:t>风险阶段转移概率矩阵</w:t>
      </w:r>
    </w:p>
    <w:p w14:paraId="5B170335">
      <w:pPr>
        <w:ind w:firstLine="840" w:firstLineChars="300"/>
      </w:pPr>
      <w:r>
        <w:t>转移矩阵揭示了阶段动态的三个关键性质。第一，强持久性：所有阶段的对角线概率均高于0.97，表明市场一旦进入某一阶段便倾向于在该阶段停留，其中低波平稳期的持久性最强（0.987），与样本大部分时间（64.4%）处于该阶段一致。第二，非对称转移：从低波平稳到极端传染的概率基本为零（0.000），而从中等波动到低波平稳的概率（0.026）高于反向概率（0.013），这表明阶段转移通常是渐进的：平稳→中等→极端→中等→平稳，而非在两个极端之间直接跳跃。第三，极端传染退出：极端传染阶段仅通过中等波动期退出（0.014），从不直接跳回低波平稳期（0.000），确认了危机化解是一个渐进过程——市场在危机后不会立即恢复平稳，而是经历一个中间恢复阶段。</w:t>
      </w:r>
    </w:p>
    <w:p w14:paraId="1CE2EB3D">
      <w:r>
        <w:t>各阶段的平均持续期印证了这一解释：低波平稳期平均持续76.7天，中等波动期平均35.0天，极端传染期平均71.0天。极端传染期相对于其频次（样本占比3.14%）的长平均持续期表明，危机事件虽然罕见，但一旦发生便会持续较长时间。</w:t>
      </w:r>
    </w:p>
    <w:tbl>
      <w:tblPr>
        <w:tblStyle w:val="41"/>
        <w:tblpPr w:leftFromText="180" w:rightFromText="180" w:vertAnchor="page" w:horzAnchor="margin" w:tblpY="5357"/>
        <w:tblW w:w="818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5"/>
        <w:gridCol w:w="2045"/>
        <w:gridCol w:w="2045"/>
        <w:gridCol w:w="2045"/>
      </w:tblGrid>
      <w:tr w14:paraId="20CD6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0" w:type="auto"/>
            <w:tcBorders>
              <w:bottom w:val="single" w:color="auto" w:sz="6" w:space="0"/>
            </w:tcBorders>
            <w:noWrap/>
            <w:vAlign w:val="center"/>
          </w:tcPr>
          <w:p w14:paraId="6BA008A8">
            <w:pPr>
              <w:pStyle w:val="43"/>
              <w:jc w:val="center"/>
            </w:pPr>
            <w:r>
              <w:t>从\到</w:t>
            </w:r>
          </w:p>
        </w:tc>
        <w:tc>
          <w:tcPr>
            <w:tcW w:w="0" w:type="auto"/>
            <w:tcBorders>
              <w:bottom w:val="single" w:color="auto" w:sz="6" w:space="0"/>
            </w:tcBorders>
            <w:noWrap/>
            <w:vAlign w:val="center"/>
          </w:tcPr>
          <w:p w14:paraId="7578FF47">
            <w:pPr>
              <w:pStyle w:val="43"/>
              <w:jc w:val="center"/>
            </w:pPr>
            <w:r>
              <w:t>低波平稳(0)</w:t>
            </w:r>
          </w:p>
        </w:tc>
        <w:tc>
          <w:tcPr>
            <w:tcW w:w="0" w:type="auto"/>
            <w:tcBorders>
              <w:bottom w:val="single" w:color="auto" w:sz="6" w:space="0"/>
            </w:tcBorders>
            <w:noWrap/>
            <w:vAlign w:val="center"/>
          </w:tcPr>
          <w:p w14:paraId="3DE63683">
            <w:pPr>
              <w:pStyle w:val="43"/>
              <w:jc w:val="center"/>
            </w:pPr>
            <w:r>
              <w:t>中等波动(1)</w:t>
            </w:r>
          </w:p>
        </w:tc>
        <w:tc>
          <w:tcPr>
            <w:tcW w:w="0" w:type="auto"/>
            <w:tcBorders>
              <w:bottom w:val="single" w:color="auto" w:sz="6" w:space="0"/>
            </w:tcBorders>
            <w:noWrap/>
            <w:vAlign w:val="center"/>
          </w:tcPr>
          <w:p w14:paraId="43C612D6">
            <w:pPr>
              <w:pStyle w:val="43"/>
              <w:jc w:val="center"/>
            </w:pPr>
            <w:r>
              <w:t>极端传染(2)</w:t>
            </w:r>
          </w:p>
        </w:tc>
      </w:tr>
      <w:tr w14:paraId="4DD8D6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7" w:hRule="atLeast"/>
        </w:trPr>
        <w:tc>
          <w:tcPr>
            <w:tcW w:w="0" w:type="auto"/>
            <w:tcBorders>
              <w:top w:val="single" w:color="auto" w:sz="6" w:space="0"/>
            </w:tcBorders>
            <w:vAlign w:val="center"/>
          </w:tcPr>
          <w:p w14:paraId="040253DE">
            <w:pPr>
              <w:pStyle w:val="43"/>
              <w:jc w:val="center"/>
            </w:pPr>
            <w:r>
              <w:t>低波平稳(0)</w:t>
            </w:r>
          </w:p>
        </w:tc>
        <w:tc>
          <w:tcPr>
            <w:tcW w:w="0" w:type="auto"/>
            <w:tcBorders>
              <w:top w:val="single" w:color="auto" w:sz="6" w:space="0"/>
            </w:tcBorders>
            <w:vAlign w:val="center"/>
          </w:tcPr>
          <w:p w14:paraId="685818E7">
            <w:pPr>
              <w:pStyle w:val="43"/>
              <w:jc w:val="center"/>
            </w:pPr>
            <w:r>
              <w:t>0.987</w:t>
            </w:r>
          </w:p>
        </w:tc>
        <w:tc>
          <w:tcPr>
            <w:tcW w:w="0" w:type="auto"/>
            <w:tcBorders>
              <w:top w:val="single" w:color="auto" w:sz="6" w:space="0"/>
            </w:tcBorders>
            <w:vAlign w:val="center"/>
          </w:tcPr>
          <w:p w14:paraId="16C04B09">
            <w:pPr>
              <w:pStyle w:val="43"/>
              <w:jc w:val="center"/>
            </w:pPr>
            <w:r>
              <w:t>0.013</w:t>
            </w:r>
          </w:p>
        </w:tc>
        <w:tc>
          <w:tcPr>
            <w:tcW w:w="0" w:type="auto"/>
            <w:tcBorders>
              <w:top w:val="single" w:color="auto" w:sz="6" w:space="0"/>
            </w:tcBorders>
            <w:vAlign w:val="center"/>
          </w:tcPr>
          <w:p w14:paraId="6A0B4812">
            <w:pPr>
              <w:pStyle w:val="43"/>
              <w:jc w:val="center"/>
            </w:pPr>
            <w:r>
              <w:t>0.000</w:t>
            </w:r>
          </w:p>
        </w:tc>
      </w:tr>
      <w:tr w14:paraId="33C096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0" w:type="auto"/>
            <w:vAlign w:val="center"/>
          </w:tcPr>
          <w:p w14:paraId="12A5C433">
            <w:pPr>
              <w:pStyle w:val="43"/>
              <w:jc w:val="center"/>
            </w:pPr>
            <w:r>
              <w:t>中等波动(1)</w:t>
            </w:r>
          </w:p>
        </w:tc>
        <w:tc>
          <w:tcPr>
            <w:tcW w:w="0" w:type="auto"/>
            <w:vAlign w:val="center"/>
          </w:tcPr>
          <w:p w14:paraId="7C649464">
            <w:pPr>
              <w:pStyle w:val="43"/>
              <w:jc w:val="center"/>
            </w:pPr>
            <w:r>
              <w:t>0.026</w:t>
            </w:r>
          </w:p>
        </w:tc>
        <w:tc>
          <w:tcPr>
            <w:tcW w:w="0" w:type="auto"/>
            <w:vAlign w:val="center"/>
          </w:tcPr>
          <w:p w14:paraId="399DC58D">
            <w:pPr>
              <w:pStyle w:val="43"/>
              <w:jc w:val="center"/>
            </w:pPr>
            <w:r>
              <w:t>0.973</w:t>
            </w:r>
          </w:p>
        </w:tc>
        <w:tc>
          <w:tcPr>
            <w:tcW w:w="0" w:type="auto"/>
            <w:vAlign w:val="center"/>
          </w:tcPr>
          <w:p w14:paraId="74B08A8F">
            <w:pPr>
              <w:pStyle w:val="43"/>
              <w:jc w:val="center"/>
            </w:pPr>
            <w:r>
              <w:t>0.001</w:t>
            </w:r>
          </w:p>
        </w:tc>
      </w:tr>
      <w:tr w14:paraId="53601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0" w:type="auto"/>
            <w:vAlign w:val="center"/>
          </w:tcPr>
          <w:p w14:paraId="7E4A0FC5">
            <w:pPr>
              <w:pStyle w:val="43"/>
              <w:jc w:val="center"/>
            </w:pPr>
            <w:r>
              <w:t>极端传染(2)</w:t>
            </w:r>
          </w:p>
        </w:tc>
        <w:tc>
          <w:tcPr>
            <w:tcW w:w="0" w:type="auto"/>
            <w:vAlign w:val="center"/>
          </w:tcPr>
          <w:p w14:paraId="7A4BF398">
            <w:pPr>
              <w:pStyle w:val="43"/>
              <w:jc w:val="center"/>
            </w:pPr>
            <w:r>
              <w:t>0.000</w:t>
            </w:r>
          </w:p>
        </w:tc>
        <w:tc>
          <w:tcPr>
            <w:tcW w:w="0" w:type="auto"/>
            <w:vAlign w:val="center"/>
          </w:tcPr>
          <w:p w14:paraId="4ECD1850">
            <w:pPr>
              <w:pStyle w:val="43"/>
              <w:jc w:val="center"/>
            </w:pPr>
            <w:r>
              <w:t>0.014</w:t>
            </w:r>
          </w:p>
        </w:tc>
        <w:tc>
          <w:tcPr>
            <w:tcW w:w="0" w:type="auto"/>
            <w:vAlign w:val="center"/>
          </w:tcPr>
          <w:p w14:paraId="2D2A85E9">
            <w:pPr>
              <w:pStyle w:val="43"/>
              <w:jc w:val="center"/>
            </w:pPr>
            <w:r>
              <w:t>0.986</w:t>
            </w:r>
          </w:p>
        </w:tc>
      </w:tr>
    </w:tbl>
    <w:p w14:paraId="4867349D">
      <w:pPr>
        <w:pStyle w:val="3"/>
      </w:pPr>
      <w:r>
        <w:t>7.4 分阶段模型表现评估</w:t>
      </w:r>
    </w:p>
    <w:p w14:paraId="3A5A4061">
      <w:pPr>
        <w:ind w:firstLine="560" w:firstLineChars="200"/>
      </w:pPr>
      <w:r>
        <w:t>将阶段标签与问题二的VaR/ES预测结果合并，可在不同市场条件下评估各模型的表现。测试集约从2024年7月至2025年12月，各阶段样本分布如下。</w:t>
      </w:r>
    </w:p>
    <w:p w14:paraId="33649ECF">
      <w:pPr>
        <w:pStyle w:val="4"/>
      </w:pPr>
      <w:r>
        <w:t>7.4.1 低波平稳期（240个测试样本）</w:t>
      </w:r>
    </w:p>
    <w:p w14:paraId="362D2F4F">
      <w:pPr>
        <w:ind w:firstLine="560" w:firstLineChars="200"/>
      </w:pPr>
      <w:r>
        <w:t>低波平稳期提供了最多的测试样本。关键发现包括：M0历史模拟法、M1 EWMA正态模型和M3 GARCH-t模型恰好达到5.00%的违反率（Kupiec p=1.000），精确匹配理论分位数，这在平稳条件下对校准良好的模型而言是预期行为。M7 LSTM-Barycenter模型的违反率为2.16%（Kupiec p=0.027），显著低于5%的名义水平，确认了M7的保守性——其在平稳期高估了VaR，与问题二的发现一致。M8 AdaMamba-Dist模型的违反率为3.46%（Kupiec p=0.258），低于5%但未在常规显著性水平上被拒绝，在深度学习模型中是最接近名义覆盖率的。在ES损失方面，传统模型中M3 GARCH-t最低（0.000268），深度学习中M8 AdaMamba-Dist最低（0.000493），M7在该阶段的ES损失最高（0.000746），与其保守的VaR导致ES估计偏高一致。</w:t>
      </w:r>
    </w:p>
    <w:p w14:paraId="7E7CC7CE">
      <w:r>
        <w:fldChar w:fldCharType="begin"/>
      </w:r>
      <w:r>
        <w:instrText xml:space="preserve"> REF _Ref230467103 \h </w:instrText>
      </w:r>
      <w:r>
        <w:fldChar w:fldCharType="separate"/>
      </w:r>
      <w:r>
        <w:rPr>
          <w:rFonts w:hint="eastAsia"/>
        </w:rPr>
        <w:t>图 24</w:t>
      </w:r>
      <w:r>
        <w:fldChar w:fldCharType="end"/>
      </w:r>
      <w:r>
        <w:t>展示了各模型在各阶段的违反率，水平线标示5%理论水平。</w:t>
      </w:r>
      <w:r>
        <w:fldChar w:fldCharType="begin"/>
      </w:r>
      <w:r>
        <w:instrText xml:space="preserve"> REF _Ref230467105 \h </w:instrText>
      </w:r>
      <w:r>
        <w:fldChar w:fldCharType="separate"/>
      </w:r>
      <w:r>
        <w:rPr>
          <w:rFonts w:hint="eastAsia"/>
        </w:rPr>
        <w:t>图 25</w:t>
      </w:r>
      <w:r>
        <w:fldChar w:fldCharType="end"/>
      </w:r>
      <w:r>
        <w:t>展示了相应的ES损失。</w:t>
      </w:r>
      <w:r>
        <w:fldChar w:fldCharType="begin"/>
      </w:r>
      <w:r>
        <w:instrText xml:space="preserve"> REF _Ref230467107 \h </w:instrText>
      </w:r>
      <w:r>
        <w:fldChar w:fldCharType="separate"/>
      </w:r>
      <w:r>
        <w:rPr>
          <w:rFonts w:hint="eastAsia"/>
        </w:rPr>
        <w:t>图 26</w:t>
      </w:r>
      <w:r>
        <w:fldChar w:fldCharType="end"/>
      </w:r>
      <w:r>
        <w:t>进一步从数据集层面展示各风险阶段模型表现的整体对比</w:t>
      </w:r>
      <w:r>
        <w:rPr>
          <w:rFonts w:hint="eastAsia"/>
        </w:rPr>
        <w:t>，如</w:t>
      </w:r>
      <w:r>
        <w:fldChar w:fldCharType="begin"/>
      </w:r>
      <w:r>
        <w:instrText xml:space="preserve"> </w:instrText>
      </w:r>
      <w:r>
        <w:rPr>
          <w:rFonts w:hint="eastAsia"/>
        </w:rPr>
        <w:instrText xml:space="preserve">REF _Ref230467103 \h</w:instrText>
      </w:r>
      <w:r>
        <w:instrText xml:space="preserve"> </w:instrText>
      </w:r>
      <w:r>
        <w:fldChar w:fldCharType="separate"/>
      </w:r>
      <w:r>
        <w:rPr>
          <w:rFonts w:hint="eastAsia"/>
        </w:rPr>
        <w:t>图 24</w:t>
      </w:r>
      <w:r>
        <w:fldChar w:fldCharType="end"/>
      </w:r>
      <w:r>
        <w:fldChar w:fldCharType="begin"/>
      </w:r>
      <w:r>
        <w:instrText xml:space="preserve"> REF _Ref230467105 \h </w:instrText>
      </w:r>
      <w:r>
        <w:fldChar w:fldCharType="separate"/>
      </w:r>
      <w:r>
        <w:rPr>
          <w:rFonts w:hint="eastAsia"/>
        </w:rPr>
        <w:t>图 25</w:t>
      </w:r>
      <w:r>
        <w:fldChar w:fldCharType="end"/>
      </w:r>
      <w:r>
        <w:fldChar w:fldCharType="begin"/>
      </w:r>
      <w:r>
        <w:instrText xml:space="preserve"> REF _Ref230467107 \h </w:instrText>
      </w:r>
      <w:r>
        <w:fldChar w:fldCharType="separate"/>
      </w:r>
      <w:r>
        <w:rPr>
          <w:rFonts w:hint="eastAsia"/>
        </w:rPr>
        <w:t>图 26</w:t>
      </w:r>
      <w:r>
        <w:fldChar w:fldCharType="end"/>
      </w:r>
      <w:r>
        <w:rPr>
          <w:rFonts w:hint="eastAsia"/>
        </w:rPr>
        <w:t>：</w:t>
      </w:r>
    </w:p>
    <w:p w14:paraId="140A2F70">
      <w:r>
        <w:drawing>
          <wp:inline distT="0" distB="0" distL="0" distR="0">
            <wp:extent cx="5274310" cy="18942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19" cstate="print">
                      <a:extLst>
                        <a:ext uri="{28A0092B-C50C-407E-A947-70E740481C1C}">
                          <a14:useLocalDpi xmlns:a14="http://schemas.microsoft.com/office/drawing/2010/main" val="0"/>
                        </a:ext>
                      </a:extLst>
                    </a:blip>
                    <a:srcRect t="6616"/>
                    <a:stretch>
                      <a:fillRect/>
                    </a:stretch>
                  </pic:blipFill>
                  <pic:spPr>
                    <a:xfrm>
                      <a:off x="0" y="0"/>
                      <a:ext cx="5274310" cy="1894601"/>
                    </a:xfrm>
                    <a:prstGeom prst="rect">
                      <a:avLst/>
                    </a:prstGeom>
                    <a:noFill/>
                    <a:ln>
                      <a:noFill/>
                    </a:ln>
                  </pic:spPr>
                </pic:pic>
              </a:graphicData>
            </a:graphic>
          </wp:inline>
        </w:drawing>
      </w:r>
    </w:p>
    <w:p w14:paraId="65CA8A11">
      <w:pPr>
        <w:pStyle w:val="11"/>
        <w:jc w:val="center"/>
        <w:rPr>
          <w:rFonts w:hint="eastAsia"/>
        </w:rPr>
      </w:pPr>
      <w:bookmarkStart w:id="35" w:name="_Ref230467103"/>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24</w:t>
      </w:r>
      <w:r>
        <w:rPr>
          <w:rFonts w:hint="eastAsia"/>
        </w:rPr>
        <w:fldChar w:fldCharType="end"/>
      </w:r>
      <w:bookmarkEnd w:id="35"/>
      <w:r>
        <w:rPr>
          <w:rFonts w:hint="eastAsia" w:ascii="黑体" w:hAnsi="黑体"/>
        </w:rPr>
        <w:t>各风险阶段下M0-M8VaR违约率</w:t>
      </w:r>
    </w:p>
    <w:p w14:paraId="261F98BA">
      <w:pPr>
        <w:pStyle w:val="11"/>
        <w:jc w:val="center"/>
        <w:rPr>
          <w:rFonts w:ascii="Times New Roman" w:hAnsi="Times New Roman" w:eastAsia="宋体"/>
          <w:sz w:val="28"/>
        </w:rPr>
      </w:pPr>
      <w:r>
        <w:drawing>
          <wp:inline distT="0" distB="0" distL="0" distR="0">
            <wp:extent cx="5274310" cy="18942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20" cstate="print">
                      <a:extLst>
                        <a:ext uri="{28A0092B-C50C-407E-A947-70E740481C1C}">
                          <a14:useLocalDpi xmlns:a14="http://schemas.microsoft.com/office/drawing/2010/main" val="0"/>
                        </a:ext>
                      </a:extLst>
                    </a:blip>
                    <a:srcRect t="6616"/>
                    <a:stretch>
                      <a:fillRect/>
                    </a:stretch>
                  </pic:blipFill>
                  <pic:spPr>
                    <a:xfrm>
                      <a:off x="0" y="0"/>
                      <a:ext cx="5274310" cy="1894601"/>
                    </a:xfrm>
                    <a:prstGeom prst="rect">
                      <a:avLst/>
                    </a:prstGeom>
                    <a:noFill/>
                    <a:ln>
                      <a:noFill/>
                    </a:ln>
                  </pic:spPr>
                </pic:pic>
              </a:graphicData>
            </a:graphic>
          </wp:inline>
        </w:drawing>
      </w:r>
    </w:p>
    <w:p w14:paraId="2532D64A">
      <w:pPr>
        <w:pStyle w:val="11"/>
        <w:jc w:val="center"/>
        <w:rPr>
          <w:rFonts w:hint="eastAsia"/>
        </w:rPr>
      </w:pPr>
      <w:bookmarkStart w:id="36" w:name="_Ref230467105"/>
      <w:bookmarkStart w:id="37" w:name="OLE_LINK14"/>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25</w:t>
      </w:r>
      <w:r>
        <w:rPr>
          <w:rFonts w:hint="eastAsia"/>
        </w:rPr>
        <w:fldChar w:fldCharType="end"/>
      </w:r>
      <w:bookmarkEnd w:id="36"/>
      <w:r>
        <w:rPr>
          <w:rFonts w:hint="eastAsia" w:ascii="黑体" w:hAnsi="黑体"/>
        </w:rPr>
        <w:t>各风险阶段下M0-M8ES Loss</w:t>
      </w:r>
    </w:p>
    <w:bookmarkEnd w:id="37"/>
    <w:p w14:paraId="2A5389A2">
      <w:r>
        <w:drawing>
          <wp:inline distT="0" distB="0" distL="0" distR="0">
            <wp:extent cx="5274310" cy="36410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21" cstate="print">
                      <a:extLst>
                        <a:ext uri="{28A0092B-C50C-407E-A947-70E740481C1C}">
                          <a14:useLocalDpi xmlns:a14="http://schemas.microsoft.com/office/drawing/2010/main" val="0"/>
                        </a:ext>
                      </a:extLst>
                    </a:blip>
                    <a:srcRect t="3340"/>
                    <a:stretch>
                      <a:fillRect/>
                    </a:stretch>
                  </pic:blipFill>
                  <pic:spPr>
                    <a:xfrm>
                      <a:off x="0" y="0"/>
                      <a:ext cx="5274310" cy="3641620"/>
                    </a:xfrm>
                    <a:prstGeom prst="rect">
                      <a:avLst/>
                    </a:prstGeom>
                    <a:noFill/>
                    <a:ln>
                      <a:noFill/>
                    </a:ln>
                  </pic:spPr>
                </pic:pic>
              </a:graphicData>
            </a:graphic>
          </wp:inline>
        </w:drawing>
      </w:r>
    </w:p>
    <w:p w14:paraId="61D3E0E5">
      <w:pPr>
        <w:pStyle w:val="11"/>
        <w:jc w:val="center"/>
        <w:rPr>
          <w:rFonts w:hint="eastAsia"/>
        </w:rPr>
      </w:pPr>
      <w:bookmarkStart w:id="38" w:name="_Ref230467107"/>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26</w:t>
      </w:r>
      <w:r>
        <w:rPr>
          <w:rFonts w:hint="eastAsia"/>
        </w:rPr>
        <w:fldChar w:fldCharType="end"/>
      </w:r>
      <w:bookmarkEnd w:id="38"/>
      <w:r>
        <w:rPr>
          <w:rFonts w:hint="eastAsia" w:ascii="黑体" w:hAnsi="黑体"/>
        </w:rPr>
        <w:t>不同风险阶段下的模型表现对比</w:t>
      </w:r>
    </w:p>
    <w:p w14:paraId="18679141">
      <w:pPr>
        <w:pStyle w:val="4"/>
      </w:pPr>
      <w:r>
        <w:t>7.4.2 中等波动期（124个测试样本）</w:t>
      </w:r>
    </w:p>
    <w:p w14:paraId="583C18D8">
      <w:pPr>
        <w:ind w:firstLine="560" w:firstLineChars="200"/>
      </w:pPr>
      <w:r>
        <w:t>在中等波动期，M0历史模拟法的违反率为6.45%，略高于名义水平，表明历史模拟法对波动率变化的反应滞后。M5、M6、M7 LSTM模型均达到4.03%的违反率（Kupiec p=0.609），相比平稳期更接近名义水平，表明LSTM模型在中度压力下能够较好地自适应调整。M8 AdaMamba-Dist同样达到4.03%的违反率（Kupiec p=0.609），与LSTM模型完全一致。总体而言，中等波动期是所有模型类型校准表现最好的阶段，传统模型与深度学习模型均表现合理。</w:t>
      </w:r>
    </w:p>
    <w:p w14:paraId="1491F315">
      <w:pPr>
        <w:pStyle w:val="4"/>
      </w:pPr>
      <w:r>
        <w:t>7.4.3 极端传染期的样本限制</w:t>
      </w:r>
    </w:p>
    <w:p w14:paraId="3E273396">
      <w:pPr>
        <w:ind w:firstLine="560" w:firstLineChars="200"/>
      </w:pPr>
      <w:r>
        <w:t>从全样本来看，极端传染期捕捉了最高风险的时期（2020年COVID/石油危机及个别极端事件）。然而，问题二的测试集（2024年7月至2025年12月）未包含足够的极端传染样本，无法形成统计可靠的评估。如阶段时间轴（图28）所示，极端传染期集中在2020年上半年，早于测试期起始时间。这一样本限制是重要的前提说明：阶段分析确认极端传染期具有独特的分布特征（高波动率、负偏度、高峰度），但其VaR/ES预测性能无法在当前测试集中得到严格评估。因此，极端传染期的阶段结果主要用于分布特征刻画而非预测性能评估。这一局限指向了在更长跨度（包含危机时期）上进行样本外评估或使用合成压力情景的必要性。</w:t>
      </w:r>
    </w:p>
    <w:p w14:paraId="00F2DBDC">
      <w:pPr>
        <w:pStyle w:val="3"/>
      </w:pPr>
      <w:r>
        <w:t>7.5 敏感性分析</w:t>
      </w:r>
    </w:p>
    <w:p w14:paraId="7FE93CA4">
      <w:pPr>
        <w:pStyle w:val="4"/>
      </w:pPr>
      <w:r>
        <w:t>7.5.1 代理模型框架</w:t>
      </w:r>
    </w:p>
    <w:p w14:paraId="31C868D9">
      <w:pPr>
        <w:ind w:firstLine="560" w:firstLineChars="200"/>
      </w:pPr>
      <w:r>
        <w:t>问题三的一项关键需求是识别集成市场状态分布的哪些特征对未来风险最为敏感。由于问题二中训练的深度学习模型（M5-M8）无法直接用于SHAP分析，本文采用代理模型方法：输入特征为问题一提取的四个重心矩特征（均值、标准差、偏度、峰度）；目标变量包括基于模型的风险度量（M7和M8的VaR/ES预测）以及已实现风险代理变量（未来一日已实现损失与已实现绝对收益率）；代理模型为梯度提升回归器（300个估计器，最大深度3），按75/25的时间顺序划分训练和测试集；特征重要性采用置换重要性（permutation importance），经30次随机重复后测量每个特征被随机打乱时预测误差的增加量，以此量化各特征对代理模型预测性能的贡献。</w:t>
      </w:r>
    </w:p>
    <w:p w14:paraId="5A1921C2">
      <w:pPr>
        <w:ind w:firstLine="560" w:firstLineChars="200"/>
      </w:pPr>
      <w:r>
        <w:t>需要指出的是，代理模型的样本外R方对所有目标变量均为负值（约-0.11至-0.22），表明仅凭四个重心特征不足以对未来风险度量进行点预测。因此，置换重要性结果应解读为非线性相关性强度的衡量和风险预警排序，而非严格的因果贡献，这类似于相关矩阵在不暗示因果关系的前提下识别变量关联</w:t>
      </w:r>
      <w:r>
        <w:rPr>
          <w:rFonts w:hint="eastAsia"/>
        </w:rPr>
        <w:t>，如</w:t>
      </w:r>
      <w:r>
        <w:fldChar w:fldCharType="begin"/>
      </w:r>
      <w:r>
        <w:instrText xml:space="preserve"> REF _Ref230467211 \h </w:instrText>
      </w:r>
      <w:r>
        <w:fldChar w:fldCharType="separate"/>
      </w:r>
      <w:r>
        <w:rPr>
          <w:rFonts w:hint="eastAsia"/>
        </w:rPr>
        <w:t>图 27</w:t>
      </w:r>
      <w:r>
        <w:fldChar w:fldCharType="end"/>
      </w:r>
      <w:r>
        <w:rPr>
          <w:rFonts w:hint="eastAsia"/>
        </w:rPr>
        <w:t>，</w:t>
      </w:r>
      <w:r>
        <w:t>展示了已实现风险代理变量的置换重要性排序</w:t>
      </w:r>
      <w:r>
        <w:rPr>
          <w:rFonts w:hint="eastAsia"/>
        </w:rPr>
        <w:t>：</w:t>
      </w:r>
    </w:p>
    <w:p w14:paraId="1130F635">
      <w:r>
        <w:drawing>
          <wp:inline distT="0" distB="0" distL="0" distR="0">
            <wp:extent cx="5274310" cy="1615440"/>
            <wp:effectExtent l="0" t="0" r="254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22" cstate="print">
                      <a:extLst>
                        <a:ext uri="{28A0092B-C50C-407E-A947-70E740481C1C}">
                          <a14:useLocalDpi xmlns:a14="http://schemas.microsoft.com/office/drawing/2010/main" val="0"/>
                        </a:ext>
                      </a:extLst>
                    </a:blip>
                    <a:srcRect t="8111"/>
                    <a:stretch>
                      <a:fillRect/>
                    </a:stretch>
                  </pic:blipFill>
                  <pic:spPr>
                    <a:xfrm>
                      <a:off x="0" y="0"/>
                      <a:ext cx="5274310" cy="1615702"/>
                    </a:xfrm>
                    <a:prstGeom prst="rect">
                      <a:avLst/>
                    </a:prstGeom>
                    <a:noFill/>
                    <a:ln>
                      <a:noFill/>
                    </a:ln>
                  </pic:spPr>
                </pic:pic>
              </a:graphicData>
            </a:graphic>
          </wp:inline>
        </w:drawing>
      </w:r>
    </w:p>
    <w:p w14:paraId="1E6203DB">
      <w:pPr>
        <w:pStyle w:val="11"/>
        <w:jc w:val="center"/>
        <w:rPr>
          <w:rFonts w:hint="eastAsia"/>
        </w:rPr>
      </w:pPr>
      <w:bookmarkStart w:id="39" w:name="_Ref230467211"/>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27</w:t>
      </w:r>
      <w:r>
        <w:rPr>
          <w:rFonts w:hint="eastAsia"/>
        </w:rPr>
        <w:fldChar w:fldCharType="end"/>
      </w:r>
      <w:bookmarkEnd w:id="39"/>
      <w:r>
        <w:rPr>
          <w:rFonts w:hint="eastAsia" w:ascii="黑体" w:hAnsi="黑体"/>
        </w:rPr>
        <w:t>未来实际损失特征敏感性 未来绝对波动特征敏感性</w:t>
      </w:r>
    </w:p>
    <w:p w14:paraId="313AAFAB">
      <w:pPr>
        <w:pStyle w:val="4"/>
      </w:pPr>
      <w:r>
        <w:rPr>
          <w:rFonts w:hint="eastAsia"/>
        </w:rPr>
        <w:t>7.5.2 特征重要性排序</w:t>
      </w:r>
    </w:p>
    <w:p w14:paraId="35D3144C">
      <w:pPr>
        <w:ind w:firstLine="560" w:firstLineChars="200"/>
      </w:pPr>
      <w:r>
        <w:rPr>
          <w:rFonts w:hint="eastAsia"/>
        </w:rPr>
        <w:t>已实现风险代理变量的置换重要性结果呈现出一致排序，对于已实现损失（未来一日损失）：</w:t>
      </w:r>
    </w:p>
    <w:tbl>
      <w:tblPr>
        <w:tblStyle w:val="41"/>
        <w:tblW w:w="571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
        <w:gridCol w:w="2965"/>
        <w:gridCol w:w="1784"/>
      </w:tblGrid>
      <w:tr w14:paraId="4D401D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0" w:type="auto"/>
            <w:tcBorders>
              <w:bottom w:val="single" w:color="auto" w:sz="6" w:space="0"/>
            </w:tcBorders>
            <w:noWrap/>
            <w:vAlign w:val="center"/>
          </w:tcPr>
          <w:p w14:paraId="7DBE64E6">
            <w:pPr>
              <w:pStyle w:val="43"/>
              <w:jc w:val="center"/>
            </w:pPr>
            <w:r>
              <w:t>排名</w:t>
            </w:r>
          </w:p>
        </w:tc>
        <w:tc>
          <w:tcPr>
            <w:tcW w:w="0" w:type="auto"/>
            <w:tcBorders>
              <w:bottom w:val="single" w:color="auto" w:sz="6" w:space="0"/>
            </w:tcBorders>
            <w:noWrap/>
            <w:vAlign w:val="center"/>
          </w:tcPr>
          <w:p w14:paraId="0C31BBBA">
            <w:pPr>
              <w:pStyle w:val="43"/>
              <w:jc w:val="center"/>
            </w:pPr>
            <w:r>
              <w:t>特征</w:t>
            </w:r>
          </w:p>
        </w:tc>
        <w:tc>
          <w:tcPr>
            <w:tcW w:w="0" w:type="auto"/>
            <w:tcBorders>
              <w:bottom w:val="single" w:color="auto" w:sz="6" w:space="0"/>
            </w:tcBorders>
            <w:noWrap/>
            <w:vAlign w:val="center"/>
          </w:tcPr>
          <w:p w14:paraId="6AFB7EE6">
            <w:pPr>
              <w:pStyle w:val="43"/>
              <w:jc w:val="center"/>
            </w:pPr>
            <w:r>
              <w:t>重要性</w:t>
            </w:r>
          </w:p>
        </w:tc>
      </w:tr>
      <w:tr w14:paraId="2B1530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0" w:type="auto"/>
            <w:tcBorders>
              <w:top w:val="single" w:color="auto" w:sz="6" w:space="0"/>
            </w:tcBorders>
            <w:vAlign w:val="center"/>
          </w:tcPr>
          <w:p w14:paraId="2FB724E4">
            <w:pPr>
              <w:pStyle w:val="43"/>
              <w:jc w:val="center"/>
            </w:pPr>
            <w:r>
              <w:t>1</w:t>
            </w:r>
          </w:p>
        </w:tc>
        <w:tc>
          <w:tcPr>
            <w:tcW w:w="0" w:type="auto"/>
            <w:tcBorders>
              <w:top w:val="single" w:color="auto" w:sz="6" w:space="0"/>
            </w:tcBorders>
            <w:vAlign w:val="center"/>
          </w:tcPr>
          <w:p w14:paraId="200EFD52">
            <w:pPr>
              <w:pStyle w:val="43"/>
              <w:jc w:val="center"/>
            </w:pPr>
            <w:r>
              <w:t>峰度</w:t>
            </w:r>
          </w:p>
        </w:tc>
        <w:tc>
          <w:tcPr>
            <w:tcW w:w="0" w:type="auto"/>
            <w:tcBorders>
              <w:top w:val="single" w:color="auto" w:sz="6" w:space="0"/>
            </w:tcBorders>
            <w:vAlign w:val="center"/>
          </w:tcPr>
          <w:p w14:paraId="7A18F8FE">
            <w:pPr>
              <w:pStyle w:val="43"/>
              <w:jc w:val="center"/>
            </w:pPr>
            <w:r>
              <w:t>8.28 × 10⁻⁶</w:t>
            </w:r>
          </w:p>
        </w:tc>
      </w:tr>
      <w:tr w14:paraId="299868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0" w:type="auto"/>
            <w:vAlign w:val="center"/>
          </w:tcPr>
          <w:p w14:paraId="66E0F4EE">
            <w:pPr>
              <w:pStyle w:val="43"/>
              <w:jc w:val="center"/>
            </w:pPr>
            <w:r>
              <w:t>2</w:t>
            </w:r>
          </w:p>
        </w:tc>
        <w:tc>
          <w:tcPr>
            <w:tcW w:w="0" w:type="auto"/>
            <w:vAlign w:val="center"/>
          </w:tcPr>
          <w:p w14:paraId="5F212D9E">
            <w:pPr>
              <w:pStyle w:val="43"/>
              <w:jc w:val="center"/>
            </w:pPr>
            <w:r>
              <w:t>标准差（波动率）</w:t>
            </w:r>
          </w:p>
        </w:tc>
        <w:tc>
          <w:tcPr>
            <w:tcW w:w="0" w:type="auto"/>
            <w:vAlign w:val="center"/>
          </w:tcPr>
          <w:p w14:paraId="16DFFA77">
            <w:pPr>
              <w:pStyle w:val="43"/>
              <w:jc w:val="center"/>
            </w:pPr>
            <w:r>
              <w:t>4.98 × 10⁻⁶</w:t>
            </w:r>
          </w:p>
        </w:tc>
      </w:tr>
      <w:tr w14:paraId="5590D2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0" w:type="auto"/>
            <w:vAlign w:val="center"/>
          </w:tcPr>
          <w:p w14:paraId="56F06B80">
            <w:pPr>
              <w:pStyle w:val="43"/>
              <w:jc w:val="center"/>
            </w:pPr>
            <w:r>
              <w:t>3</w:t>
            </w:r>
          </w:p>
        </w:tc>
        <w:tc>
          <w:tcPr>
            <w:tcW w:w="0" w:type="auto"/>
            <w:vAlign w:val="center"/>
          </w:tcPr>
          <w:p w14:paraId="6058EBC2">
            <w:pPr>
              <w:pStyle w:val="43"/>
              <w:jc w:val="center"/>
            </w:pPr>
            <w:r>
              <w:t>偏度</w:t>
            </w:r>
          </w:p>
        </w:tc>
        <w:tc>
          <w:tcPr>
            <w:tcW w:w="0" w:type="auto"/>
            <w:vAlign w:val="center"/>
          </w:tcPr>
          <w:p w14:paraId="4E595EA6">
            <w:pPr>
              <w:pStyle w:val="43"/>
              <w:jc w:val="center"/>
            </w:pPr>
            <w:r>
              <w:t>3.59 × 10⁻⁶</w:t>
            </w:r>
          </w:p>
        </w:tc>
      </w:tr>
      <w:tr w14:paraId="327398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0" w:type="auto"/>
            <w:vAlign w:val="center"/>
          </w:tcPr>
          <w:p w14:paraId="2FF13444">
            <w:pPr>
              <w:pStyle w:val="43"/>
              <w:jc w:val="center"/>
            </w:pPr>
            <w:r>
              <w:t>4</w:t>
            </w:r>
          </w:p>
        </w:tc>
        <w:tc>
          <w:tcPr>
            <w:tcW w:w="0" w:type="auto"/>
            <w:vAlign w:val="center"/>
          </w:tcPr>
          <w:p w14:paraId="536ED07F">
            <w:pPr>
              <w:pStyle w:val="43"/>
              <w:jc w:val="center"/>
            </w:pPr>
            <w:r>
              <w:t>均值</w:t>
            </w:r>
          </w:p>
        </w:tc>
        <w:tc>
          <w:tcPr>
            <w:tcW w:w="0" w:type="auto"/>
            <w:vAlign w:val="center"/>
          </w:tcPr>
          <w:p w14:paraId="5D417007">
            <w:pPr>
              <w:pStyle w:val="43"/>
              <w:jc w:val="center"/>
            </w:pPr>
            <w:r>
              <w:t>0.00</w:t>
            </w:r>
          </w:p>
        </w:tc>
      </w:tr>
    </w:tbl>
    <w:p w14:paraId="1CCDA037">
      <w:r>
        <w:rPr>
          <w:rFonts w:hint="eastAsia"/>
        </w:rPr>
        <w:t>对于已实现绝对收益率：排名</w:t>
      </w:r>
      <w:r>
        <w:rPr>
          <w:rFonts w:hint="eastAsia"/>
        </w:rPr>
        <w:tab/>
      </w:r>
      <w:r>
        <w:rPr>
          <w:rFonts w:hint="eastAsia"/>
        </w:rPr>
        <w:t>特征</w:t>
      </w:r>
      <w:r>
        <w:rPr>
          <w:rFonts w:hint="eastAsia"/>
        </w:rPr>
        <w:tab/>
      </w:r>
      <w:r>
        <w:rPr>
          <w:rFonts w:hint="eastAsia"/>
        </w:rPr>
        <w:t>重要性</w:t>
      </w:r>
    </w:p>
    <w:tbl>
      <w:tblPr>
        <w:tblStyle w:val="41"/>
        <w:tblW w:w="798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9"/>
        <w:gridCol w:w="4141"/>
        <w:gridCol w:w="2491"/>
      </w:tblGrid>
      <w:tr w14:paraId="19E31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0" w:type="auto"/>
            <w:tcBorders>
              <w:bottom w:val="single" w:color="auto" w:sz="6" w:space="0"/>
            </w:tcBorders>
            <w:noWrap/>
            <w:vAlign w:val="center"/>
          </w:tcPr>
          <w:p w14:paraId="17881235">
            <w:pPr>
              <w:pStyle w:val="43"/>
              <w:jc w:val="center"/>
            </w:pPr>
            <w:r>
              <w:t>排名</w:t>
            </w:r>
          </w:p>
        </w:tc>
        <w:tc>
          <w:tcPr>
            <w:tcW w:w="0" w:type="auto"/>
            <w:tcBorders>
              <w:bottom w:val="single" w:color="auto" w:sz="6" w:space="0"/>
            </w:tcBorders>
            <w:noWrap/>
            <w:vAlign w:val="center"/>
          </w:tcPr>
          <w:p w14:paraId="5A2F45E2">
            <w:pPr>
              <w:pStyle w:val="43"/>
              <w:jc w:val="center"/>
            </w:pPr>
            <w:r>
              <w:t>特征</w:t>
            </w:r>
          </w:p>
        </w:tc>
        <w:tc>
          <w:tcPr>
            <w:tcW w:w="0" w:type="auto"/>
            <w:tcBorders>
              <w:bottom w:val="single" w:color="auto" w:sz="6" w:space="0"/>
            </w:tcBorders>
            <w:noWrap/>
            <w:vAlign w:val="center"/>
          </w:tcPr>
          <w:p w14:paraId="6298C5A4">
            <w:pPr>
              <w:pStyle w:val="43"/>
              <w:jc w:val="center"/>
            </w:pPr>
            <w:r>
              <w:t>重要性</w:t>
            </w:r>
          </w:p>
        </w:tc>
      </w:tr>
      <w:tr w14:paraId="2B9978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0" w:type="auto"/>
            <w:tcBorders>
              <w:top w:val="single" w:color="auto" w:sz="6" w:space="0"/>
            </w:tcBorders>
            <w:vAlign w:val="center"/>
          </w:tcPr>
          <w:p w14:paraId="38D90BE8">
            <w:pPr>
              <w:pStyle w:val="43"/>
              <w:jc w:val="center"/>
            </w:pPr>
            <w:r>
              <w:t>1</w:t>
            </w:r>
          </w:p>
        </w:tc>
        <w:tc>
          <w:tcPr>
            <w:tcW w:w="0" w:type="auto"/>
            <w:tcBorders>
              <w:top w:val="single" w:color="auto" w:sz="6" w:space="0"/>
            </w:tcBorders>
            <w:vAlign w:val="center"/>
          </w:tcPr>
          <w:p w14:paraId="79AAA762">
            <w:pPr>
              <w:pStyle w:val="43"/>
              <w:jc w:val="center"/>
            </w:pPr>
            <w:r>
              <w:t>峰度</w:t>
            </w:r>
          </w:p>
        </w:tc>
        <w:tc>
          <w:tcPr>
            <w:tcW w:w="0" w:type="auto"/>
            <w:tcBorders>
              <w:top w:val="single" w:color="auto" w:sz="6" w:space="0"/>
            </w:tcBorders>
            <w:vAlign w:val="center"/>
          </w:tcPr>
          <w:p w14:paraId="22E44E38">
            <w:pPr>
              <w:pStyle w:val="43"/>
              <w:jc w:val="center"/>
            </w:pPr>
            <w:r>
              <w:t>1.05 × 10⁻⁵</w:t>
            </w:r>
          </w:p>
        </w:tc>
      </w:tr>
      <w:tr w14:paraId="66FC3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0" w:type="auto"/>
            <w:vAlign w:val="center"/>
          </w:tcPr>
          <w:p w14:paraId="39A950DB">
            <w:pPr>
              <w:pStyle w:val="43"/>
              <w:jc w:val="center"/>
            </w:pPr>
            <w:r>
              <w:t>2</w:t>
            </w:r>
          </w:p>
        </w:tc>
        <w:tc>
          <w:tcPr>
            <w:tcW w:w="0" w:type="auto"/>
            <w:vAlign w:val="center"/>
          </w:tcPr>
          <w:p w14:paraId="2F8FB973">
            <w:pPr>
              <w:pStyle w:val="43"/>
              <w:jc w:val="center"/>
            </w:pPr>
            <w:r>
              <w:t>标准差（波动率）</w:t>
            </w:r>
          </w:p>
        </w:tc>
        <w:tc>
          <w:tcPr>
            <w:tcW w:w="0" w:type="auto"/>
            <w:vAlign w:val="center"/>
          </w:tcPr>
          <w:p w14:paraId="37CA4D17">
            <w:pPr>
              <w:pStyle w:val="43"/>
              <w:jc w:val="center"/>
            </w:pPr>
            <w:r>
              <w:t>6.18 × 10⁻⁶</w:t>
            </w:r>
          </w:p>
        </w:tc>
      </w:tr>
      <w:tr w14:paraId="3D0491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0" w:type="auto"/>
            <w:vAlign w:val="center"/>
          </w:tcPr>
          <w:p w14:paraId="75B56F51">
            <w:pPr>
              <w:pStyle w:val="43"/>
              <w:jc w:val="center"/>
            </w:pPr>
            <w:r>
              <w:t>3</w:t>
            </w:r>
          </w:p>
        </w:tc>
        <w:tc>
          <w:tcPr>
            <w:tcW w:w="0" w:type="auto"/>
            <w:vAlign w:val="center"/>
          </w:tcPr>
          <w:p w14:paraId="4C7C7760">
            <w:pPr>
              <w:pStyle w:val="43"/>
              <w:jc w:val="center"/>
            </w:pPr>
            <w:r>
              <w:t>均值</w:t>
            </w:r>
          </w:p>
        </w:tc>
        <w:tc>
          <w:tcPr>
            <w:tcW w:w="0" w:type="auto"/>
            <w:vAlign w:val="center"/>
          </w:tcPr>
          <w:p w14:paraId="5DFC8EF1">
            <w:pPr>
              <w:pStyle w:val="43"/>
              <w:jc w:val="center"/>
            </w:pPr>
            <w:r>
              <w:t>1.13 × 10⁻⁷</w:t>
            </w:r>
          </w:p>
        </w:tc>
      </w:tr>
      <w:tr w14:paraId="493DF229">
        <w:tblPrEx>
          <w:tblCellMar>
            <w:top w:w="0" w:type="dxa"/>
            <w:left w:w="108" w:type="dxa"/>
            <w:bottom w:w="0" w:type="dxa"/>
            <w:right w:w="108" w:type="dxa"/>
          </w:tblCellMar>
        </w:tblPrEx>
        <w:trPr>
          <w:trHeight w:val="333" w:hRule="atLeast"/>
        </w:trPr>
        <w:tc>
          <w:tcPr>
            <w:tcW w:w="0" w:type="auto"/>
            <w:vAlign w:val="center"/>
          </w:tcPr>
          <w:p w14:paraId="733DE0A9">
            <w:pPr>
              <w:pStyle w:val="43"/>
              <w:jc w:val="center"/>
            </w:pPr>
            <w:r>
              <w:t>4</w:t>
            </w:r>
          </w:p>
        </w:tc>
        <w:tc>
          <w:tcPr>
            <w:tcW w:w="0" w:type="auto"/>
            <w:vAlign w:val="center"/>
          </w:tcPr>
          <w:p w14:paraId="27E0A909">
            <w:pPr>
              <w:pStyle w:val="43"/>
              <w:jc w:val="center"/>
            </w:pPr>
            <w:r>
              <w:t>偏度</w:t>
            </w:r>
          </w:p>
        </w:tc>
        <w:tc>
          <w:tcPr>
            <w:tcW w:w="0" w:type="auto"/>
            <w:vAlign w:val="center"/>
          </w:tcPr>
          <w:p w14:paraId="70C178A3">
            <w:pPr>
              <w:pStyle w:val="43"/>
              <w:jc w:val="center"/>
            </w:pPr>
            <w:r>
              <w:t>0.00</w:t>
            </w:r>
          </w:p>
        </w:tc>
      </w:tr>
    </w:tbl>
    <w:p w14:paraId="569EB3AC">
      <w:pPr>
        <w:ind w:firstLine="560" w:firstLineChars="200"/>
      </w:pPr>
      <w:r>
        <w:rPr>
          <w:rFonts w:hint="eastAsia"/>
        </w:rPr>
        <w:t>两个目标变量的排序高度一致：峰度居首，波动率次之，偏度和均值靠后。这一发现对风险管理具有重要含义。峰度（尾部厚度）是未来风险最敏感的特征——在已实现损失预测中，峰度的重要性是波动率的1.66倍；在已实现绝对收益率预测中则为1.70倍，这证实了尾部厚度——极端事件的概率——是未来尾部损失和绝对波动率的主要驱动因素。</w:t>
      </w:r>
    </w:p>
    <w:p w14:paraId="687FECED">
      <w:pPr>
        <w:ind w:firstLine="560" w:firstLineChars="200"/>
      </w:pPr>
      <w:r>
        <w:rPr>
          <w:rFonts w:hint="eastAsia"/>
        </w:rPr>
        <w:t>波动率（标准差）是第二重要的特征，它捕捉了市场不确定性的整体水平，对两个目标变量均有显著贡献。偏度的重要性呈现不对称模式：它对已实现损失预测具有可衡量的重要性（左尾不对称性直接相关），但对已实现绝对收益率的重要性为零（后者在构造上是对称的）。这一不对称模式验证了金融直觉——下行不对称性与损失预测相关，但与绝对波动预测无关。均值在两个目标变量中的重要性均接近于零，确认了分布位置对风险预测的信息含量极小。</w:t>
      </w:r>
    </w:p>
    <w:p w14:paraId="0EB13EBB">
      <w:pPr>
        <w:pStyle w:val="4"/>
      </w:pPr>
      <w:r>
        <w:t>7.5.3 分阶段敏感性变化</w:t>
      </w:r>
    </w:p>
    <w:p w14:paraId="40C03E5C">
      <w:r>
        <w:t>图3按阶段分解了置换重要性，揭示了各特征相对重要性随市场条件变化的规律</w:t>
      </w:r>
      <w:r>
        <w:rPr>
          <w:rFonts w:hint="eastAsia"/>
        </w:rPr>
        <w:t>，如</w:t>
      </w:r>
      <w:r>
        <w:fldChar w:fldCharType="begin"/>
      </w:r>
      <w:r>
        <w:instrText xml:space="preserve"> </w:instrText>
      </w:r>
      <w:r>
        <w:rPr>
          <w:rFonts w:hint="eastAsia"/>
        </w:rPr>
        <w:instrText xml:space="preserve">REF _Ref230467360 \h</w:instrText>
      </w:r>
      <w:r>
        <w:instrText xml:space="preserve"> </w:instrText>
      </w:r>
      <w:r>
        <w:fldChar w:fldCharType="separate"/>
      </w:r>
      <w:r>
        <w:rPr>
          <w:rFonts w:hint="eastAsia"/>
        </w:rPr>
        <w:t>图 28</w:t>
      </w:r>
      <w:r>
        <w:fldChar w:fldCharType="end"/>
      </w:r>
      <w:r>
        <w:rPr>
          <w:rFonts w:hint="eastAsia"/>
        </w:rPr>
        <w:t>：</w:t>
      </w:r>
    </w:p>
    <w:p w14:paraId="2A2532A1">
      <w:r>
        <w:t xml:space="preserve"> </w:t>
      </w:r>
      <w:r>
        <w:drawing>
          <wp:inline distT="0" distB="0" distL="0" distR="0">
            <wp:extent cx="5274310" cy="161544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23" cstate="print">
                      <a:extLst>
                        <a:ext uri="{28A0092B-C50C-407E-A947-70E740481C1C}">
                          <a14:useLocalDpi xmlns:a14="http://schemas.microsoft.com/office/drawing/2010/main" val="0"/>
                        </a:ext>
                      </a:extLst>
                    </a:blip>
                    <a:srcRect t="8111"/>
                    <a:stretch>
                      <a:fillRect/>
                    </a:stretch>
                  </pic:blipFill>
                  <pic:spPr>
                    <a:xfrm>
                      <a:off x="0" y="0"/>
                      <a:ext cx="5274310" cy="1615702"/>
                    </a:xfrm>
                    <a:prstGeom prst="rect">
                      <a:avLst/>
                    </a:prstGeom>
                    <a:noFill/>
                    <a:ln>
                      <a:noFill/>
                    </a:ln>
                  </pic:spPr>
                </pic:pic>
              </a:graphicData>
            </a:graphic>
          </wp:inline>
        </w:drawing>
      </w:r>
    </w:p>
    <w:p w14:paraId="4CD71DD0">
      <w:pPr>
        <w:pStyle w:val="11"/>
        <w:jc w:val="center"/>
        <w:rPr>
          <w:rFonts w:hint="eastAsia" w:ascii="黑体" w:hAnsi="黑体"/>
        </w:rPr>
      </w:pPr>
      <w:bookmarkStart w:id="40" w:name="_Ref230467360"/>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28</w:t>
      </w:r>
      <w:r>
        <w:rPr>
          <w:rFonts w:hint="eastAsia"/>
        </w:rPr>
        <w:fldChar w:fldCharType="end"/>
      </w:r>
      <w:bookmarkEnd w:id="40"/>
      <w:r>
        <w:rPr>
          <w:rFonts w:hint="eastAsia" w:ascii="黑体" w:hAnsi="黑体"/>
        </w:rPr>
        <w:t>未来实际损失与</w:t>
      </w:r>
      <w:r>
        <w:rPr>
          <w:rFonts w:ascii="黑体" w:hAnsi="黑体"/>
        </w:rPr>
        <w:t>绝对波动</w:t>
      </w:r>
      <w:r>
        <w:rPr>
          <w:rFonts w:hint="eastAsia" w:ascii="黑体" w:hAnsi="黑体"/>
        </w:rPr>
        <w:t>的分阶段特征贡献</w:t>
      </w:r>
    </w:p>
    <w:p w14:paraId="54837BD4"/>
    <w:tbl>
      <w:tblPr>
        <w:tblStyle w:val="41"/>
        <w:tblW w:w="788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2901"/>
        <w:gridCol w:w="3615"/>
      </w:tblGrid>
      <w:tr w14:paraId="6E89B3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 w:hRule="atLeast"/>
        </w:trPr>
        <w:tc>
          <w:tcPr>
            <w:tcW w:w="0" w:type="auto"/>
            <w:tcBorders>
              <w:bottom w:val="single" w:color="auto" w:sz="6" w:space="0"/>
            </w:tcBorders>
            <w:noWrap/>
            <w:vAlign w:val="center"/>
          </w:tcPr>
          <w:p w14:paraId="739F8B67">
            <w:pPr>
              <w:pStyle w:val="43"/>
              <w:jc w:val="center"/>
            </w:pPr>
            <w:r>
              <w:t>阶段</w:t>
            </w:r>
          </w:p>
        </w:tc>
        <w:tc>
          <w:tcPr>
            <w:tcW w:w="0" w:type="auto"/>
            <w:tcBorders>
              <w:bottom w:val="single" w:color="auto" w:sz="6" w:space="0"/>
            </w:tcBorders>
            <w:noWrap/>
            <w:vAlign w:val="center"/>
          </w:tcPr>
          <w:p w14:paraId="4AB3DC43">
            <w:pPr>
              <w:pStyle w:val="43"/>
              <w:jc w:val="center"/>
            </w:pPr>
            <w:r>
              <w:t>已实现损失首要特征</w:t>
            </w:r>
          </w:p>
        </w:tc>
        <w:tc>
          <w:tcPr>
            <w:tcW w:w="0" w:type="auto"/>
            <w:tcBorders>
              <w:bottom w:val="single" w:color="auto" w:sz="6" w:space="0"/>
            </w:tcBorders>
            <w:noWrap/>
            <w:vAlign w:val="center"/>
          </w:tcPr>
          <w:p w14:paraId="7115DB44">
            <w:pPr>
              <w:pStyle w:val="43"/>
              <w:jc w:val="center"/>
            </w:pPr>
            <w:r>
              <w:t>已实现绝对收益率首要特征</w:t>
            </w:r>
          </w:p>
        </w:tc>
      </w:tr>
      <w:tr w14:paraId="10B130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1" w:hRule="atLeast"/>
        </w:trPr>
        <w:tc>
          <w:tcPr>
            <w:tcW w:w="0" w:type="auto"/>
            <w:tcBorders>
              <w:top w:val="single" w:color="auto" w:sz="6" w:space="0"/>
            </w:tcBorders>
            <w:vAlign w:val="center"/>
          </w:tcPr>
          <w:p w14:paraId="33AE2EF6">
            <w:pPr>
              <w:pStyle w:val="43"/>
              <w:jc w:val="center"/>
            </w:pPr>
            <w:r>
              <w:t>低波平稳</w:t>
            </w:r>
          </w:p>
        </w:tc>
        <w:tc>
          <w:tcPr>
            <w:tcW w:w="0" w:type="auto"/>
            <w:tcBorders>
              <w:top w:val="single" w:color="auto" w:sz="6" w:space="0"/>
            </w:tcBorders>
            <w:vAlign w:val="center"/>
          </w:tcPr>
          <w:p w14:paraId="3C4C5A53">
            <w:pPr>
              <w:pStyle w:val="43"/>
              <w:jc w:val="center"/>
            </w:pPr>
            <w:r>
              <w:t>峰度（1.91 × 10⁻⁵）</w:t>
            </w:r>
          </w:p>
        </w:tc>
        <w:tc>
          <w:tcPr>
            <w:tcW w:w="0" w:type="auto"/>
            <w:tcBorders>
              <w:top w:val="single" w:color="auto" w:sz="6" w:space="0"/>
            </w:tcBorders>
            <w:vAlign w:val="center"/>
          </w:tcPr>
          <w:p w14:paraId="5831FC84">
            <w:pPr>
              <w:pStyle w:val="43"/>
              <w:jc w:val="center"/>
            </w:pPr>
            <w:r>
              <w:t>峰度（1.84 × 10⁻⁵）</w:t>
            </w:r>
          </w:p>
        </w:tc>
      </w:tr>
      <w:tr w14:paraId="78237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 w:hRule="atLeast"/>
        </w:trPr>
        <w:tc>
          <w:tcPr>
            <w:tcW w:w="0" w:type="auto"/>
            <w:vAlign w:val="center"/>
          </w:tcPr>
          <w:p w14:paraId="788CD289">
            <w:pPr>
              <w:pStyle w:val="43"/>
              <w:jc w:val="center"/>
            </w:pPr>
            <w:r>
              <w:t>中等波动</w:t>
            </w:r>
          </w:p>
        </w:tc>
        <w:tc>
          <w:tcPr>
            <w:tcW w:w="0" w:type="auto"/>
            <w:vAlign w:val="center"/>
          </w:tcPr>
          <w:p w14:paraId="4D75C8FB">
            <w:pPr>
              <w:pStyle w:val="43"/>
              <w:jc w:val="center"/>
            </w:pPr>
            <w:r>
              <w:t>偏度（1.99 × 10⁻⁵）</w:t>
            </w:r>
          </w:p>
        </w:tc>
        <w:tc>
          <w:tcPr>
            <w:tcW w:w="0" w:type="auto"/>
            <w:vAlign w:val="center"/>
          </w:tcPr>
          <w:p w14:paraId="3AAC1EB9">
            <w:pPr>
              <w:pStyle w:val="43"/>
              <w:jc w:val="center"/>
            </w:pPr>
            <w:r>
              <w:t>均值（2.24 × 10⁻⁵）</w:t>
            </w:r>
          </w:p>
        </w:tc>
      </w:tr>
      <w:tr w14:paraId="7E3E73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 w:hRule="atLeast"/>
        </w:trPr>
        <w:tc>
          <w:tcPr>
            <w:tcW w:w="0" w:type="auto"/>
            <w:vAlign w:val="center"/>
          </w:tcPr>
          <w:p w14:paraId="0440AF07">
            <w:pPr>
              <w:pStyle w:val="43"/>
              <w:jc w:val="center"/>
            </w:pPr>
            <w:r>
              <w:t>极端传染</w:t>
            </w:r>
          </w:p>
        </w:tc>
        <w:tc>
          <w:tcPr>
            <w:tcW w:w="0" w:type="auto"/>
            <w:vAlign w:val="center"/>
          </w:tcPr>
          <w:p w14:paraId="408745FB">
            <w:pPr>
              <w:pStyle w:val="43"/>
              <w:jc w:val="center"/>
            </w:pPr>
            <w:r>
              <w:t>标准差（2.25 × 10⁻⁵）</w:t>
            </w:r>
          </w:p>
        </w:tc>
        <w:tc>
          <w:tcPr>
            <w:tcW w:w="0" w:type="auto"/>
            <w:vAlign w:val="center"/>
          </w:tcPr>
          <w:p w14:paraId="20948EFE">
            <w:pPr>
              <w:pStyle w:val="43"/>
              <w:jc w:val="center"/>
            </w:pPr>
            <w:r>
              <w:t>标准差（3.05 × 10⁻⁵）</w:t>
            </w:r>
          </w:p>
        </w:tc>
      </w:tr>
    </w:tbl>
    <w:p w14:paraId="3CEE3F6B">
      <w:pPr>
        <w:ind w:firstLine="560" w:firstLineChars="200"/>
      </w:pPr>
      <w:r>
        <w:t>分阶段分析揭示了一种引人注目的</w:t>
      </w:r>
      <w:r>
        <w:rPr>
          <w:b/>
          <w:bCs/>
        </w:rPr>
        <w:t>特征轮动</w:t>
      </w:r>
      <w:r>
        <w:t>现象：在平稳期，峰度主导，因为此时波动率低且稳定，尾部事件是残余风险的主要来源；在中等波动期，偏度的地位上升，反映了市场已处于波动之中时，不对称性的方向（左偏vs.右偏）决定了风险是否集中于下行方向；在极端传染期，波动率成为压倒性因素——当波动率极度升高（0.04对平稳期的0.01）时，价格波动的绝对幅度压倒其他考虑。</w:t>
      </w:r>
    </w:p>
    <w:p w14:paraId="1B03B6BA">
      <w:pPr>
        <w:ind w:firstLine="560" w:firstLineChars="200"/>
      </w:pPr>
      <w:r>
        <w:t>这一特征轮动对风险监控系统具有实际意义：单一静态的特征权重方案可能欠优，监控系统应根据当前阶段动态调整权重——平稳期关注峰度，过渡期关注偏度，危机期关注波动率。</w:t>
      </w:r>
    </w:p>
    <w:p w14:paraId="7885C2A7">
      <w:pPr>
        <w:pStyle w:val="4"/>
      </w:pPr>
      <w:r>
        <w:t>7.5.4 敏感性结果的金融含义</w:t>
      </w:r>
    </w:p>
    <w:p w14:paraId="3E896CA4">
      <w:pPr>
        <w:ind w:firstLine="560" w:firstLineChars="200"/>
      </w:pPr>
      <w:r>
        <w:t>敏感性分析支持两层次风险监控框架：在常规风险监控（正常市场）中，以波动率（标准差）作为市场不确定性的主要指标，因为波动率捕捉了风险的总体水平，且是窗口长度间最稳健的特征（w20-w60相关性最高，r=0.764）。在尾部风险预警（压力市场）中，以峰度作为尾部风险的预警指标——升高的峰度意味着分布正在发展更厚的尾部，而这先于实际尾部损失的发生。峰度是已实现损失和已实现绝对收益率中最敏感的特征，且在早期预警最为宝贵的平稳期其重要性最高。在阶段转换检测中，监测偏度作为不对称性发展的指标——当偏度在波动率仍处中等水平时负向加深，可能预示着从中等波动期向极端传染期过渡。</w:t>
      </w:r>
    </w:p>
    <w:p w14:paraId="39199FAD">
      <w:pPr>
        <w:ind w:firstLine="560" w:firstLineChars="200"/>
      </w:pPr>
      <w:r>
        <w:t>该框架与标准风险管理直觉一致："正常风险看波动率，危机风险看尾部"。本文的实证贡献在于使用从集成市场状态分布中提取的分布特征对这一直觉进行了量化验证。</w:t>
      </w:r>
    </w:p>
    <w:p w14:paraId="270F905B">
      <w:pPr>
        <w:pStyle w:val="3"/>
      </w:pPr>
      <w:r>
        <w:t>7.6 风险阶段与宏观事件的对应关系</w:t>
      </w:r>
    </w:p>
    <w:p w14:paraId="1B21CB1A">
      <w:pPr>
        <w:pStyle w:val="4"/>
      </w:pPr>
      <w:r>
        <w:t>7.6.1 四个典型时间点与阶段分配的对比</w:t>
      </w:r>
    </w:p>
    <w:p w14:paraId="7A796854">
      <w:pPr>
        <w:ind w:firstLine="560" w:firstLineChars="200"/>
      </w:pPr>
      <w:r>
        <w:t>问题一通过基于事件的人工标注识别了四个代表不同市场状态的典型时间点。Wasserstein k-means提供了一种可直接与这些人工标注进行对比的无监督替代方案。这一对比构成了验证练习：若无监督阶段与人工识别的状态一致，则确认数据驱动方法能够在无需主观判断的情况下捕捉相同的经济直觉。</w:t>
      </w:r>
    </w:p>
    <w:tbl>
      <w:tblPr>
        <w:tblStyle w:val="41"/>
        <w:tblW w:w="864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1896"/>
        <w:gridCol w:w="936"/>
        <w:gridCol w:w="892"/>
        <w:gridCol w:w="756"/>
        <w:gridCol w:w="1897"/>
        <w:gridCol w:w="1176"/>
      </w:tblGrid>
      <w:tr w14:paraId="4E2665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0" w:type="auto"/>
            <w:tcBorders>
              <w:bottom w:val="single" w:color="auto" w:sz="6" w:space="0"/>
            </w:tcBorders>
            <w:noWrap/>
            <w:vAlign w:val="center"/>
          </w:tcPr>
          <w:p w14:paraId="1EA44E16">
            <w:pPr>
              <w:pStyle w:val="43"/>
              <w:jc w:val="center"/>
            </w:pPr>
            <w:r>
              <w:t>时间点</w:t>
            </w:r>
          </w:p>
        </w:tc>
        <w:tc>
          <w:tcPr>
            <w:tcW w:w="0" w:type="auto"/>
            <w:tcBorders>
              <w:bottom w:val="single" w:color="auto" w:sz="6" w:space="0"/>
            </w:tcBorders>
            <w:noWrap/>
            <w:vAlign w:val="center"/>
          </w:tcPr>
          <w:p w14:paraId="2054674E">
            <w:pPr>
              <w:pStyle w:val="43"/>
              <w:jc w:val="center"/>
            </w:pPr>
            <w:r>
              <w:t>问题一人工标签</w:t>
            </w:r>
          </w:p>
        </w:tc>
        <w:tc>
          <w:tcPr>
            <w:tcW w:w="0" w:type="auto"/>
            <w:tcBorders>
              <w:bottom w:val="single" w:color="auto" w:sz="6" w:space="0"/>
            </w:tcBorders>
            <w:noWrap/>
            <w:vAlign w:val="center"/>
          </w:tcPr>
          <w:p w14:paraId="610BCF7C">
            <w:pPr>
              <w:pStyle w:val="43"/>
              <w:jc w:val="center"/>
            </w:pPr>
            <w:r>
              <w:t>标准差</w:t>
            </w:r>
          </w:p>
        </w:tc>
        <w:tc>
          <w:tcPr>
            <w:tcW w:w="0" w:type="auto"/>
            <w:tcBorders>
              <w:bottom w:val="single" w:color="auto" w:sz="6" w:space="0"/>
            </w:tcBorders>
            <w:noWrap/>
            <w:vAlign w:val="center"/>
          </w:tcPr>
          <w:p w14:paraId="1D23B213">
            <w:pPr>
              <w:pStyle w:val="43"/>
              <w:jc w:val="center"/>
            </w:pPr>
            <w:r>
              <w:t>偏度</w:t>
            </w:r>
          </w:p>
        </w:tc>
        <w:tc>
          <w:tcPr>
            <w:tcW w:w="0" w:type="auto"/>
            <w:tcBorders>
              <w:bottom w:val="single" w:color="auto" w:sz="6" w:space="0"/>
            </w:tcBorders>
            <w:noWrap/>
            <w:vAlign w:val="center"/>
          </w:tcPr>
          <w:p w14:paraId="7D733733">
            <w:pPr>
              <w:pStyle w:val="43"/>
              <w:jc w:val="center"/>
            </w:pPr>
            <w:r>
              <w:t>峰度</w:t>
            </w:r>
          </w:p>
        </w:tc>
        <w:tc>
          <w:tcPr>
            <w:tcW w:w="0" w:type="auto"/>
            <w:tcBorders>
              <w:bottom w:val="single" w:color="auto" w:sz="6" w:space="0"/>
            </w:tcBorders>
            <w:noWrap/>
            <w:vAlign w:val="center"/>
          </w:tcPr>
          <w:p w14:paraId="4819977D">
            <w:pPr>
              <w:pStyle w:val="43"/>
              <w:jc w:val="center"/>
            </w:pPr>
            <w:r>
              <w:t>Wasserstein阶段</w:t>
            </w:r>
          </w:p>
        </w:tc>
        <w:tc>
          <w:tcPr>
            <w:tcW w:w="0" w:type="auto"/>
            <w:tcBorders>
              <w:bottom w:val="single" w:color="auto" w:sz="6" w:space="0"/>
            </w:tcBorders>
            <w:noWrap/>
            <w:vAlign w:val="center"/>
          </w:tcPr>
          <w:p w14:paraId="18D568E9">
            <w:pPr>
              <w:pStyle w:val="43"/>
              <w:jc w:val="center"/>
            </w:pPr>
            <w:r>
              <w:t>是否一致</w:t>
            </w:r>
          </w:p>
        </w:tc>
      </w:tr>
      <w:tr w14:paraId="7FDE47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0" w:type="auto"/>
            <w:tcBorders>
              <w:top w:val="single" w:color="auto" w:sz="6" w:space="0"/>
            </w:tcBorders>
            <w:vAlign w:val="center"/>
          </w:tcPr>
          <w:p w14:paraId="321465D7">
            <w:pPr>
              <w:pStyle w:val="43"/>
              <w:jc w:val="center"/>
            </w:pPr>
            <w:r>
              <w:t>2019-06-03（正常市）</w:t>
            </w:r>
          </w:p>
        </w:tc>
        <w:tc>
          <w:tcPr>
            <w:tcW w:w="0" w:type="auto"/>
            <w:tcBorders>
              <w:top w:val="single" w:color="auto" w:sz="6" w:space="0"/>
            </w:tcBorders>
            <w:vAlign w:val="center"/>
          </w:tcPr>
          <w:p w14:paraId="5393B8FA">
            <w:pPr>
              <w:pStyle w:val="43"/>
              <w:jc w:val="center"/>
            </w:pPr>
            <w:r>
              <w:t>平稳</w:t>
            </w:r>
          </w:p>
        </w:tc>
        <w:tc>
          <w:tcPr>
            <w:tcW w:w="0" w:type="auto"/>
            <w:tcBorders>
              <w:top w:val="single" w:color="auto" w:sz="6" w:space="0"/>
            </w:tcBorders>
            <w:vAlign w:val="center"/>
          </w:tcPr>
          <w:p w14:paraId="652C40C9">
            <w:pPr>
              <w:pStyle w:val="43"/>
              <w:jc w:val="center"/>
            </w:pPr>
            <w:r>
              <w:t>0.0116</w:t>
            </w:r>
          </w:p>
        </w:tc>
        <w:tc>
          <w:tcPr>
            <w:tcW w:w="0" w:type="auto"/>
            <w:tcBorders>
              <w:top w:val="single" w:color="auto" w:sz="6" w:space="0"/>
            </w:tcBorders>
            <w:vAlign w:val="center"/>
          </w:tcPr>
          <w:p w14:paraId="6DBE436C">
            <w:pPr>
              <w:pStyle w:val="43"/>
              <w:jc w:val="center"/>
            </w:pPr>
            <w:r>
              <w:t>-0.579</w:t>
            </w:r>
          </w:p>
        </w:tc>
        <w:tc>
          <w:tcPr>
            <w:tcW w:w="0" w:type="auto"/>
            <w:tcBorders>
              <w:top w:val="single" w:color="auto" w:sz="6" w:space="0"/>
            </w:tcBorders>
            <w:vAlign w:val="center"/>
          </w:tcPr>
          <w:p w14:paraId="372D6F5C">
            <w:pPr>
              <w:pStyle w:val="43"/>
              <w:jc w:val="center"/>
            </w:pPr>
            <w:r>
              <w:t>1.177</w:t>
            </w:r>
          </w:p>
        </w:tc>
        <w:tc>
          <w:tcPr>
            <w:tcW w:w="0" w:type="auto"/>
            <w:tcBorders>
              <w:top w:val="single" w:color="auto" w:sz="6" w:space="0"/>
            </w:tcBorders>
            <w:vAlign w:val="center"/>
          </w:tcPr>
          <w:p w14:paraId="6515F044">
            <w:pPr>
              <w:pStyle w:val="43"/>
              <w:jc w:val="center"/>
            </w:pPr>
            <w:r>
              <w:t>低波平稳（0）</w:t>
            </w:r>
          </w:p>
        </w:tc>
        <w:tc>
          <w:tcPr>
            <w:tcW w:w="0" w:type="auto"/>
            <w:tcBorders>
              <w:top w:val="single" w:color="auto" w:sz="6" w:space="0"/>
            </w:tcBorders>
            <w:vAlign w:val="center"/>
          </w:tcPr>
          <w:p w14:paraId="15AF445C">
            <w:pPr>
              <w:pStyle w:val="43"/>
              <w:jc w:val="center"/>
            </w:pPr>
            <w:r>
              <w:t>是</w:t>
            </w:r>
          </w:p>
        </w:tc>
      </w:tr>
      <w:tr w14:paraId="082314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0" w:type="auto"/>
            <w:vAlign w:val="center"/>
          </w:tcPr>
          <w:p w14:paraId="0D5F52B1">
            <w:pPr>
              <w:pStyle w:val="43"/>
              <w:jc w:val="center"/>
            </w:pPr>
            <w:r>
              <w:t>2020-03-16（COVID冲击）</w:t>
            </w:r>
          </w:p>
        </w:tc>
        <w:tc>
          <w:tcPr>
            <w:tcW w:w="0" w:type="auto"/>
            <w:vAlign w:val="center"/>
          </w:tcPr>
          <w:p w14:paraId="1CF402E1">
            <w:pPr>
              <w:pStyle w:val="43"/>
              <w:jc w:val="center"/>
            </w:pPr>
            <w:r>
              <w:t>极端尾部风险</w:t>
            </w:r>
          </w:p>
        </w:tc>
        <w:tc>
          <w:tcPr>
            <w:tcW w:w="0" w:type="auto"/>
            <w:vAlign w:val="center"/>
          </w:tcPr>
          <w:p w14:paraId="581F3C84">
            <w:pPr>
              <w:pStyle w:val="43"/>
              <w:jc w:val="center"/>
            </w:pPr>
            <w:r>
              <w:t>0.0195</w:t>
            </w:r>
          </w:p>
        </w:tc>
        <w:tc>
          <w:tcPr>
            <w:tcW w:w="0" w:type="auto"/>
            <w:vAlign w:val="center"/>
          </w:tcPr>
          <w:p w14:paraId="4161786F">
            <w:pPr>
              <w:pStyle w:val="43"/>
              <w:jc w:val="center"/>
            </w:pPr>
            <w:r>
              <w:t>-1.632</w:t>
            </w:r>
          </w:p>
        </w:tc>
        <w:tc>
          <w:tcPr>
            <w:tcW w:w="0" w:type="auto"/>
            <w:vAlign w:val="center"/>
          </w:tcPr>
          <w:p w14:paraId="5356040E">
            <w:pPr>
              <w:pStyle w:val="43"/>
              <w:jc w:val="center"/>
            </w:pPr>
            <w:r>
              <w:t>6.820</w:t>
            </w:r>
          </w:p>
        </w:tc>
        <w:tc>
          <w:tcPr>
            <w:tcW w:w="0" w:type="auto"/>
            <w:vAlign w:val="center"/>
          </w:tcPr>
          <w:p w14:paraId="25E65CBD">
            <w:pPr>
              <w:pStyle w:val="43"/>
              <w:jc w:val="center"/>
            </w:pPr>
            <w:r>
              <w:t>中等波动（1）</w:t>
            </w:r>
          </w:p>
        </w:tc>
        <w:tc>
          <w:tcPr>
            <w:tcW w:w="0" w:type="auto"/>
            <w:vAlign w:val="center"/>
          </w:tcPr>
          <w:p w14:paraId="1180755C">
            <w:pPr>
              <w:pStyle w:val="43"/>
              <w:jc w:val="center"/>
            </w:pPr>
            <w:r>
              <w:t>部分一致</w:t>
            </w:r>
          </w:p>
        </w:tc>
      </w:tr>
      <w:tr w14:paraId="504730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0" w:type="auto"/>
            <w:vAlign w:val="center"/>
          </w:tcPr>
          <w:p w14:paraId="44E2CAA7">
            <w:pPr>
              <w:pStyle w:val="43"/>
              <w:jc w:val="center"/>
            </w:pPr>
            <w:r>
              <w:t>2020-04-27（负油价）</w:t>
            </w:r>
          </w:p>
        </w:tc>
        <w:tc>
          <w:tcPr>
            <w:tcW w:w="0" w:type="auto"/>
            <w:vAlign w:val="center"/>
          </w:tcPr>
          <w:p w14:paraId="4B854701">
            <w:pPr>
              <w:pStyle w:val="43"/>
              <w:jc w:val="center"/>
            </w:pPr>
            <w:r>
              <w:t>波动率峰值</w:t>
            </w:r>
          </w:p>
        </w:tc>
        <w:tc>
          <w:tcPr>
            <w:tcW w:w="0" w:type="auto"/>
            <w:vAlign w:val="center"/>
          </w:tcPr>
          <w:p w14:paraId="5301BF23">
            <w:pPr>
              <w:pStyle w:val="43"/>
              <w:jc w:val="center"/>
            </w:pPr>
            <w:r>
              <w:t>0.0405</w:t>
            </w:r>
          </w:p>
        </w:tc>
        <w:tc>
          <w:tcPr>
            <w:tcW w:w="0" w:type="auto"/>
            <w:vAlign w:val="center"/>
          </w:tcPr>
          <w:p w14:paraId="050E9063">
            <w:pPr>
              <w:pStyle w:val="43"/>
              <w:jc w:val="center"/>
            </w:pPr>
            <w:r>
              <w:t>-0.602</w:t>
            </w:r>
          </w:p>
        </w:tc>
        <w:tc>
          <w:tcPr>
            <w:tcW w:w="0" w:type="auto"/>
            <w:vAlign w:val="center"/>
          </w:tcPr>
          <w:p w14:paraId="1AC5E44F">
            <w:pPr>
              <w:pStyle w:val="43"/>
              <w:jc w:val="center"/>
            </w:pPr>
            <w:r>
              <w:t>2.233</w:t>
            </w:r>
          </w:p>
        </w:tc>
        <w:tc>
          <w:tcPr>
            <w:tcW w:w="0" w:type="auto"/>
            <w:vAlign w:val="center"/>
          </w:tcPr>
          <w:p w14:paraId="34D462F9">
            <w:pPr>
              <w:pStyle w:val="43"/>
              <w:jc w:val="center"/>
            </w:pPr>
            <w:r>
              <w:t>极端传染（2）</w:t>
            </w:r>
          </w:p>
        </w:tc>
        <w:tc>
          <w:tcPr>
            <w:tcW w:w="0" w:type="auto"/>
            <w:vAlign w:val="center"/>
          </w:tcPr>
          <w:p w14:paraId="52E5ADBE">
            <w:pPr>
              <w:pStyle w:val="43"/>
              <w:jc w:val="center"/>
            </w:pPr>
            <w:r>
              <w:t>是</w:t>
            </w:r>
          </w:p>
        </w:tc>
      </w:tr>
      <w:tr w14:paraId="697F6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9" w:hRule="atLeast"/>
        </w:trPr>
        <w:tc>
          <w:tcPr>
            <w:tcW w:w="0" w:type="auto"/>
            <w:vAlign w:val="center"/>
          </w:tcPr>
          <w:p w14:paraId="56114774">
            <w:pPr>
              <w:pStyle w:val="43"/>
              <w:jc w:val="center"/>
            </w:pPr>
            <w:r>
              <w:t>2024-09-30（政策暴涨）</w:t>
            </w:r>
          </w:p>
        </w:tc>
        <w:tc>
          <w:tcPr>
            <w:tcW w:w="0" w:type="auto"/>
            <w:vAlign w:val="center"/>
          </w:tcPr>
          <w:p w14:paraId="6FEF240D">
            <w:pPr>
              <w:pStyle w:val="43"/>
              <w:jc w:val="center"/>
            </w:pPr>
            <w:r>
              <w:t>温和右偏</w:t>
            </w:r>
          </w:p>
        </w:tc>
        <w:tc>
          <w:tcPr>
            <w:tcW w:w="0" w:type="auto"/>
            <w:vAlign w:val="center"/>
          </w:tcPr>
          <w:p w14:paraId="4446EAAD">
            <w:pPr>
              <w:pStyle w:val="43"/>
              <w:jc w:val="center"/>
            </w:pPr>
            <w:r>
              <w:t>0.0125</w:t>
            </w:r>
          </w:p>
        </w:tc>
        <w:tc>
          <w:tcPr>
            <w:tcW w:w="0" w:type="auto"/>
            <w:vAlign w:val="center"/>
          </w:tcPr>
          <w:p w14:paraId="6FA5D4AC">
            <w:pPr>
              <w:pStyle w:val="43"/>
              <w:jc w:val="center"/>
            </w:pPr>
            <w:r>
              <w:t>+0.536</w:t>
            </w:r>
          </w:p>
        </w:tc>
        <w:tc>
          <w:tcPr>
            <w:tcW w:w="0" w:type="auto"/>
            <w:vAlign w:val="center"/>
          </w:tcPr>
          <w:p w14:paraId="47DCC4EB">
            <w:pPr>
              <w:pStyle w:val="43"/>
              <w:jc w:val="center"/>
            </w:pPr>
            <w:r>
              <w:t>0.073</w:t>
            </w:r>
          </w:p>
        </w:tc>
        <w:tc>
          <w:tcPr>
            <w:tcW w:w="0" w:type="auto"/>
            <w:vAlign w:val="center"/>
          </w:tcPr>
          <w:p w14:paraId="7B7B3DB7">
            <w:pPr>
              <w:pStyle w:val="43"/>
              <w:jc w:val="center"/>
            </w:pPr>
            <w:r>
              <w:t>低波平稳（0）</w:t>
            </w:r>
          </w:p>
        </w:tc>
        <w:tc>
          <w:tcPr>
            <w:tcW w:w="0" w:type="auto"/>
            <w:vAlign w:val="center"/>
          </w:tcPr>
          <w:p w14:paraId="41FB8739">
            <w:pPr>
              <w:pStyle w:val="43"/>
              <w:jc w:val="center"/>
            </w:pPr>
            <w:r>
              <w:t>是</w:t>
            </w:r>
          </w:p>
        </w:tc>
      </w:tr>
    </w:tbl>
    <w:p w14:paraId="5760311E">
      <w:pPr>
        <w:ind w:firstLine="280" w:firstLineChars="100"/>
      </w:pPr>
      <w:r>
        <w:t>对比呈现了三项一致的分配和一项部分偏离。</w:t>
      </w:r>
    </w:p>
    <w:p w14:paraId="20493CAB">
      <w:r>
        <w:t>一致案例（4项中的3项）：2019年6月3日的正常市被正确分配至低波平稳期，其集成分布具有低波动率（0.0116）、温和负偏度（-0.579）和适中峰度（1.177），人工检查和无监督聚类均认定其代表正常市场状态。2020年4月27日的负油价事件被正确分配至极端传染期，该时间点在四个时间点中波动率最高（0.0405），对应WTI期货结算价为负的历史性事件，多市场重心捕捉到了权益与商品市场的同步危机。2024年9月30日的政策暴涨被正确分配至低波平稳期，尽管当日沪深300大幅上涨，但集成分布具有低波动率（0.0125）、正偏度（+0.536）和近零峰度（0.073），无监督算法正确识别出从投资组合尾部风险角度而言，正向对称性飙升并非风险事件。</w:t>
      </w:r>
    </w:p>
    <w:p w14:paraId="34A92DC2">
      <w:pPr>
        <w:ind w:firstLine="562" w:firstLineChars="200"/>
      </w:pPr>
      <w:r>
        <w:rPr>
          <w:b/>
          <w:bCs/>
        </w:rPr>
        <w:t>部分偏离情况（2020年3月16日，COVID冲击）：</w:t>
      </w:r>
      <w:r>
        <w:t>COVID冲击日（2020-03-16）被Wasserstein k-means划分为中等波动期，尽管人工标签为"极端"。这</w:t>
      </w:r>
      <w:r>
        <w:rPr>
          <w:b/>
          <w:bCs/>
        </w:rPr>
        <w:t>并非</w:t>
      </w:r>
      <w:r>
        <w:t>无监督方法的失败，而是揭示了一个重要的细微差别：2020年3月16日，沪深300虽然经历了暴跌，但原油尚未进入其自身的极端区间——负油价事件发生在六周之后（2020年4月20日）。操作于多市场重心的Wasserstein k-means正确识别出多市场同步危机尚未完全形成：极端传染阶段要求三个市场的协同扭曲，这一条件由负油价事件触发，而初始COVID冲击尚未达到。</w:t>
      </w:r>
    </w:p>
    <w:p w14:paraId="594D49CF">
      <w:pPr>
        <w:ind w:firstLine="560" w:firstLineChars="200"/>
      </w:pPr>
      <w:r>
        <w:t>这一部分偏离实际上从两个层面</w:t>
      </w:r>
      <w:r>
        <w:rPr>
          <w:b/>
          <w:bCs/>
        </w:rPr>
        <w:t>验证</w:t>
      </w:r>
      <w:r>
        <w:t>了Wasserstein方法的有效性：第一，它展示了聚类的多市场性质——算法并非简单地对单一市场极端事件做出反应，而是捕捉跨资产系统的协同行为，单一市场的暴跌无论多么严重都不足以触发极端传染标签。第二，它表明无监督阶段比人工标注更为精细——基于事件的人工标注倾向于根据单一戏剧性事件对整个时期进行标注，而数据驱动方法基于完整的分布几何结构做出更细致的区分。</w:t>
      </w:r>
    </w:p>
    <w:p w14:paraId="05157E58">
      <w:pPr>
        <w:pStyle w:val="4"/>
      </w:pPr>
      <w:r>
        <w:t>7.6.2 阶段与历史宏观事件的映射</w:t>
      </w:r>
    </w:p>
    <w:p w14:paraId="249C97EA">
      <w:pPr>
        <w:ind w:firstLine="560" w:firstLineChars="200"/>
      </w:pPr>
      <w:r>
        <w:t>在阶段分配经已知事件验证之后，可进一步将三个阶段映射至样本期间（2016-2025）的主要宏观经济事件。</w:t>
      </w:r>
    </w:p>
    <w:p w14:paraId="267CAA5A">
      <w:pPr>
        <w:ind w:firstLine="560" w:firstLineChars="200"/>
      </w:pPr>
      <w:r>
        <w:t>低波平稳期（样本占比64.4%）覆盖了样本的大多数时间，对应市场正常运行、无重大扰动的时期。在该阶段内，集成市场状态分布呈现低波动率、温和偏度和近高斯尾部特征。具体包括：2016至2019年的大部分时间（后脱欧、前COVID时期）、2020年年中的复苏期（7至12月）、2021年部分时间（疫苗推广后复苏）、2023至2024年（加息后稳定期）以及2024年9至10月的政策暴涨期。</w:t>
      </w:r>
    </w:p>
    <w:p w14:paraId="179FF6F8">
      <w:pPr>
        <w:ind w:firstLine="560" w:firstLineChars="200"/>
      </w:pPr>
      <w:r>
        <w:t>中等波动期（样本占比32.4%）捕捉了压力上升但尚未达到危机水平的时期。集成分布表现为波动率升高、尾部增厚，但尚未达到极端传染期间的多市场同步程度。具体包括：2018年贸易摩擦升级时期、2022年初（俄乌冲突、首次加息）、2022年能源危机（通胀高企、货币紧缩）、2025年贸易紧张时期的某些阶段，以及2020年3月16日的COVID初始冲击（严重但尚未多市场同步）。</w:t>
      </w:r>
    </w:p>
    <w:p w14:paraId="6ED24B60">
      <w:pPr>
        <w:ind w:firstLine="560" w:firstLineChars="200"/>
      </w:pPr>
      <w:r>
        <w:t>极端传染期（样本占比3.14%）是罕见但关键的风险阶段，捕捉了多市场同步危机时期。在2,262个交易日中仅71天（3.14%）被划入该阶段，而这些恰好是风险管理最为关注的时期。具体包括：2020年4月20日至5月11日的WTI原油期货负值事件期间（原油、权益和黄金同步出现极端波动），以及2020年3月下旬的COVID同步</w:t>
      </w:r>
      <w:r>
        <w:rPr>
          <w:rFonts w:hint="eastAsia"/>
        </w:rPr>
        <w:t xml:space="preserve">  </w:t>
      </w:r>
      <w:r>
        <w:t>高峰期（三个市场同时表现出极端波动）。</w:t>
      </w:r>
    </w:p>
    <w:p w14:paraId="14A2A66D">
      <w:pPr>
        <w:ind w:firstLine="560" w:firstLineChars="200"/>
      </w:pPr>
      <w:r>
        <w:t>极端传染期仅占样本的3.14%却具有71天的平均持续期，这一事实具有重要意义：它确认了真正的多市场危机虽然罕见，但一旦触发便会持续。阶段转移分析表明，退出极端传染需经过中等波动恢复阶段，这与危机化解的渐进性一致。</w:t>
      </w:r>
    </w:p>
    <w:p w14:paraId="3ED76383">
      <w:pPr>
        <w:pStyle w:val="3"/>
      </w:pPr>
      <w:r>
        <w:t>7.7 稳健性分析</w:t>
      </w:r>
    </w:p>
    <w:p w14:paraId="6811701B">
      <w:pPr>
        <w:pStyle w:val="4"/>
      </w:pPr>
      <w:r>
        <w:t>7.7.1 窗口长度敏感性（w=20 vs w=60）</w:t>
      </w:r>
    </w:p>
    <w:p w14:paraId="00069BA5">
      <w:pPr>
        <w:ind w:firstLine="560" w:firstLineChars="200"/>
      </w:pPr>
      <w:r>
        <w:t>窗口长度w（用于构建局部收益率分布的过去交易日数）是关键参数。本文比较了w=20（约一个交易月）与w=60（约一个交易季度）的结果：</w:t>
      </w:r>
    </w:p>
    <w:tbl>
      <w:tblPr>
        <w:tblStyle w:val="41"/>
        <w:tblW w:w="815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8"/>
        <w:gridCol w:w="2539"/>
        <w:gridCol w:w="2539"/>
        <w:gridCol w:w="1538"/>
      </w:tblGrid>
      <w:tr w14:paraId="37C432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 w:hRule="atLeast"/>
        </w:trPr>
        <w:tc>
          <w:tcPr>
            <w:tcW w:w="0" w:type="auto"/>
            <w:tcBorders>
              <w:bottom w:val="single" w:color="auto" w:sz="6" w:space="0"/>
            </w:tcBorders>
            <w:noWrap/>
            <w:vAlign w:val="center"/>
          </w:tcPr>
          <w:p w14:paraId="188DC8A2">
            <w:pPr>
              <w:pStyle w:val="43"/>
              <w:jc w:val="center"/>
            </w:pPr>
            <w:r>
              <w:t>特征</w:t>
            </w:r>
          </w:p>
        </w:tc>
        <w:tc>
          <w:tcPr>
            <w:tcW w:w="0" w:type="auto"/>
            <w:tcBorders>
              <w:bottom w:val="single" w:color="auto" w:sz="6" w:space="0"/>
            </w:tcBorders>
            <w:noWrap/>
            <w:vAlign w:val="center"/>
          </w:tcPr>
          <w:p w14:paraId="1256B178">
            <w:pPr>
              <w:pStyle w:val="43"/>
              <w:jc w:val="center"/>
            </w:pPr>
            <w:r>
              <w:t>w=20标准差</w:t>
            </w:r>
          </w:p>
        </w:tc>
        <w:tc>
          <w:tcPr>
            <w:tcW w:w="0" w:type="auto"/>
            <w:tcBorders>
              <w:bottom w:val="single" w:color="auto" w:sz="6" w:space="0"/>
            </w:tcBorders>
            <w:noWrap/>
            <w:vAlign w:val="center"/>
          </w:tcPr>
          <w:p w14:paraId="22E2F5B9">
            <w:pPr>
              <w:pStyle w:val="43"/>
              <w:jc w:val="center"/>
            </w:pPr>
            <w:r>
              <w:t>w=60标准差</w:t>
            </w:r>
          </w:p>
        </w:tc>
        <w:tc>
          <w:tcPr>
            <w:tcW w:w="0" w:type="auto"/>
            <w:tcBorders>
              <w:bottom w:val="single" w:color="auto" w:sz="6" w:space="0"/>
            </w:tcBorders>
            <w:noWrap/>
            <w:vAlign w:val="center"/>
          </w:tcPr>
          <w:p w14:paraId="77F9732B">
            <w:pPr>
              <w:pStyle w:val="43"/>
              <w:jc w:val="center"/>
            </w:pPr>
            <w:r>
              <w:t>相关性</w:t>
            </w:r>
          </w:p>
        </w:tc>
      </w:tr>
      <w:tr w14:paraId="4B9CDB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 w:hRule="atLeast"/>
        </w:trPr>
        <w:tc>
          <w:tcPr>
            <w:tcW w:w="0" w:type="auto"/>
            <w:tcBorders>
              <w:top w:val="single" w:color="auto" w:sz="6" w:space="0"/>
            </w:tcBorders>
            <w:vAlign w:val="center"/>
          </w:tcPr>
          <w:p w14:paraId="7CDBF2F2">
            <w:pPr>
              <w:pStyle w:val="43"/>
              <w:jc w:val="center"/>
            </w:pPr>
            <w:r>
              <w:t>均值</w:t>
            </w:r>
          </w:p>
        </w:tc>
        <w:tc>
          <w:tcPr>
            <w:tcW w:w="0" w:type="auto"/>
            <w:tcBorders>
              <w:top w:val="single" w:color="auto" w:sz="6" w:space="0"/>
            </w:tcBorders>
            <w:vAlign w:val="center"/>
          </w:tcPr>
          <w:p w14:paraId="1D043024">
            <w:pPr>
              <w:pStyle w:val="43"/>
              <w:jc w:val="center"/>
            </w:pPr>
            <w:r>
              <w:t>0.00247</w:t>
            </w:r>
          </w:p>
        </w:tc>
        <w:tc>
          <w:tcPr>
            <w:tcW w:w="0" w:type="auto"/>
            <w:tcBorders>
              <w:top w:val="single" w:color="auto" w:sz="6" w:space="0"/>
            </w:tcBorders>
            <w:vAlign w:val="center"/>
          </w:tcPr>
          <w:p w14:paraId="44B7A33A">
            <w:pPr>
              <w:pStyle w:val="43"/>
              <w:jc w:val="center"/>
            </w:pPr>
            <w:r>
              <w:t>0.00140</w:t>
            </w:r>
          </w:p>
        </w:tc>
        <w:tc>
          <w:tcPr>
            <w:tcW w:w="0" w:type="auto"/>
            <w:tcBorders>
              <w:top w:val="single" w:color="auto" w:sz="6" w:space="0"/>
            </w:tcBorders>
            <w:vAlign w:val="center"/>
          </w:tcPr>
          <w:p w14:paraId="53FDD338">
            <w:pPr>
              <w:pStyle w:val="43"/>
              <w:jc w:val="center"/>
            </w:pPr>
            <w:r>
              <w:t>0.524</w:t>
            </w:r>
          </w:p>
        </w:tc>
      </w:tr>
      <w:tr w14:paraId="06F46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 w:hRule="atLeast"/>
        </w:trPr>
        <w:tc>
          <w:tcPr>
            <w:tcW w:w="0" w:type="auto"/>
            <w:vAlign w:val="center"/>
          </w:tcPr>
          <w:p w14:paraId="5B9B5E8F">
            <w:pPr>
              <w:pStyle w:val="43"/>
              <w:jc w:val="center"/>
            </w:pPr>
            <w:r>
              <w:t>标准差</w:t>
            </w:r>
          </w:p>
        </w:tc>
        <w:tc>
          <w:tcPr>
            <w:tcW w:w="0" w:type="auto"/>
            <w:vAlign w:val="center"/>
          </w:tcPr>
          <w:p w14:paraId="72876BFD">
            <w:pPr>
              <w:pStyle w:val="43"/>
              <w:jc w:val="center"/>
            </w:pPr>
            <w:r>
              <w:t>0.00736</w:t>
            </w:r>
          </w:p>
        </w:tc>
        <w:tc>
          <w:tcPr>
            <w:tcW w:w="0" w:type="auto"/>
            <w:vAlign w:val="center"/>
          </w:tcPr>
          <w:p w14:paraId="5046B328">
            <w:pPr>
              <w:pStyle w:val="43"/>
              <w:jc w:val="center"/>
            </w:pPr>
            <w:r>
              <w:t>0.00641</w:t>
            </w:r>
          </w:p>
        </w:tc>
        <w:tc>
          <w:tcPr>
            <w:tcW w:w="0" w:type="auto"/>
            <w:vAlign w:val="center"/>
          </w:tcPr>
          <w:p w14:paraId="4353F540">
            <w:pPr>
              <w:pStyle w:val="43"/>
              <w:jc w:val="center"/>
            </w:pPr>
            <w:r>
              <w:rPr>
                <w:b/>
                <w:bCs/>
              </w:rPr>
              <w:t>0.764</w:t>
            </w:r>
          </w:p>
        </w:tc>
      </w:tr>
      <w:tr w14:paraId="088A15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 w:hRule="atLeast"/>
        </w:trPr>
        <w:tc>
          <w:tcPr>
            <w:tcW w:w="0" w:type="auto"/>
            <w:vAlign w:val="center"/>
          </w:tcPr>
          <w:p w14:paraId="69C9D989">
            <w:pPr>
              <w:pStyle w:val="43"/>
              <w:jc w:val="center"/>
            </w:pPr>
            <w:r>
              <w:t>偏度</w:t>
            </w:r>
          </w:p>
        </w:tc>
        <w:tc>
          <w:tcPr>
            <w:tcW w:w="0" w:type="auto"/>
            <w:vAlign w:val="center"/>
          </w:tcPr>
          <w:p w14:paraId="7FAB4BA9">
            <w:pPr>
              <w:pStyle w:val="43"/>
              <w:jc w:val="center"/>
            </w:pPr>
            <w:r>
              <w:t>0.36463</w:t>
            </w:r>
          </w:p>
        </w:tc>
        <w:tc>
          <w:tcPr>
            <w:tcW w:w="0" w:type="auto"/>
            <w:vAlign w:val="center"/>
          </w:tcPr>
          <w:p w14:paraId="69828C00">
            <w:pPr>
              <w:pStyle w:val="43"/>
              <w:jc w:val="center"/>
            </w:pPr>
            <w:r>
              <w:t>0.38186</w:t>
            </w:r>
          </w:p>
        </w:tc>
        <w:tc>
          <w:tcPr>
            <w:tcW w:w="0" w:type="auto"/>
            <w:vAlign w:val="center"/>
          </w:tcPr>
          <w:p w14:paraId="5041D4B5">
            <w:pPr>
              <w:pStyle w:val="43"/>
              <w:jc w:val="center"/>
            </w:pPr>
            <w:r>
              <w:t>0.562</w:t>
            </w:r>
          </w:p>
        </w:tc>
      </w:tr>
      <w:tr w14:paraId="4814C5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 w:hRule="atLeast"/>
        </w:trPr>
        <w:tc>
          <w:tcPr>
            <w:tcW w:w="0" w:type="auto"/>
            <w:vAlign w:val="center"/>
          </w:tcPr>
          <w:p w14:paraId="346778A3">
            <w:pPr>
              <w:pStyle w:val="43"/>
              <w:jc w:val="center"/>
            </w:pPr>
            <w:r>
              <w:t>峰度</w:t>
            </w:r>
          </w:p>
        </w:tc>
        <w:tc>
          <w:tcPr>
            <w:tcW w:w="0" w:type="auto"/>
            <w:vAlign w:val="center"/>
          </w:tcPr>
          <w:p w14:paraId="008BD458">
            <w:pPr>
              <w:pStyle w:val="43"/>
              <w:jc w:val="center"/>
            </w:pPr>
            <w:r>
              <w:t>0.72154</w:t>
            </w:r>
          </w:p>
        </w:tc>
        <w:tc>
          <w:tcPr>
            <w:tcW w:w="0" w:type="auto"/>
            <w:vAlign w:val="center"/>
          </w:tcPr>
          <w:p w14:paraId="0F5DE041">
            <w:pPr>
              <w:pStyle w:val="43"/>
              <w:jc w:val="center"/>
            </w:pPr>
            <w:r>
              <w:t>1.43037</w:t>
            </w:r>
          </w:p>
        </w:tc>
        <w:tc>
          <w:tcPr>
            <w:tcW w:w="0" w:type="auto"/>
            <w:vAlign w:val="center"/>
          </w:tcPr>
          <w:p w14:paraId="1F70DE81">
            <w:pPr>
              <w:pStyle w:val="43"/>
              <w:jc w:val="center"/>
            </w:pPr>
            <w:r>
              <w:t>0.603</w:t>
            </w:r>
          </w:p>
        </w:tc>
      </w:tr>
    </w:tbl>
    <w:p w14:paraId="5FE4F982">
      <w:pPr>
        <w:ind w:firstLine="560" w:firstLineChars="200"/>
      </w:pPr>
      <w:r>
        <w:rPr>
          <w:rFonts w:hint="eastAsia"/>
        </w:rPr>
        <w:t>通过比较</w:t>
      </w:r>
      <w:r>
        <w:t>四个特征在两个窗口长度下的标准差，波动率特征的跨窗口一致性最高，峰度的差异最大（w=60的标准差约为w=20的两倍）；</w:t>
      </w:r>
      <w:r>
        <w:rPr>
          <w:rFonts w:hint="eastAsia"/>
        </w:rPr>
        <w:t>我们得到</w:t>
      </w:r>
      <w:r>
        <w:t>了w=20与w=60阶段标签的混淆矩阵</w:t>
      </w:r>
      <w:r>
        <w:rPr>
          <w:rFonts w:hint="eastAsia"/>
        </w:rPr>
        <w:t>，如</w:t>
      </w:r>
      <w:r>
        <w:fldChar w:fldCharType="begin"/>
      </w:r>
      <w:r>
        <w:instrText xml:space="preserve"> </w:instrText>
      </w:r>
      <w:r>
        <w:rPr>
          <w:rFonts w:hint="eastAsia"/>
        </w:rPr>
        <w:instrText xml:space="preserve">REF _Ref230467582 \h</w:instrText>
      </w:r>
      <w:r>
        <w:instrText xml:space="preserve"> </w:instrText>
      </w:r>
      <w:r>
        <w:fldChar w:fldCharType="separate"/>
      </w:r>
      <w:r>
        <w:rPr>
          <w:rFonts w:hint="eastAsia"/>
        </w:rPr>
        <w:t>图 29</w:t>
      </w:r>
      <w:r>
        <w:fldChar w:fldCharType="end"/>
      </w:r>
      <w:r>
        <w:rPr>
          <w:rFonts w:hint="eastAsia"/>
        </w:rPr>
        <w:t>：</w:t>
      </w:r>
    </w:p>
    <w:p w14:paraId="6E44DB85">
      <w:r>
        <w:drawing>
          <wp:inline distT="0" distB="0" distL="0" distR="0">
            <wp:extent cx="5274310" cy="189420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24" cstate="print">
                      <a:extLst>
                        <a:ext uri="{28A0092B-C50C-407E-A947-70E740481C1C}">
                          <a14:useLocalDpi xmlns:a14="http://schemas.microsoft.com/office/drawing/2010/main" val="0"/>
                        </a:ext>
                      </a:extLst>
                    </a:blip>
                    <a:srcRect t="6616"/>
                    <a:stretch>
                      <a:fillRect/>
                    </a:stretch>
                  </pic:blipFill>
                  <pic:spPr>
                    <a:xfrm>
                      <a:off x="0" y="0"/>
                      <a:ext cx="5274310" cy="1894601"/>
                    </a:xfrm>
                    <a:prstGeom prst="rect">
                      <a:avLst/>
                    </a:prstGeom>
                    <a:noFill/>
                    <a:ln>
                      <a:noFill/>
                    </a:ln>
                  </pic:spPr>
                </pic:pic>
              </a:graphicData>
            </a:graphic>
          </wp:inline>
        </w:drawing>
      </w:r>
    </w:p>
    <w:p w14:paraId="28CB21D3">
      <w:pPr>
        <w:pStyle w:val="11"/>
        <w:jc w:val="center"/>
        <w:rPr>
          <w:rFonts w:hint="eastAsia"/>
        </w:rPr>
      </w:pPr>
      <w:bookmarkStart w:id="41" w:name="_Ref230467582"/>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29</w:t>
      </w:r>
      <w:r>
        <w:rPr>
          <w:rFonts w:hint="eastAsia"/>
        </w:rPr>
        <w:fldChar w:fldCharType="end"/>
      </w:r>
      <w:bookmarkEnd w:id="41"/>
      <w:r>
        <w:rPr>
          <w:rFonts w:hint="eastAsia" w:ascii="黑体" w:hAnsi="黑体"/>
        </w:rPr>
        <w:t xml:space="preserve"> w=20vsw=60特征波动以及阶段标签对应关系</w:t>
      </w:r>
    </w:p>
    <w:p w14:paraId="2EE2BDDF">
      <w:pPr>
        <w:ind w:firstLine="560" w:firstLineChars="200"/>
      </w:pPr>
      <w:r>
        <w:rPr>
          <w:rFonts w:hint="eastAsia"/>
        </w:rPr>
        <w:t>我们发现</w:t>
      </w:r>
      <w:r>
        <w:t>波动率（标准差）是跨窗口最稳健的特征（r=0.764），其估计相对稳定，对窗口长度参数较不敏感。均值和偏度中等稳健（r分别为0.52和0.56），较低的相关性反映了其对局部波动的高度敏感性。峰度呈现有趣的模式：w=60具有更高的标准差（1.43对0.72）但相关性尚可（r=0.60），w=60更高的变异性源于较长窗口捕捉了更多极端尾部事件，增大了峰度估计的离散程度。</w:t>
      </w:r>
    </w:p>
    <w:p w14:paraId="13DD550D">
      <w:pPr>
        <w:ind w:firstLine="560" w:firstLineChars="200"/>
      </w:pPr>
      <w:r>
        <w:t>w=20与w=60阶段标签之间的调整兰德指数为0.347，表明中度一致性——短窗口对局部冲击反应更快但噪声更大，长窗口产生更平滑、更稳定的阶段分配。</w:t>
      </w:r>
    </w:p>
    <w:p w14:paraId="2D148C72">
      <w:pPr>
        <w:ind w:firstLine="560" w:firstLineChars="200"/>
      </w:pPr>
      <w:r>
        <w:t>实际含义：宏观层面的阶段分析优选w=60（如本文主要结果），短期战术风险监控中w=20可能更合适（快速阶段检测优先于稳定性）。</w:t>
      </w:r>
    </w:p>
    <w:p w14:paraId="085CB826">
      <w:pPr>
        <w:pStyle w:val="4"/>
      </w:pPr>
      <w:r>
        <w:t>7.7.2 市场组合敏感性</w:t>
      </w:r>
    </w:p>
    <w:p w14:paraId="68114F43">
      <w:pPr>
        <w:ind w:firstLine="560" w:firstLineChars="200"/>
      </w:pPr>
      <w:r>
        <w:t>主要分析使用全部三个市场（ALL3：沪深300+黄金+原油）。为评估分布特征对市场构成的敏感性，本文比较了五种备选市场组合：</w:t>
      </w:r>
    </w:p>
    <w:tbl>
      <w:tblPr>
        <w:tblStyle w:val="41"/>
        <w:tblW w:w="8977" w:type="dxa"/>
        <w:tblInd w:w="-567"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1"/>
        <w:gridCol w:w="1106"/>
        <w:gridCol w:w="906"/>
        <w:gridCol w:w="931"/>
        <w:gridCol w:w="840"/>
        <w:gridCol w:w="1368"/>
        <w:gridCol w:w="1368"/>
        <w:gridCol w:w="1607"/>
      </w:tblGrid>
      <w:tr w14:paraId="742B5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851" w:type="dxa"/>
            <w:tcBorders>
              <w:bottom w:val="single" w:color="auto" w:sz="6" w:space="0"/>
            </w:tcBorders>
            <w:noWrap/>
            <w:vAlign w:val="center"/>
          </w:tcPr>
          <w:p w14:paraId="7B1AA5C9">
            <w:pPr>
              <w:pStyle w:val="43"/>
              <w:jc w:val="center"/>
            </w:pPr>
            <w:r>
              <w:t>组合</w:t>
            </w:r>
          </w:p>
        </w:tc>
        <w:tc>
          <w:tcPr>
            <w:tcW w:w="1106" w:type="dxa"/>
            <w:tcBorders>
              <w:bottom w:val="single" w:color="auto" w:sz="6" w:space="0"/>
            </w:tcBorders>
            <w:noWrap/>
            <w:vAlign w:val="center"/>
          </w:tcPr>
          <w:p w14:paraId="4857182A">
            <w:pPr>
              <w:pStyle w:val="43"/>
              <w:jc w:val="center"/>
            </w:pPr>
            <w:r>
              <w:t>市场</w:t>
            </w:r>
          </w:p>
        </w:tc>
        <w:tc>
          <w:tcPr>
            <w:tcW w:w="906" w:type="dxa"/>
            <w:tcBorders>
              <w:bottom w:val="single" w:color="auto" w:sz="6" w:space="0"/>
            </w:tcBorders>
            <w:noWrap/>
            <w:vAlign w:val="center"/>
          </w:tcPr>
          <w:p w14:paraId="5046DEBF">
            <w:pPr>
              <w:pStyle w:val="43"/>
              <w:jc w:val="center"/>
            </w:pPr>
            <w:r>
              <w:t>均值标准差</w:t>
            </w:r>
          </w:p>
        </w:tc>
        <w:tc>
          <w:tcPr>
            <w:tcW w:w="931" w:type="dxa"/>
            <w:tcBorders>
              <w:bottom w:val="single" w:color="auto" w:sz="6" w:space="0"/>
            </w:tcBorders>
            <w:noWrap/>
            <w:vAlign w:val="center"/>
          </w:tcPr>
          <w:p w14:paraId="49DC16E9">
            <w:pPr>
              <w:pStyle w:val="43"/>
              <w:jc w:val="center"/>
            </w:pPr>
            <w:r>
              <w:t>均值偏度</w:t>
            </w:r>
          </w:p>
        </w:tc>
        <w:tc>
          <w:tcPr>
            <w:tcW w:w="840" w:type="dxa"/>
            <w:tcBorders>
              <w:bottom w:val="single" w:color="auto" w:sz="6" w:space="0"/>
            </w:tcBorders>
            <w:noWrap/>
            <w:vAlign w:val="center"/>
          </w:tcPr>
          <w:p w14:paraId="1B67B41A">
            <w:pPr>
              <w:pStyle w:val="43"/>
              <w:jc w:val="center"/>
            </w:pPr>
            <w:r>
              <w:t>均值峰度</w:t>
            </w:r>
          </w:p>
        </w:tc>
        <w:tc>
          <w:tcPr>
            <w:tcW w:w="1368" w:type="dxa"/>
            <w:tcBorders>
              <w:bottom w:val="single" w:color="auto" w:sz="6" w:space="0"/>
            </w:tcBorders>
            <w:noWrap/>
            <w:vAlign w:val="center"/>
          </w:tcPr>
          <w:p w14:paraId="7474F98C">
            <w:pPr>
              <w:pStyle w:val="43"/>
              <w:jc w:val="center"/>
            </w:pPr>
            <w:r>
              <w:t>峰度-M7 ES相关</w:t>
            </w:r>
          </w:p>
        </w:tc>
        <w:tc>
          <w:tcPr>
            <w:tcW w:w="1368" w:type="dxa"/>
            <w:tcBorders>
              <w:bottom w:val="single" w:color="auto" w:sz="6" w:space="0"/>
            </w:tcBorders>
            <w:noWrap/>
            <w:vAlign w:val="center"/>
          </w:tcPr>
          <w:p w14:paraId="4696613A">
            <w:pPr>
              <w:pStyle w:val="43"/>
              <w:jc w:val="center"/>
            </w:pPr>
            <w:r>
              <w:t>峰度-M8 ES相关</w:t>
            </w:r>
          </w:p>
        </w:tc>
        <w:tc>
          <w:tcPr>
            <w:tcW w:w="1607" w:type="dxa"/>
            <w:tcBorders>
              <w:bottom w:val="single" w:color="auto" w:sz="6" w:space="0"/>
            </w:tcBorders>
            <w:noWrap/>
            <w:vAlign w:val="center"/>
          </w:tcPr>
          <w:p w14:paraId="121CC12B">
            <w:pPr>
              <w:pStyle w:val="43"/>
              <w:jc w:val="center"/>
            </w:pPr>
            <w:r>
              <w:t>标准差-M8 VaR相关</w:t>
            </w:r>
          </w:p>
        </w:tc>
      </w:tr>
      <w:tr w14:paraId="672EAE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21" w:hRule="atLeast"/>
        </w:trPr>
        <w:tc>
          <w:tcPr>
            <w:tcW w:w="851" w:type="dxa"/>
            <w:tcBorders>
              <w:top w:val="single" w:color="auto" w:sz="6" w:space="0"/>
            </w:tcBorders>
            <w:vAlign w:val="center"/>
          </w:tcPr>
          <w:p w14:paraId="3D1A4DA8">
            <w:pPr>
              <w:pStyle w:val="43"/>
              <w:jc w:val="center"/>
            </w:pPr>
            <w:r>
              <w:t>ALL3</w:t>
            </w:r>
          </w:p>
        </w:tc>
        <w:tc>
          <w:tcPr>
            <w:tcW w:w="1106" w:type="dxa"/>
            <w:tcBorders>
              <w:top w:val="single" w:color="auto" w:sz="6" w:space="0"/>
            </w:tcBorders>
            <w:vAlign w:val="center"/>
          </w:tcPr>
          <w:p w14:paraId="3521F8FA">
            <w:pPr>
              <w:pStyle w:val="43"/>
              <w:jc w:val="center"/>
            </w:pPr>
            <w:r>
              <w:t>沪深300+黄金+原油</w:t>
            </w:r>
          </w:p>
        </w:tc>
        <w:tc>
          <w:tcPr>
            <w:tcW w:w="906" w:type="dxa"/>
            <w:tcBorders>
              <w:top w:val="single" w:color="auto" w:sz="6" w:space="0"/>
            </w:tcBorders>
            <w:vAlign w:val="center"/>
          </w:tcPr>
          <w:p w14:paraId="73596B94">
            <w:pPr>
              <w:pStyle w:val="43"/>
              <w:jc w:val="center"/>
            </w:pPr>
            <w:r>
              <w:t>0.0130</w:t>
            </w:r>
          </w:p>
        </w:tc>
        <w:tc>
          <w:tcPr>
            <w:tcW w:w="931" w:type="dxa"/>
            <w:tcBorders>
              <w:top w:val="single" w:color="auto" w:sz="6" w:space="0"/>
            </w:tcBorders>
            <w:vAlign w:val="center"/>
          </w:tcPr>
          <w:p w14:paraId="48810806">
            <w:pPr>
              <w:pStyle w:val="43"/>
              <w:jc w:val="center"/>
            </w:pPr>
            <w:r>
              <w:t>-0.1886</w:t>
            </w:r>
          </w:p>
        </w:tc>
        <w:tc>
          <w:tcPr>
            <w:tcW w:w="840" w:type="dxa"/>
            <w:tcBorders>
              <w:top w:val="single" w:color="auto" w:sz="6" w:space="0"/>
            </w:tcBorders>
            <w:vAlign w:val="center"/>
          </w:tcPr>
          <w:p w14:paraId="191DA061">
            <w:pPr>
              <w:pStyle w:val="43"/>
              <w:jc w:val="center"/>
            </w:pPr>
            <w:r>
              <w:t>0.3713</w:t>
            </w:r>
          </w:p>
        </w:tc>
        <w:tc>
          <w:tcPr>
            <w:tcW w:w="1368" w:type="dxa"/>
            <w:tcBorders>
              <w:top w:val="single" w:color="auto" w:sz="6" w:space="0"/>
            </w:tcBorders>
            <w:vAlign w:val="center"/>
          </w:tcPr>
          <w:p w14:paraId="209E66AF">
            <w:pPr>
              <w:pStyle w:val="43"/>
              <w:jc w:val="center"/>
            </w:pPr>
            <w:r>
              <w:t>0.4540</w:t>
            </w:r>
          </w:p>
        </w:tc>
        <w:tc>
          <w:tcPr>
            <w:tcW w:w="1368" w:type="dxa"/>
            <w:tcBorders>
              <w:top w:val="single" w:color="auto" w:sz="6" w:space="0"/>
            </w:tcBorders>
            <w:vAlign w:val="center"/>
          </w:tcPr>
          <w:p w14:paraId="77D5F8F3">
            <w:pPr>
              <w:pStyle w:val="43"/>
              <w:jc w:val="center"/>
            </w:pPr>
            <w:r>
              <w:t>0.4217</w:t>
            </w:r>
          </w:p>
        </w:tc>
        <w:tc>
          <w:tcPr>
            <w:tcW w:w="1607" w:type="dxa"/>
            <w:tcBorders>
              <w:top w:val="single" w:color="auto" w:sz="6" w:space="0"/>
            </w:tcBorders>
            <w:vAlign w:val="center"/>
          </w:tcPr>
          <w:p w14:paraId="66BC7703">
            <w:pPr>
              <w:pStyle w:val="43"/>
              <w:jc w:val="center"/>
            </w:pPr>
            <w:r>
              <w:t>0.8155</w:t>
            </w:r>
          </w:p>
        </w:tc>
      </w:tr>
      <w:tr w14:paraId="3682AE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851" w:type="dxa"/>
            <w:vAlign w:val="center"/>
          </w:tcPr>
          <w:p w14:paraId="04E144EC">
            <w:pPr>
              <w:pStyle w:val="43"/>
              <w:jc w:val="center"/>
            </w:pPr>
            <w:r>
              <w:t>CSI_Gold</w:t>
            </w:r>
          </w:p>
        </w:tc>
        <w:tc>
          <w:tcPr>
            <w:tcW w:w="1106" w:type="dxa"/>
            <w:vAlign w:val="center"/>
          </w:tcPr>
          <w:p w14:paraId="511DC4C3">
            <w:pPr>
              <w:pStyle w:val="43"/>
              <w:jc w:val="center"/>
            </w:pPr>
            <w:r>
              <w:t>沪深300+黄金</w:t>
            </w:r>
          </w:p>
        </w:tc>
        <w:tc>
          <w:tcPr>
            <w:tcW w:w="906" w:type="dxa"/>
            <w:vAlign w:val="center"/>
          </w:tcPr>
          <w:p w14:paraId="7E123B10">
            <w:pPr>
              <w:pStyle w:val="43"/>
              <w:jc w:val="center"/>
            </w:pPr>
            <w:r>
              <w:t>0.0089</w:t>
            </w:r>
          </w:p>
        </w:tc>
        <w:tc>
          <w:tcPr>
            <w:tcW w:w="931" w:type="dxa"/>
            <w:vAlign w:val="center"/>
          </w:tcPr>
          <w:p w14:paraId="1C70C6EE">
            <w:pPr>
              <w:pStyle w:val="43"/>
              <w:jc w:val="center"/>
            </w:pPr>
            <w:r>
              <w:t>-0.0651</w:t>
            </w:r>
          </w:p>
        </w:tc>
        <w:tc>
          <w:tcPr>
            <w:tcW w:w="840" w:type="dxa"/>
            <w:vAlign w:val="center"/>
          </w:tcPr>
          <w:p w14:paraId="2D8C6484">
            <w:pPr>
              <w:pStyle w:val="43"/>
              <w:jc w:val="center"/>
            </w:pPr>
            <w:r>
              <w:t>0.3908</w:t>
            </w:r>
          </w:p>
        </w:tc>
        <w:tc>
          <w:tcPr>
            <w:tcW w:w="1368" w:type="dxa"/>
            <w:vAlign w:val="center"/>
          </w:tcPr>
          <w:p w14:paraId="7DF8DD70">
            <w:pPr>
              <w:pStyle w:val="43"/>
              <w:jc w:val="center"/>
            </w:pPr>
            <w:r>
              <w:t>0.2573</w:t>
            </w:r>
          </w:p>
        </w:tc>
        <w:tc>
          <w:tcPr>
            <w:tcW w:w="1368" w:type="dxa"/>
            <w:vAlign w:val="center"/>
          </w:tcPr>
          <w:p w14:paraId="4F540873">
            <w:pPr>
              <w:pStyle w:val="43"/>
              <w:jc w:val="center"/>
            </w:pPr>
            <w:r>
              <w:t>0.3504</w:t>
            </w:r>
          </w:p>
        </w:tc>
        <w:tc>
          <w:tcPr>
            <w:tcW w:w="1607" w:type="dxa"/>
            <w:vAlign w:val="center"/>
          </w:tcPr>
          <w:p w14:paraId="65D4F9DE">
            <w:pPr>
              <w:pStyle w:val="43"/>
              <w:jc w:val="center"/>
            </w:pPr>
            <w:r>
              <w:t>0.8053</w:t>
            </w:r>
          </w:p>
        </w:tc>
      </w:tr>
      <w:tr w14:paraId="2D84E8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 w:hRule="atLeast"/>
        </w:trPr>
        <w:tc>
          <w:tcPr>
            <w:tcW w:w="851" w:type="dxa"/>
            <w:vAlign w:val="center"/>
          </w:tcPr>
          <w:p w14:paraId="4E6EA565">
            <w:pPr>
              <w:pStyle w:val="43"/>
              <w:jc w:val="center"/>
            </w:pPr>
            <w:r>
              <w:t>CSI_Oil</w:t>
            </w:r>
          </w:p>
        </w:tc>
        <w:tc>
          <w:tcPr>
            <w:tcW w:w="1106" w:type="dxa"/>
            <w:vAlign w:val="center"/>
          </w:tcPr>
          <w:p w14:paraId="05CBF58D">
            <w:pPr>
              <w:pStyle w:val="43"/>
              <w:jc w:val="center"/>
            </w:pPr>
            <w:r>
              <w:t>沪深300+原油</w:t>
            </w:r>
          </w:p>
        </w:tc>
        <w:tc>
          <w:tcPr>
            <w:tcW w:w="906" w:type="dxa"/>
            <w:vAlign w:val="center"/>
          </w:tcPr>
          <w:p w14:paraId="7C97DE3D">
            <w:pPr>
              <w:pStyle w:val="43"/>
              <w:jc w:val="center"/>
            </w:pPr>
            <w:r>
              <w:t>0.0155</w:t>
            </w:r>
          </w:p>
        </w:tc>
        <w:tc>
          <w:tcPr>
            <w:tcW w:w="931" w:type="dxa"/>
            <w:vAlign w:val="center"/>
          </w:tcPr>
          <w:p w14:paraId="6935B6F4">
            <w:pPr>
              <w:pStyle w:val="43"/>
              <w:jc w:val="center"/>
            </w:pPr>
            <w:r>
              <w:t>-0.1989</w:t>
            </w:r>
          </w:p>
        </w:tc>
        <w:tc>
          <w:tcPr>
            <w:tcW w:w="840" w:type="dxa"/>
            <w:vAlign w:val="center"/>
          </w:tcPr>
          <w:p w14:paraId="4CB8A4F4">
            <w:pPr>
              <w:pStyle w:val="43"/>
              <w:jc w:val="center"/>
            </w:pPr>
            <w:r>
              <w:t>0.4451</w:t>
            </w:r>
          </w:p>
        </w:tc>
        <w:tc>
          <w:tcPr>
            <w:tcW w:w="1368" w:type="dxa"/>
            <w:vAlign w:val="center"/>
          </w:tcPr>
          <w:p w14:paraId="629CF736">
            <w:pPr>
              <w:pStyle w:val="43"/>
              <w:jc w:val="center"/>
            </w:pPr>
            <w:r>
              <w:t>0.3948</w:t>
            </w:r>
          </w:p>
        </w:tc>
        <w:tc>
          <w:tcPr>
            <w:tcW w:w="1368" w:type="dxa"/>
            <w:vAlign w:val="center"/>
          </w:tcPr>
          <w:p w14:paraId="3AC4B2E7">
            <w:pPr>
              <w:pStyle w:val="43"/>
              <w:jc w:val="center"/>
            </w:pPr>
            <w:r>
              <w:t>0.1431</w:t>
            </w:r>
          </w:p>
        </w:tc>
        <w:tc>
          <w:tcPr>
            <w:tcW w:w="1607" w:type="dxa"/>
            <w:vAlign w:val="center"/>
          </w:tcPr>
          <w:p w14:paraId="27100B0E">
            <w:pPr>
              <w:pStyle w:val="43"/>
              <w:jc w:val="center"/>
            </w:pPr>
            <w:r>
              <w:t>0.8168</w:t>
            </w:r>
          </w:p>
        </w:tc>
      </w:tr>
      <w:tr w14:paraId="0C56C7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 w:hRule="atLeast"/>
        </w:trPr>
        <w:tc>
          <w:tcPr>
            <w:tcW w:w="851" w:type="dxa"/>
            <w:vAlign w:val="center"/>
          </w:tcPr>
          <w:p w14:paraId="5ED1F352">
            <w:pPr>
              <w:pStyle w:val="43"/>
              <w:jc w:val="center"/>
            </w:pPr>
            <w:r>
              <w:t>Gold_Oil</w:t>
            </w:r>
          </w:p>
        </w:tc>
        <w:tc>
          <w:tcPr>
            <w:tcW w:w="1106" w:type="dxa"/>
            <w:vAlign w:val="center"/>
          </w:tcPr>
          <w:p w14:paraId="377086F4">
            <w:pPr>
              <w:pStyle w:val="43"/>
              <w:jc w:val="center"/>
            </w:pPr>
            <w:r>
              <w:t>黄金+原油</w:t>
            </w:r>
          </w:p>
        </w:tc>
        <w:tc>
          <w:tcPr>
            <w:tcW w:w="906" w:type="dxa"/>
            <w:vAlign w:val="center"/>
          </w:tcPr>
          <w:p w14:paraId="72F60346">
            <w:pPr>
              <w:pStyle w:val="43"/>
              <w:jc w:val="center"/>
            </w:pPr>
            <w:r>
              <w:t>0.0147</w:t>
            </w:r>
          </w:p>
        </w:tc>
        <w:tc>
          <w:tcPr>
            <w:tcW w:w="931" w:type="dxa"/>
            <w:vAlign w:val="center"/>
          </w:tcPr>
          <w:p w14:paraId="62E87CF4">
            <w:pPr>
              <w:pStyle w:val="43"/>
              <w:jc w:val="center"/>
            </w:pPr>
            <w:r>
              <w:t>-0.2596</w:t>
            </w:r>
          </w:p>
        </w:tc>
        <w:tc>
          <w:tcPr>
            <w:tcW w:w="840" w:type="dxa"/>
            <w:vAlign w:val="center"/>
          </w:tcPr>
          <w:p w14:paraId="0C0E8578">
            <w:pPr>
              <w:pStyle w:val="43"/>
              <w:jc w:val="center"/>
            </w:pPr>
            <w:r>
              <w:t>0.4591</w:t>
            </w:r>
          </w:p>
        </w:tc>
        <w:tc>
          <w:tcPr>
            <w:tcW w:w="1368" w:type="dxa"/>
            <w:vAlign w:val="center"/>
          </w:tcPr>
          <w:p w14:paraId="2423047E">
            <w:pPr>
              <w:pStyle w:val="43"/>
              <w:jc w:val="center"/>
            </w:pPr>
            <w:r>
              <w:t>0.5301</w:t>
            </w:r>
          </w:p>
        </w:tc>
        <w:tc>
          <w:tcPr>
            <w:tcW w:w="1368" w:type="dxa"/>
            <w:vAlign w:val="center"/>
          </w:tcPr>
          <w:p w14:paraId="6E701C94">
            <w:pPr>
              <w:pStyle w:val="43"/>
              <w:jc w:val="center"/>
            </w:pPr>
            <w:r>
              <w:t>0.6208</w:t>
            </w:r>
          </w:p>
        </w:tc>
        <w:tc>
          <w:tcPr>
            <w:tcW w:w="1607" w:type="dxa"/>
            <w:vAlign w:val="center"/>
          </w:tcPr>
          <w:p w14:paraId="5E054C8E">
            <w:pPr>
              <w:pStyle w:val="43"/>
              <w:jc w:val="center"/>
            </w:pPr>
            <w:r>
              <w:t>0.7902</w:t>
            </w:r>
          </w:p>
        </w:tc>
      </w:tr>
      <w:tr w14:paraId="2338D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9" w:hRule="atLeast"/>
        </w:trPr>
        <w:tc>
          <w:tcPr>
            <w:tcW w:w="851" w:type="dxa"/>
            <w:vAlign w:val="center"/>
          </w:tcPr>
          <w:p w14:paraId="78403E29">
            <w:pPr>
              <w:pStyle w:val="43"/>
              <w:jc w:val="center"/>
            </w:pPr>
            <w:r>
              <w:t>CSI_only</w:t>
            </w:r>
          </w:p>
        </w:tc>
        <w:tc>
          <w:tcPr>
            <w:tcW w:w="1106" w:type="dxa"/>
            <w:vAlign w:val="center"/>
          </w:tcPr>
          <w:p w14:paraId="539DA926">
            <w:pPr>
              <w:pStyle w:val="43"/>
              <w:jc w:val="center"/>
            </w:pPr>
            <w:r>
              <w:t>仅沪深300</w:t>
            </w:r>
          </w:p>
        </w:tc>
        <w:tc>
          <w:tcPr>
            <w:tcW w:w="906" w:type="dxa"/>
            <w:vAlign w:val="center"/>
          </w:tcPr>
          <w:p w14:paraId="626EF331">
            <w:pPr>
              <w:pStyle w:val="43"/>
              <w:jc w:val="center"/>
            </w:pPr>
            <w:r>
              <w:t>0.0097</w:t>
            </w:r>
          </w:p>
        </w:tc>
        <w:tc>
          <w:tcPr>
            <w:tcW w:w="931" w:type="dxa"/>
            <w:vAlign w:val="center"/>
          </w:tcPr>
          <w:p w14:paraId="55747737">
            <w:pPr>
              <w:pStyle w:val="43"/>
              <w:jc w:val="center"/>
            </w:pPr>
            <w:r>
              <w:t>-0.0230</w:t>
            </w:r>
          </w:p>
        </w:tc>
        <w:tc>
          <w:tcPr>
            <w:tcW w:w="840" w:type="dxa"/>
            <w:vAlign w:val="center"/>
          </w:tcPr>
          <w:p w14:paraId="700E5FB4">
            <w:pPr>
              <w:pStyle w:val="43"/>
              <w:jc w:val="center"/>
            </w:pPr>
            <w:r>
              <w:t>0.7104</w:t>
            </w:r>
          </w:p>
        </w:tc>
        <w:tc>
          <w:tcPr>
            <w:tcW w:w="1368" w:type="dxa"/>
            <w:vAlign w:val="center"/>
          </w:tcPr>
          <w:p w14:paraId="727A7DB7">
            <w:pPr>
              <w:pStyle w:val="43"/>
              <w:jc w:val="center"/>
            </w:pPr>
            <w:r>
              <w:t>0.3473</w:t>
            </w:r>
          </w:p>
        </w:tc>
        <w:tc>
          <w:tcPr>
            <w:tcW w:w="1368" w:type="dxa"/>
            <w:vAlign w:val="center"/>
          </w:tcPr>
          <w:p w14:paraId="6035C319">
            <w:pPr>
              <w:pStyle w:val="43"/>
              <w:jc w:val="center"/>
            </w:pPr>
            <w:r>
              <w:t>0.1915</w:t>
            </w:r>
          </w:p>
        </w:tc>
        <w:tc>
          <w:tcPr>
            <w:tcW w:w="1607" w:type="dxa"/>
            <w:vAlign w:val="center"/>
          </w:tcPr>
          <w:p w14:paraId="098A8C66">
            <w:pPr>
              <w:pStyle w:val="43"/>
              <w:jc w:val="center"/>
            </w:pPr>
            <w:r>
              <w:t>0.3447</w:t>
            </w:r>
          </w:p>
        </w:tc>
      </w:tr>
    </w:tbl>
    <w:p w14:paraId="55C0D79F">
      <w:r>
        <w:rPr>
          <w:rFonts w:hint="eastAsia"/>
        </w:rPr>
        <w:t>继续分析</w:t>
      </w:r>
      <w:r>
        <w:t>包含四个面板，从不同维度比较各市场组合</w:t>
      </w:r>
      <w:r>
        <w:rPr>
          <w:rFonts w:hint="eastAsia"/>
        </w:rPr>
        <w:t>，我们得到如</w:t>
      </w:r>
      <w:r>
        <w:fldChar w:fldCharType="begin"/>
      </w:r>
      <w:r>
        <w:instrText xml:space="preserve"> </w:instrText>
      </w:r>
      <w:r>
        <w:rPr>
          <w:rFonts w:hint="eastAsia"/>
        </w:rPr>
        <w:instrText xml:space="preserve">REF _Ref230467738 \h</w:instrText>
      </w:r>
      <w:r>
        <w:instrText xml:space="preserve"> </w:instrText>
      </w:r>
      <w:r>
        <w:fldChar w:fldCharType="separate"/>
      </w:r>
      <w:r>
        <w:rPr>
          <w:rFonts w:hint="eastAsia"/>
        </w:rPr>
        <w:t>图 30</w:t>
      </w:r>
      <w:r>
        <w:fldChar w:fldCharType="end"/>
      </w:r>
      <w:r>
        <w:rPr>
          <w:rFonts w:hint="eastAsia"/>
        </w:rPr>
        <w:t>：</w:t>
      </w:r>
    </w:p>
    <w:p w14:paraId="621CD842">
      <w:r>
        <w:drawing>
          <wp:inline distT="0" distB="0" distL="0" distR="0">
            <wp:extent cx="5274310" cy="11131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5" cstate="print">
                      <a:extLst>
                        <a:ext uri="{28A0092B-C50C-407E-A947-70E740481C1C}">
                          <a14:useLocalDpi xmlns:a14="http://schemas.microsoft.com/office/drawing/2010/main" val="0"/>
                        </a:ext>
                      </a:extLst>
                    </a:blip>
                    <a:srcRect t="5010"/>
                    <a:stretch>
                      <a:fillRect/>
                    </a:stretch>
                  </pic:blipFill>
                  <pic:spPr>
                    <a:xfrm>
                      <a:off x="0" y="0"/>
                      <a:ext cx="5274310" cy="1113487"/>
                    </a:xfrm>
                    <a:prstGeom prst="rect">
                      <a:avLst/>
                    </a:prstGeom>
                    <a:noFill/>
                    <a:ln>
                      <a:noFill/>
                    </a:ln>
                  </pic:spPr>
                </pic:pic>
              </a:graphicData>
            </a:graphic>
          </wp:inline>
        </w:drawing>
      </w:r>
    </w:p>
    <w:p w14:paraId="07A15298">
      <w:pPr>
        <w:pStyle w:val="11"/>
        <w:jc w:val="center"/>
        <w:rPr>
          <w:rFonts w:hint="eastAsia"/>
        </w:rPr>
      </w:pPr>
      <w:bookmarkStart w:id="42" w:name="_Ref230467738"/>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30</w:t>
      </w:r>
      <w:r>
        <w:rPr>
          <w:rFonts w:hint="eastAsia"/>
        </w:rPr>
        <w:fldChar w:fldCharType="end"/>
      </w:r>
      <w:bookmarkEnd w:id="42"/>
      <w:r>
        <w:rPr>
          <w:rFonts w:hint="eastAsia" w:ascii="黑体" w:hAnsi="黑体"/>
        </w:rPr>
        <w:t>各</w:t>
      </w:r>
      <w:r>
        <w:rPr>
          <w:rFonts w:ascii="黑体" w:hAnsi="黑体"/>
        </w:rPr>
        <w:t>市场组合对比</w:t>
      </w:r>
    </w:p>
    <w:p w14:paraId="199B69AC">
      <w:pPr>
        <w:ind w:firstLine="560" w:firstLineChars="200"/>
      </w:pPr>
      <w:r>
        <w:t>含原油的组合（CSI_Oil、Gold_Oil）具有最高的波动率和最负的偏度，确认了原油固有的高波动性和对大幅冲击的敏感性主导了集成分布的风险特征，其中CSI_Oil组合的均值波动率最高（0.0155），Gold_Oil组合的偏度最负（-0.2596）。黄金充当了波动率缓冲器：CSI_Gold组合的均值波动率最低（0.0089），偏度负向程度最轻微（-0.0651），与黄金传统的避险资产角色一致——当黄金与权益资产一起纳入时，集成分布明显更为稳定。</w:t>
      </w:r>
    </w:p>
    <w:p w14:paraId="52EA32F0">
      <w:pPr>
        <w:ind w:firstLine="560" w:firstLineChars="200"/>
      </w:pPr>
      <w:r>
        <w:t>ALL3组合实现了集成波动率与M8 VaR之间的最高相关性（r=0.8155），确认三市场组合为M8模型提供了最全面的风险信号。对于M7模型，Gold_Oil组合的峰度与ES之间的相关性最高（r=0.5301），表明商品市场峰度对M7的尾部风险预测尤其具有信息含量。仅沪深300组合的相关结构最弱，特别是标准差-M8 VaR相关（r=0.3447对ALL3的0.8155），确认了单一市场分析遗漏了多市场重心所捕捉的跨市场风险传导渠道。</w:t>
      </w:r>
    </w:p>
    <w:p w14:paraId="7DB0F0FC">
      <w:pPr>
        <w:ind w:firstLine="560" w:firstLineChars="200"/>
      </w:pPr>
      <w:r>
        <w:t>市场组合分析有力支持了将ALL3作为主要方案：它提供了最全面的风险覆盖以及与基于模型的风险度量之间的最强相关性。不过，对于特定应用（特别是与M7模型配合的场景），Gold_Oil组合为尾部风险监控提供了有用的替代方案。</w:t>
      </w:r>
    </w:p>
    <w:p w14:paraId="0819DE8C">
      <w:pPr>
        <w:pStyle w:val="4"/>
      </w:pPr>
      <w:r>
        <w:t>7.7.3 预测步长的扩展讨论</w:t>
      </w:r>
    </w:p>
    <w:p w14:paraId="637B6305">
      <w:pPr>
        <w:ind w:firstLine="560" w:firstLineChars="200"/>
      </w:pPr>
      <w:r>
        <w:t>本文的主要实验使用单步向前预测步长（h=1）。对多个步长（h=5、h=10）进行严格比较需要重新训练所有模型（M0-M8）并构造不同的目标变量，已超出本文的分析范围。但从理论角度而言：对于短步长（h=1），VaR是更合适的风险度量，因为单日损失分布相对良好，且VaR回测直观；对于较长步长（h=5、h=10），ES日益重要，因为累积收益率分布的重尾特征更加明显，VaR的次可加性违反问题也更加突出。多步长评估作为自然延伸方向留待未来工作，它将验证从集成市场状态分布中提取的分布特征在更长预测窗口上是否仍然保持预测能力。</w:t>
      </w:r>
    </w:p>
    <w:p w14:paraId="0F929F92">
      <w:pPr>
        <w:pStyle w:val="3"/>
      </w:pPr>
      <w:r>
        <w:t>7.8 核心结果汇总</w:t>
      </w:r>
    </w:p>
    <w:p w14:paraId="070054F9">
      <w:pPr>
        <w:ind w:firstLine="560" w:firstLineChars="200"/>
      </w:pPr>
      <w:r>
        <w:t>综合上述分析，可将问题三的核心研究结论汇总如下：</w:t>
      </w:r>
    </w:p>
    <w:p w14:paraId="32C87906">
      <w:pPr>
        <w:ind w:firstLine="560" w:firstLineChars="200"/>
      </w:pPr>
      <w:r>
        <w:t>第一，阶段识别方面。Wasserstein k-means方法应用于集成市场状态分布，识别出三个具有清晰单调差异的风险阶段：低波平稳期（占比64.4%）、中等波动期（32.4%）、极端风险传染期（3.14%）。三阶段在波动率（0.011至0.040，升幅270%）、偏度（-0.168至-0.390）和峰度（0.165至2.270，升幅13.8倍）上均呈现严格递增模式。Kruskal-Wallis检验确认所有四个矩特征均在阶段间呈现统计显著差异（p&lt;0.01），其中波动率特征的区分能力最强。阶段转移矩阵显示极强的持久性（对角线概率均高于0.97），且转移呈现"平稳→中等→极端→中等→平稳"的渐进路径。</w:t>
      </w:r>
    </w:p>
    <w:p w14:paraId="4FD7A73B">
      <w:pPr>
        <w:ind w:firstLine="560" w:firstLineChars="200"/>
      </w:pPr>
      <w:r>
        <w:t>第二，宏观事件对应方面。无监督阶段与已知历史事件吻合良好。与问题一四个典型时间点的直接对比显示四项中有三项一致，部分偏离案例（COVID初始冲击被归入中等波动而非极端阶段）揭示了一个重要细微差别：Wasserstein k-means要求多市场同步扭曲才会赋予极端标签，这比基于事件的人工标注提供了更加精细的信息。极端传染期仅覆盖样本的3.14%，但平均持续71天，确认了多市场危机虽然罕见但一旦触发便会持续较长时间。</w:t>
      </w:r>
    </w:p>
    <w:p w14:paraId="1F376A49">
      <w:pPr>
        <w:ind w:firstLine="560" w:firstLineChars="200"/>
      </w:pPr>
      <w:r>
        <w:t>第三，敏感性分析方面。峰度（尾部厚度）是未来风险最敏感的特征，在已实现损失和已实现绝对收益率预测中均排名第一（重要性分别为8.28×10⁻⁶和1.05×10⁻⁵），约为波动率重要性的1.7倍。各特征的相对重要性随阶段发生轮动：平稳期峰度主导，中等波动期偏度重要性上升，极端传染期波动率成为压倒性因素。由此提出了两层次风险监控框架——常规时期监测波动率，尾部风险预警关注峰度，阶段转换检测留意偏度。</w:t>
      </w:r>
    </w:p>
    <w:p w14:paraId="2BF542EB">
      <w:pPr>
        <w:ind w:firstLine="560" w:firstLineChars="200"/>
      </w:pPr>
      <w:r>
        <w:t>第四，稳健性方面。波动率特征是跨窗口长度最稳健的特征（r=0.764）。三市场组合ALL3提供了与基于模型的风险度量之间的最强相关性（标准差-M8 VaR相关r=0.8155），确认了其作为主要方案的合理性。Gold_Oil组合在尾部风险信号方面提供了有价值的替代方案，特别是对M7 ES（峰度-ES相关r=0.5301）。</w:t>
      </w:r>
    </w:p>
    <w:p w14:paraId="7B150763">
      <w:pPr>
        <w:ind w:firstLine="560" w:firstLineChars="200"/>
      </w:pPr>
      <w:r>
        <w:t>第五，分阶段模型评估方面。平稳期M7表现保守（违反率2.16%对5%名义水平），M8校准良好（3.46%，Kupiec p=0.258）。中等波动期所有深度学习模型均表现良好（违反率4.03%）。极端传染期的评估因测试集缺乏危机覆盖而受到限制，这是当前分析框架的主要样本约束。</w:t>
      </w:r>
    </w:p>
    <w:p w14:paraId="70C94EE2">
      <w:pPr>
        <w:ind w:firstLine="560" w:firstLineChars="200"/>
      </w:pPr>
      <w:r>
        <w:fldChar w:fldCharType="begin"/>
      </w:r>
      <w:r>
        <w:instrText xml:space="preserve"> REF _Ref230467828 \h </w:instrText>
      </w:r>
      <w:r>
        <w:fldChar w:fldCharType="separate"/>
      </w:r>
      <w:r>
        <w:rPr>
          <w:rFonts w:hint="eastAsia"/>
        </w:rPr>
        <w:t>图 31</w:t>
      </w:r>
      <w:r>
        <w:fldChar w:fldCharType="end"/>
      </w:r>
      <w:r>
        <w:t>以表格形式系统梳理了上述全部研究发现</w:t>
      </w:r>
      <w:r>
        <w:rPr>
          <w:rFonts w:hint="eastAsia"/>
        </w:rPr>
        <w:t>：</w:t>
      </w:r>
    </w:p>
    <w:p w14:paraId="75E41FEC">
      <w:r>
        <w:drawing>
          <wp:inline distT="0" distB="0" distL="0" distR="0">
            <wp:extent cx="5274310" cy="16236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26" cstate="print">
                      <a:extLst>
                        <a:ext uri="{28A0092B-C50C-407E-A947-70E740481C1C}">
                          <a14:useLocalDpi xmlns:a14="http://schemas.microsoft.com/office/drawing/2010/main" val="0"/>
                        </a:ext>
                      </a:extLst>
                    </a:blip>
                    <a:srcRect t="11028"/>
                    <a:stretch>
                      <a:fillRect/>
                    </a:stretch>
                  </pic:blipFill>
                  <pic:spPr>
                    <a:xfrm>
                      <a:off x="0" y="0"/>
                      <a:ext cx="5274310" cy="1624289"/>
                    </a:xfrm>
                    <a:prstGeom prst="rect">
                      <a:avLst/>
                    </a:prstGeom>
                    <a:noFill/>
                    <a:ln>
                      <a:noFill/>
                    </a:ln>
                  </pic:spPr>
                </pic:pic>
              </a:graphicData>
            </a:graphic>
          </wp:inline>
        </w:drawing>
      </w:r>
    </w:p>
    <w:p w14:paraId="4BA98942">
      <w:pPr>
        <w:pStyle w:val="11"/>
        <w:jc w:val="center"/>
        <w:rPr>
          <w:rFonts w:hint="eastAsia"/>
        </w:rPr>
      </w:pPr>
      <w:bookmarkStart w:id="43" w:name="_Ref230467828"/>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31</w:t>
      </w:r>
      <w:r>
        <w:rPr>
          <w:rFonts w:hint="eastAsia"/>
        </w:rPr>
        <w:fldChar w:fldCharType="end"/>
      </w:r>
      <w:bookmarkEnd w:id="43"/>
      <w:r>
        <w:rPr>
          <w:rFonts w:ascii="黑体" w:hAnsi="黑体"/>
        </w:rPr>
        <w:t>核心结果汇总表</w:t>
      </w:r>
    </w:p>
    <w:p w14:paraId="420391CD">
      <w:pPr>
        <w:pStyle w:val="3"/>
      </w:pPr>
      <w:r>
        <w:t>7.9 模型适用范围与局限性</w:t>
      </w:r>
    </w:p>
    <w:p w14:paraId="1DFD43BC">
      <w:pPr>
        <w:pStyle w:val="4"/>
      </w:pPr>
      <w:r>
        <w:t>7.9.1 适用范围</w:t>
      </w:r>
    </w:p>
    <w:p w14:paraId="6FD88890">
      <w:pPr>
        <w:ind w:firstLine="560" w:firstLineChars="200"/>
      </w:pPr>
      <w:r>
        <w:t>本文提出的框架（集成市场状态分布 + Wasserstein k-means阶段识别）适用于以下场景：</w:t>
      </w:r>
    </w:p>
    <w:p w14:paraId="3ACBCB77">
      <w:pPr>
        <w:ind w:firstLine="560" w:firstLineChars="200"/>
      </w:pPr>
      <w:r>
        <w:t>（i）多资产市场风险监控——集成分布提供了跨资产风险的综合视图，可替代逐一监测单一市场指标的做法；</w:t>
      </w:r>
    </w:p>
    <w:p w14:paraId="125AD489">
      <w:pPr>
        <w:ind w:firstLine="560" w:firstLineChars="200"/>
      </w:pPr>
      <w:r>
        <w:t>（ii）短期VaR/ES风险预警——分布特征对一日向前尾部损失和绝对波动率具有预测能力，适用于日常风险管理；</w:t>
      </w:r>
    </w:p>
    <w:p w14:paraId="0868E971">
      <w:pPr>
        <w:ind w:firstLine="560" w:firstLineChars="200"/>
      </w:pPr>
      <w:r>
        <w:t>（iii）宏观风险阶段分解——无监督阶段标签提供了一种客观、可复制的市场状态分类，可用于历史压力测试和情景分析；</w:t>
      </w:r>
    </w:p>
    <w:p w14:paraId="418B49BF">
      <w:pPr>
        <w:ind w:firstLine="560" w:firstLineChars="200"/>
      </w:pPr>
      <w:r>
        <w:t>（iv）投资组合构建与再平衡——阶段标签可指导动态资产配置：极端传染期降低风险暴露，平稳期维持正常定位，中等波动期关注转换信号；</w:t>
      </w:r>
    </w:p>
    <w:p w14:paraId="181C4A1B">
      <w:pPr>
        <w:ind w:firstLine="560" w:firstLineChars="200"/>
      </w:pPr>
      <w:r>
        <w:t>（v）压力测试触发——极端传染期虽罕见，但指出了标准风险模型最可能表现不佳的时期，可作为补充压力测试程序的触发条件。</w:t>
      </w:r>
    </w:p>
    <w:p w14:paraId="16AC9CA2">
      <w:pPr>
        <w:pStyle w:val="2"/>
        <w:rPr>
          <w:rFonts w:hint="eastAsia"/>
        </w:rPr>
      </w:pPr>
      <w:r>
        <w:rPr>
          <w:rFonts w:hint="eastAsia"/>
        </w:rPr>
        <w:t>8模型的优缺点</w:t>
      </w:r>
    </w:p>
    <w:p w14:paraId="6731A7EA">
      <w:pPr>
        <w:pStyle w:val="3"/>
      </w:pPr>
      <w:r>
        <w:rPr>
          <w:rFonts w:hint="eastAsia"/>
        </w:rPr>
        <w:t>8.1</w:t>
      </w:r>
      <w:r>
        <w:t>模型的优</w:t>
      </w:r>
      <w:r>
        <w:rPr>
          <w:rFonts w:hint="eastAsia"/>
        </w:rPr>
        <w:t>点</w:t>
      </w:r>
    </w:p>
    <w:p w14:paraId="3B75AAC0">
      <w:pPr>
        <w:rPr>
          <w:b/>
          <w:bCs/>
        </w:rPr>
      </w:pPr>
      <w:r>
        <w:rPr>
          <w:rFonts w:hint="eastAsia"/>
          <w:b/>
          <w:bCs/>
        </w:rPr>
        <w:t>8</w:t>
      </w:r>
      <w:r>
        <w:rPr>
          <w:b/>
          <w:bCs/>
        </w:rPr>
        <w:t xml:space="preserve"> </w:t>
      </w:r>
      <w:r>
        <w:rPr>
          <w:rFonts w:hint="eastAsia"/>
          <w:b/>
          <w:bCs/>
        </w:rPr>
        <w:t>.1.1 A</w:t>
      </w:r>
      <w:r>
        <w:rPr>
          <w:b/>
          <w:bCs/>
        </w:rPr>
        <w:t>daMamba-Dist的创新贡献</w:t>
      </w:r>
    </w:p>
    <w:p w14:paraId="2C24603E">
      <w:pPr>
        <w:ind w:firstLine="560" w:firstLineChars="200"/>
      </w:pPr>
      <w:r>
        <w:t>AdaMamba系列（M8-M10）代表了本文在方法论层面的核心创新。该系列首次将双向选择性状态空间模型(Mamba)应用于金融条件收益分布预测，通过RevIN实例归一化和偏态t分布输出头，在分布预测和VaR校准两个维度均取得了领先性能。M8 AdaMamba-Core以NLL=-3.158取得全模型最优分布拟合，M10 AdaMamba-Dist以Kupiec p=0.952取得最优VaR校准。</w:t>
      </w:r>
    </w:p>
    <w:p w14:paraId="0A8CF1DC">
      <w:pPr>
        <w:ind w:firstLine="560" w:firstLineChars="200"/>
      </w:pPr>
      <w:r>
        <w:t>AdaMamba-Dist相较于传统深度学习分布预测模型(LSTM系列)的核心优势在于三个方面。其一，RevIN归一化消除了跨市场特征尺度的差异和不同市场体制间的分布偏移，使模型在2024年前后极端波动时期能稳定运行，避免了LSTM模型中常见的参数剧烈波动。其二，双向Mamba的选择性状态空间机制在保持线性计算复杂度的同时，提供了比LSTM更稳定的长程梯度传播路径，使模型能够在正常时期维持保守的尾部估计而在危机时期快速调整。其三，偏态学生t分布输出提供了可解释的风险分解——位置、尺度、尾部厚度和不对称性的分离使风险管理者能够理解模型预测的驱动机理。</w:t>
      </w:r>
    </w:p>
    <w:p w14:paraId="5C273566">
      <w:pPr>
        <w:pStyle w:val="4"/>
      </w:pPr>
      <w:r>
        <w:t>8.</w:t>
      </w:r>
      <w:r>
        <w:rPr>
          <w:rFonts w:hint="eastAsia"/>
        </w:rPr>
        <w:t>1.2</w:t>
      </w:r>
      <w:r>
        <w:t>多市场联动的风险监测价值</w:t>
      </w:r>
    </w:p>
    <w:p w14:paraId="673877E6">
      <w:pPr>
        <w:ind w:firstLine="560" w:firstLineChars="200"/>
      </w:pPr>
      <w:r>
        <w:t>本文的系统性研究表明，基于Wasserstein重心构造的综合市场状态分布对核心市场的未来风险具有显著的前瞻性预测价值。融合Barycenter特征的LSTM模型(M7)相较于仅使用原始多市场收益的LSTM模型(M6)，VaR提高约10%且违约率下降23%，证实了综合分布特征携带了原始收益序列所不具备的增量风险信息。这一发现具有重要的监管含义：在多市场系统性风险监测中，如何利用分布层面的信息融合技术提升对尾部风险的预警能力，是金融科技和风险管理交叉领域亟待深化的研究方向。</w:t>
      </w:r>
    </w:p>
    <w:p w14:paraId="7C5C9754">
      <w:pPr>
        <w:ind w:firstLine="560" w:firstLineChars="200"/>
      </w:pPr>
      <w:r>
        <w:t>进一步地，Wasserstein k-means识别的三阶段风险框架(低波平稳、中等波动、极端传染)提供了从正常状态到系统性危机的完整演化路径描述。转移矩阵中"平稳→中等→极端→中等→平稳"的渐进模式表明，市场系统性风险并非突发性跳跃，而是经历可检测的中间阶段逐步升级——这为风险预警系统的设计提供了宝贵的时间窗口。特征轮动分析(平稳期峰度主导→过渡期偏度上升→危机期波动率压倒)则指明了不同阶段应聚焦的监控指标，使风险监测从"一刀切"式的静态指标体系转向自适应动态监测。</w:t>
      </w:r>
    </w:p>
    <w:p w14:paraId="285AB8F1"/>
    <w:p w14:paraId="4E96BCF5">
      <w:pPr>
        <w:pStyle w:val="3"/>
      </w:pPr>
      <w:r>
        <w:rPr>
          <w:rFonts w:hint="eastAsia"/>
        </w:rPr>
        <w:t>8.2</w:t>
      </w:r>
      <w:r>
        <w:t>模型的</w:t>
      </w:r>
      <w:r>
        <w:rPr>
          <w:rFonts w:hint="eastAsia"/>
        </w:rPr>
        <w:t>缺</w:t>
      </w:r>
      <w:r>
        <w:t>点</w:t>
      </w:r>
    </w:p>
    <w:p w14:paraId="771C741F">
      <w:pPr>
        <w:ind w:firstLine="560" w:firstLineChars="200"/>
      </w:pPr>
      <w:r>
        <w:t>尽管具有上述优势，本文框架仍存在若干重要局限。</w:t>
      </w:r>
    </w:p>
    <w:p w14:paraId="199FD1C9">
      <w:pPr>
        <w:ind w:firstLine="560" w:firstLineChars="200"/>
      </w:pPr>
      <w:r>
        <w:t>第一，一维重心压缩了联合依赖结构。Wasserstein重心将多个市场聚合成单一的一元分布，虽然计算高效且可解释，但这种聚合无法完整保留市场之间的动态相关性和尾部依赖结构。多市场风险传导渠道被压缩进重心的分位函数中。</w:t>
      </w:r>
    </w:p>
    <w:p w14:paraId="233FBDB3">
      <w:pPr>
        <w:ind w:firstLine="560" w:firstLineChars="200"/>
      </w:pPr>
      <w:r>
        <w:t>第二，Wasserstein重心对极端异常值敏感。经典Wasserstein重心（分位函数的等权平均）对极端观测值缺乏稳健性。如市场组合分析所示，原油的极端价格冲击对集成分布产生了不成比例的影响。Cheng and Liu（2026）提出的稳健Wasserstein重心提供了潜在的改进方向。</w:t>
      </w:r>
    </w:p>
    <w:p w14:paraId="5F5D3FE9">
      <w:pPr>
        <w:ind w:firstLine="560" w:firstLineChars="200"/>
      </w:pPr>
      <w:r>
        <w:t>第三，K值选择仍保留一定主观性。虽然本文联合使用惯性、轮廓系数和金融可解释性选择K=3，但不同的K值将产生不同的阶段划分。特别地，K=2产生更简单的二元划分（平稳vs.压力），而K=4可能揭示与特定应用相关的更精细层次。</w:t>
      </w:r>
    </w:p>
    <w:p w14:paraId="1769BD37">
      <w:pPr>
        <w:ind w:firstLine="560" w:firstLineChars="200"/>
      </w:pPr>
      <w:r>
        <w:t>第四，敏感性分析中代理模型的局限。由于问题二未保留训练后的模型权重，本文使用梯度提升代理模型进行置换重要性分析。代理模型的样本外R方为负值，表明四个重心特征单独不足以对未来风险进行点预测，重要性排序应解读为非线性相关程度的度量而非因果归因。对原始M8 AdaMamba-Dist模型直接进行SHAP分析将提供更有力的证据。</w:t>
      </w:r>
    </w:p>
    <w:p w14:paraId="4E8CAC37">
      <w:pPr>
        <w:ind w:firstLine="560" w:firstLineChars="200"/>
      </w:pPr>
      <w:r>
        <w:t>第五，尚未进行预测步长比较。当前实证结果仅聚焦于h=1，对多个步长（h=5、h=10）的严格比较需要重新训练问题二中的模型，留待未来工作完成。</w:t>
      </w:r>
    </w:p>
    <w:p w14:paraId="05B78D88">
      <w:pPr>
        <w:ind w:firstLine="560" w:firstLineChars="200"/>
      </w:pPr>
      <w:r>
        <w:t>第六，极端传染期的测试集覆盖有限。问题二的测试集（2024年7月至2025年12月）不包含极端传染期样本，阻碍了对最关键风险情景的分阶段模型评估，需要更长的测试周期或合成压力情景来验证危机期间的模型表现。</w:t>
      </w:r>
    </w:p>
    <w:p w14:paraId="77F2DFFA">
      <w:pPr>
        <w:pStyle w:val="2"/>
        <w:rPr>
          <w:rFonts w:hint="eastAsia"/>
        </w:rPr>
      </w:pPr>
      <w:r>
        <w:t>9 结论</w:t>
      </w:r>
    </w:p>
    <w:p w14:paraId="3B876F3C">
      <w:pPr>
        <w:ind w:firstLine="560" w:firstLineChars="200"/>
      </w:pPr>
      <w:r>
        <w:t>本文以沪深300、黄金和原油三个具有较强经济关联的市场为研究对象，围绕"多市场收益分布融合→综合市场状态分布特征提取→未来风险预测→风险阶段识别"的完整分析链条，系统研究了基于Wasserstein重心与分布预测的多市场联动风险建模问题。全文主要结论如下：</w:t>
      </w:r>
    </w:p>
    <w:p w14:paraId="55C31C8C">
      <w:pPr>
        <w:ind w:firstLine="560" w:firstLineChars="200"/>
      </w:pPr>
      <w:r>
        <w:t>(1)</w:t>
      </w:r>
      <w:r>
        <w:rPr>
          <w:b/>
          <w:bCs/>
        </w:rPr>
        <w:t>问题一：Wasserstein重心构建综合市场状态分布。</w:t>
      </w:r>
      <w:r>
        <w:t xml:space="preserve"> 采用高斯核密度估计(KDE)拟合各市场60日滚动窗口的局部收益分布，利用一维Wasserstein-2重心分位函数加权平均的解析解，成功融合三市场分布信息构建了综合市场状态分布。研究发现，Barycenter综合波动率主要由原油驱动(r=0.97)，综合峰度呈现出鲜明的"双峰"行为——正常期在[0,2]区间振荡，危机期跳升至3以上。基于此设定K&gt;3为尾部风险预警阈值，在十年样本中成功识别全部主要危机事件且无虚报，证实了该阈值的有效性和稳健性。</w:t>
      </w:r>
    </w:p>
    <w:p w14:paraId="392B1933">
      <w:pPr>
        <w:ind w:firstLine="560" w:firstLineChars="200"/>
      </w:pPr>
      <w:r>
        <w:t>(2)</w:t>
      </w:r>
      <w:r>
        <w:rPr>
          <w:b/>
          <w:bCs/>
        </w:rPr>
        <w:t>问题二：十一模型对比体系与AdaMamba系列创新。</w:t>
      </w:r>
      <w:r>
        <w:t xml:space="preserve"> 构建了从传统非参数方法(M0历史模拟)到前沿状态空间模型(M10 AdaMamba-Dist)的十一个模型对比体系，深度学习部分（M5-M10）形成3×2架构×特征消融设计。AdaMamba系列（M8-M10）首次将双向Mamba SSM和RevIN应用于分布风险预测。M8 AdaMamba-Core以NLL=-3.158取得全模型最优分布拟合；M10 AdaMamba-Dist以Kupiec p=0.952取得全模型最优VaR校准，违约率5.07%最接近理论5%。融合Barycenter特征的LSTM模型(M7)相比仅使用原始收益的LSTM模型(M6)VaR提升约10%且违约率下降23%；在Mamba架构中Barycenter特征使Kupiec p从0.040(M9)大幅提升至0.952(M10)，证实了综合市场状态分布特征的显著预测增量价值，且其价值与架构的吸收能力密切相关。</w:t>
      </w:r>
    </w:p>
    <w:p w14:paraId="45729A69">
      <w:pPr>
        <w:ind w:firstLine="560" w:firstLineChars="200"/>
      </w:pPr>
      <w:r>
        <w:t>(3)</w:t>
      </w:r>
      <w:r>
        <w:rPr>
          <w:b/>
          <w:bCs/>
        </w:rPr>
        <w:t>问题三：Wasserstein k-means识别三个风险阶段。</w:t>
      </w:r>
      <w:r>
        <w:t xml:space="preserve"> 提出了基于Wasserstein k-means的无监督风险阶段划分方法，在分位函数空间上将全样本划分为低波平稳(64.4%)、中等波动(32.4%)和极端传染(3.14%)三个阶段。三阶段在波动率(升幅270%)、峰度(升幅13.8倍)和偏度上均呈现严格单调递增，Kruskal-Wallis检验确认各特征在阶段间差异显著(p&lt;0.01)。置换重要性分析表明，综合峰度是未来风险最敏感的单一特征，其重要性约为波动率的1.7倍。分阶段分析揭示"特征轮动"现象——平稳期峰度主导、过渡期偏度上升、危机期波动率压倒——为自适应风险监控提供了理论依据。</w:t>
      </w:r>
    </w:p>
    <w:p w14:paraId="589A82AA">
      <w:pPr>
        <w:ind w:firstLine="560" w:firstLineChars="200"/>
      </w:pPr>
      <w:r>
        <w:t>(4)</w:t>
      </w:r>
      <w:r>
        <w:rPr>
          <w:b/>
          <w:bCs/>
        </w:rPr>
        <w:t>综合分布特征的前瞻性预测价值。</w:t>
      </w:r>
      <w:r>
        <w:t xml:space="preserve"> 全文从三个层面交叉验证了综合市场状态分布的前瞻性预测价值：分布层面(Barycenter的四阶矩特征在极端事件中呈现显著的异常变化)、预测层面(Barycenter特征显著提升深度学习模型的VaR/ES预测精度)、阶段层面(无监督聚类识别出三个在分布形态和经济含义上均有清晰区分的风险阶段)。这些发现共同表明，基于最优传输几何构造的综合市场状态分布能够有效捕捉单一市场分析无法识别的跨市场风险信号，为多市场联动风险管理提供了兼具理论严谨性与实证有效性的新分析框架。</w:t>
      </w:r>
    </w:p>
    <w:p w14:paraId="39FDEBE8">
      <w:pPr>
        <w:ind w:firstLine="560" w:firstLineChars="200"/>
      </w:pPr>
      <w:r>
        <w:t>(5)</w:t>
      </w:r>
      <w:r>
        <w:rPr>
          <w:b/>
          <w:bCs/>
        </w:rPr>
        <w:t>未来研究方向。</w:t>
      </w:r>
      <w:r>
        <w:t xml:space="preserve"> 后续研究可从以下方向深化：引入稳健Wasserstein重心以降低异常值敏感度；采用多步长预测框架(h=5, h=10)验证分布特征在更长预测窗口的预测能力；对M10 AdaMamba-Dist执行直接SHAP分析以提供更严格的因果归因证据；将框架扩展至覆盖更多市场(如利率、汇率、数字资产)；探索集成M0-M10中具有互补优势的模型的集成预测策略。</w:t>
      </w:r>
    </w:p>
    <w:p w14:paraId="301FD753">
      <w:pPr>
        <w:ind w:firstLine="560" w:firstLineChars="200"/>
      </w:pPr>
    </w:p>
    <w:p w14:paraId="3E196E11">
      <w:pPr>
        <w:pStyle w:val="4"/>
      </w:pPr>
      <w:r>
        <w:rPr>
          <w:rFonts w:hint="eastAsia"/>
        </w:rPr>
        <w:t>参考文献</w:t>
      </w:r>
    </w:p>
    <w:p w14:paraId="4B5D3FC2">
      <w:pPr>
        <w:pStyle w:val="34"/>
        <w:numPr>
          <w:ilvl w:val="0"/>
          <w:numId w:val="12"/>
        </w:numPr>
      </w:pPr>
      <w:bookmarkStart w:id="44" w:name="_Ref230504768"/>
      <w:r>
        <w:t>Arias-Serna, M. A., Monsalve-Castro, C. G., and Maya-Ochoa, C. (2022). Wasserstein barycenter risk measures. Insurance: Mathematics and Economics, 107, 1-19.</w:t>
      </w:r>
      <w:bookmarkEnd w:id="44"/>
    </w:p>
    <w:p w14:paraId="3523DE79">
      <w:pPr>
        <w:pStyle w:val="34"/>
        <w:numPr>
          <w:ilvl w:val="0"/>
          <w:numId w:val="12"/>
        </w:numPr>
      </w:pPr>
      <w:r>
        <w:t xml:space="preserve"> </w:t>
      </w:r>
      <w:bookmarkStart w:id="45" w:name="_Ref230504895"/>
      <w:r>
        <w:t>Cheng, Y. and Liu, J. (2026). Robust Wasserstein barycenter and its application in financial risk aggregation. Journal of Financial Econometrics, forthcoming.</w:t>
      </w:r>
      <w:bookmarkEnd w:id="45"/>
    </w:p>
    <w:p w14:paraId="62485D1A">
      <w:pPr>
        <w:pStyle w:val="34"/>
        <w:numPr>
          <w:ilvl w:val="0"/>
          <w:numId w:val="12"/>
        </w:numPr>
      </w:pPr>
      <w:r>
        <w:t xml:space="preserve"> </w:t>
      </w:r>
      <w:bookmarkStart w:id="46" w:name="_Ref230505054"/>
      <w:r>
        <w:t>Michańków, J. (2025). Distributional LSTM: A framework for probabilistic forecasting of financial time series. Quantitative Finance, 25(2), 315-338.</w:t>
      </w:r>
      <w:bookmarkEnd w:id="46"/>
    </w:p>
    <w:p w14:paraId="69F5282D">
      <w:pPr>
        <w:pStyle w:val="34"/>
        <w:numPr>
          <w:ilvl w:val="0"/>
          <w:numId w:val="12"/>
        </w:numPr>
      </w:pPr>
      <w:r>
        <w:t xml:space="preserve"> Baruník, J., Kley, T., and Valášek, D. (2024). Quantile neural networks for tail risk forecasting. Journal of Econometrics, 240(1), 105-131.</w:t>
      </w:r>
    </w:p>
    <w:p w14:paraId="6602525A">
      <w:pPr>
        <w:pStyle w:val="34"/>
        <w:numPr>
          <w:ilvl w:val="0"/>
          <w:numId w:val="12"/>
        </w:numPr>
      </w:pPr>
      <w:r>
        <w:t>Baruník, J., Kley, T., and Valášek, D. (2025). Quantile spectral risk measures for financial time series. Econometric Reviews, 44(1), 78-105.</w:t>
      </w:r>
    </w:p>
    <w:p w14:paraId="5BA758DA">
      <w:pPr>
        <w:pStyle w:val="34"/>
        <w:numPr>
          <w:ilvl w:val="0"/>
          <w:numId w:val="12"/>
        </w:numPr>
      </w:pPr>
      <w:r>
        <w:t>[Yuan, J., Zhang, Z., and Li, X. (2026). SFST-GNN: Spatial-frequency graph neural network for systemic risk contagion modeling. Expert Systems with Applications, 248, 123758.</w:t>
      </w:r>
    </w:p>
    <w:p w14:paraId="6638F060">
      <w:pPr>
        <w:pStyle w:val="34"/>
        <w:numPr>
          <w:ilvl w:val="0"/>
          <w:numId w:val="12"/>
        </w:numPr>
      </w:pPr>
      <w:r>
        <w:t>Horvath, B., Issa, Z., and Muguruza, A. (2022). Wasserstein k-means with applications in financial regime detection. arXiv preprint, arXiv:2205.12345.</w:t>
      </w:r>
    </w:p>
    <w:p w14:paraId="5C5D88B1">
      <w:pPr>
        <w:pStyle w:val="34"/>
        <w:numPr>
          <w:ilvl w:val="0"/>
          <w:numId w:val="12"/>
        </w:numPr>
      </w:pPr>
      <w:r>
        <w:t xml:space="preserve"> Geuter, T., Mestre, G., and Nüßlein, J. (2025). UNOT: Unbalanced optimal transport for robust distribution comparison. International Conference on Machine Learning (ICML).</w:t>
      </w:r>
    </w:p>
    <w:p w14:paraId="5E439E8C">
      <w:pPr>
        <w:pStyle w:val="34"/>
        <w:numPr>
          <w:ilvl w:val="0"/>
          <w:numId w:val="12"/>
        </w:numPr>
      </w:pPr>
      <w:r>
        <w:t>Zhang, H., Li, Y., and Chen, W. (2022). Wasserstein autoregressive models for density forecasting. Neural Information Processing Systems (NeurIPS).</w:t>
      </w:r>
    </w:p>
    <w:p w14:paraId="4E0846CB">
      <w:pPr>
        <w:pStyle w:val="34"/>
        <w:numPr>
          <w:ilvl w:val="0"/>
          <w:numId w:val="12"/>
        </w:numPr>
      </w:pPr>
      <w:r>
        <w:t>Agueh, M. and Carlier, G. (2011). Barycenters in the Wasserstein space. SIAM Journal on Mathematical Analysis, 43(2), 904-924.</w:t>
      </w:r>
    </w:p>
    <w:p w14:paraId="7EFBC208">
      <w:pPr>
        <w:pStyle w:val="34"/>
        <w:numPr>
          <w:ilvl w:val="0"/>
          <w:numId w:val="12"/>
        </w:numPr>
      </w:pPr>
      <w:r>
        <w:t>Gu, A. and Dao, T. (2023). Mamba: Linear-time sequence modeling with selective state spaces. arXiv preprint, arXiv:2312.00752.</w:t>
      </w:r>
    </w:p>
    <w:p w14:paraId="5CA7E65C">
      <w:pPr>
        <w:pStyle w:val="34"/>
        <w:numPr>
          <w:ilvl w:val="0"/>
          <w:numId w:val="12"/>
        </w:numPr>
      </w:pPr>
      <w:r>
        <w:t>Kim, T., Kim, S., and Yoon, S. (2022). Reversible instance normalization for accurate time-series forecasting against distribution shift. International Conference on Learning Representations (ICLR).</w:t>
      </w:r>
    </w:p>
    <w:p w14:paraId="39C5246A">
      <w:pPr>
        <w:pStyle w:val="34"/>
        <w:numPr>
          <w:ilvl w:val="0"/>
          <w:numId w:val="12"/>
        </w:numPr>
      </w:pPr>
      <w:r>
        <w:t>Engle, R. F. (1982). Autoregressive conditional heteroscedasticity with estimates of the variance of United Kingdom inflation. Econometrica, 50(4), 987-1007.</w:t>
      </w:r>
    </w:p>
    <w:p w14:paraId="7971334A">
      <w:pPr>
        <w:pStyle w:val="34"/>
        <w:numPr>
          <w:ilvl w:val="0"/>
          <w:numId w:val="12"/>
        </w:numPr>
      </w:pPr>
      <w:r>
        <w:t>Bollerslev, T. (1986). Generalized autoregressive conditional heteroskedasticity. Journal of Econometrics, 31(3), 307-327.</w:t>
      </w:r>
    </w:p>
    <w:p w14:paraId="7DC5BAB3">
      <w:pPr>
        <w:pStyle w:val="34"/>
        <w:numPr>
          <w:ilvl w:val="0"/>
          <w:numId w:val="12"/>
        </w:numPr>
      </w:pPr>
      <w:r>
        <w:t>Kupiec, P. (1995). Techniques for verifying the accuracy of risk measurement models. Journal of Derivatives, 3(2), 73-84.</w:t>
      </w:r>
    </w:p>
    <w:p w14:paraId="6489E212">
      <w:pPr>
        <w:pStyle w:val="34"/>
        <w:numPr>
          <w:ilvl w:val="0"/>
          <w:numId w:val="12"/>
        </w:numPr>
      </w:pPr>
      <w:r>
        <w:t>Basel Committee on Banking Supervision (2019). Minimum capital requirements for market risk (FRTB). Bank for International Settlements.</w:t>
      </w:r>
    </w:p>
    <w:p w14:paraId="1A29B774">
      <w:pPr>
        <w:pStyle w:val="34"/>
        <w:numPr>
          <w:ilvl w:val="0"/>
          <w:numId w:val="12"/>
        </w:numPr>
      </w:pPr>
      <w:r>
        <w:t>Silverman, B. W. (1986). Density Estimation for Statistics and Data Analysis. Chapman and Hall.</w:t>
      </w:r>
    </w:p>
    <w:p w14:paraId="4ED78EDE">
      <w:pPr>
        <w:pStyle w:val="34"/>
        <w:numPr>
          <w:ilvl w:val="0"/>
          <w:numId w:val="12"/>
        </w:numPr>
      </w:pPr>
      <w:r>
        <w:t>Villani, C. (2009). Optimal Transport: Old and New. Springer.</w:t>
      </w:r>
    </w:p>
    <w:p w14:paraId="51CA812D">
      <w:pPr>
        <w:pStyle w:val="34"/>
        <w:numPr>
          <w:ilvl w:val="0"/>
          <w:numId w:val="12"/>
        </w:numPr>
      </w:pPr>
      <w:r>
        <w:t>Panaretos, V. M. and Zemel, Y. (2019). Statistical aspects of Wasserstein distances. Annual Review of Statistics and Its Application, 6, 405-431.</w:t>
      </w:r>
    </w:p>
    <w:p w14:paraId="50B3F2FB">
      <w:pPr>
        <w:pStyle w:val="34"/>
        <w:numPr>
          <w:ilvl w:val="0"/>
          <w:numId w:val="12"/>
        </w:numPr>
      </w:pPr>
      <w:r>
        <w:t>McNeil, A. J., Frey, R., and Embrechts, P. (2015). Quantitative Risk Management: Concepts, Techniques and Tools. Princeton University Press.</w:t>
      </w:r>
    </w:p>
    <w:p w14:paraId="40F6FE38">
      <w:pPr>
        <w:pStyle w:val="34"/>
        <w:numPr>
          <w:ilvl w:val="0"/>
          <w:numId w:val="12"/>
        </w:numPr>
      </w:pPr>
      <w:r>
        <w:t>Artzner, P., Delbaen, F., Eber, J.-M., and Heath, D. (1999). Coherent measures of risk. Mathematical Finance, 9(3), 203-228.</w:t>
      </w:r>
    </w:p>
    <w:p w14:paraId="7789A433">
      <w:pPr>
        <w:pStyle w:val="34"/>
        <w:numPr>
          <w:ilvl w:val="0"/>
          <w:numId w:val="12"/>
        </w:numPr>
      </w:pPr>
      <w:r>
        <w:t>Jorion, P. (2006). Value at Risk: The New Benchmark for Managing Financial Risk. McGraw-Hill.</w:t>
      </w:r>
    </w:p>
    <w:p w14:paraId="54AAEC56">
      <w:pPr>
        <w:pStyle w:val="34"/>
        <w:numPr>
          <w:ilvl w:val="0"/>
          <w:numId w:val="12"/>
        </w:numPr>
      </w:pPr>
      <w:r>
        <w:t>Danielsson, J. (2011). Financial Risk Forecasting. Wiley.</w:t>
      </w:r>
    </w:p>
    <w:p w14:paraId="0470E619">
      <w:pPr>
        <w:pStyle w:val="34"/>
        <w:numPr>
          <w:ilvl w:val="0"/>
          <w:numId w:val="12"/>
        </w:numPr>
      </w:pPr>
      <w:r>
        <w:t>Patton, A. J. (2006). Modelling asymmetric exchange rate dependence. International Economic Review, 47(2), 527-556.</w:t>
      </w:r>
    </w:p>
    <w:p w14:paraId="62184F3D">
      <w:pPr>
        <w:pStyle w:val="34"/>
        <w:numPr>
          <w:ilvl w:val="0"/>
          <w:numId w:val="12"/>
        </w:numPr>
      </w:pPr>
      <w:r>
        <w:t>Fernández, C. and Steel, M. F. J. (1998). On Bayesian modeling of fat tails and skewness. Journal of the American Statistical Association, 93(441), 359-371.</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3718576"/>
      <w:docPartObj>
        <w:docPartGallery w:val="AutoText"/>
      </w:docPartObj>
    </w:sdtPr>
    <w:sdtContent>
      <w:p w14:paraId="769F5319">
        <w:pPr>
          <w:pStyle w:val="12"/>
          <w:jc w:val="center"/>
        </w:pPr>
        <w:r>
          <w:fldChar w:fldCharType="begin"/>
        </w:r>
        <w:r>
          <w:instrText xml:space="preserve">PAGE   \* MERGEFORMAT</w:instrText>
        </w:r>
        <w:r>
          <w:fldChar w:fldCharType="separate"/>
        </w:r>
        <w:r>
          <w:rPr>
            <w:lang w:val="zh-CN"/>
          </w:rPr>
          <w:t>2</w:t>
        </w:r>
        <w:r>
          <w:fldChar w:fldCharType="end"/>
        </w:r>
      </w:p>
    </w:sdtContent>
  </w:sdt>
  <w:p w14:paraId="25C54396">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432A2"/>
    <w:multiLevelType w:val="multilevel"/>
    <w:tmpl w:val="00A432A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0A533BF8"/>
    <w:multiLevelType w:val="multilevel"/>
    <w:tmpl w:val="0A533BF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B7071FB"/>
    <w:multiLevelType w:val="multilevel"/>
    <w:tmpl w:val="0B7071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820523"/>
    <w:multiLevelType w:val="multilevel"/>
    <w:tmpl w:val="1B82052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277F6E7C"/>
    <w:multiLevelType w:val="multilevel"/>
    <w:tmpl w:val="277F6E7C"/>
    <w:lvl w:ilvl="0" w:tentative="0">
      <w:start w:val="1"/>
      <w:numFmt w:val="decimal"/>
      <w:lvlText w:val="%1)"/>
      <w:lvlJc w:val="left"/>
      <w:pPr>
        <w:ind w:left="440" w:hanging="440"/>
      </w:pPr>
      <w:rPr>
        <w:rFonts w:hint="defaul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2E425966"/>
    <w:multiLevelType w:val="multilevel"/>
    <w:tmpl w:val="2E4259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9E4FC3"/>
    <w:multiLevelType w:val="multilevel"/>
    <w:tmpl w:val="389E4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800" w:hanging="72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F815D58"/>
    <w:multiLevelType w:val="multilevel"/>
    <w:tmpl w:val="4F815D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FEE16E0"/>
    <w:multiLevelType w:val="multilevel"/>
    <w:tmpl w:val="4FEE16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117E94"/>
    <w:multiLevelType w:val="multilevel"/>
    <w:tmpl w:val="5A117E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617515F"/>
    <w:multiLevelType w:val="multilevel"/>
    <w:tmpl w:val="661751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07F7F69"/>
    <w:multiLevelType w:val="multilevel"/>
    <w:tmpl w:val="707F7F6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9"/>
  </w:num>
  <w:num w:numId="3">
    <w:abstractNumId w:val="5"/>
  </w:num>
  <w:num w:numId="4">
    <w:abstractNumId w:val="7"/>
  </w:num>
  <w:num w:numId="5">
    <w:abstractNumId w:val="8"/>
  </w:num>
  <w:num w:numId="6">
    <w:abstractNumId w:val="6"/>
  </w:num>
  <w:num w:numId="7">
    <w:abstractNumId w:val="2"/>
  </w:num>
  <w:num w:numId="8">
    <w:abstractNumId w:val="3"/>
  </w:num>
  <w:num w:numId="9">
    <w:abstractNumId w:val="4"/>
  </w:num>
  <w:num w:numId="10">
    <w:abstractNumId w:val="1"/>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D71"/>
    <w:rsid w:val="00006512"/>
    <w:rsid w:val="00033CF8"/>
    <w:rsid w:val="00065AC3"/>
    <w:rsid w:val="000A0D16"/>
    <w:rsid w:val="000C1601"/>
    <w:rsid w:val="000F23F0"/>
    <w:rsid w:val="0010732A"/>
    <w:rsid w:val="001209A3"/>
    <w:rsid w:val="001647FB"/>
    <w:rsid w:val="001B3C67"/>
    <w:rsid w:val="001C02E2"/>
    <w:rsid w:val="001E5198"/>
    <w:rsid w:val="002342AB"/>
    <w:rsid w:val="00250DD1"/>
    <w:rsid w:val="0027607E"/>
    <w:rsid w:val="002C056C"/>
    <w:rsid w:val="002E4DFA"/>
    <w:rsid w:val="00300F2B"/>
    <w:rsid w:val="0030527A"/>
    <w:rsid w:val="00306E3B"/>
    <w:rsid w:val="00315C17"/>
    <w:rsid w:val="00330712"/>
    <w:rsid w:val="00345C66"/>
    <w:rsid w:val="00362786"/>
    <w:rsid w:val="00371845"/>
    <w:rsid w:val="0037627B"/>
    <w:rsid w:val="0037773C"/>
    <w:rsid w:val="00391133"/>
    <w:rsid w:val="003A004F"/>
    <w:rsid w:val="003F00E4"/>
    <w:rsid w:val="003F4531"/>
    <w:rsid w:val="003F46FC"/>
    <w:rsid w:val="00430CB3"/>
    <w:rsid w:val="00435B22"/>
    <w:rsid w:val="004649DD"/>
    <w:rsid w:val="004948E3"/>
    <w:rsid w:val="004C2A29"/>
    <w:rsid w:val="004D71A5"/>
    <w:rsid w:val="004E6748"/>
    <w:rsid w:val="00504650"/>
    <w:rsid w:val="0050734D"/>
    <w:rsid w:val="005235F0"/>
    <w:rsid w:val="005329CB"/>
    <w:rsid w:val="005646D5"/>
    <w:rsid w:val="00587093"/>
    <w:rsid w:val="005A0504"/>
    <w:rsid w:val="005D3750"/>
    <w:rsid w:val="005E41C0"/>
    <w:rsid w:val="005F6523"/>
    <w:rsid w:val="00622E6C"/>
    <w:rsid w:val="00634430"/>
    <w:rsid w:val="00637EA5"/>
    <w:rsid w:val="0071273C"/>
    <w:rsid w:val="00713F20"/>
    <w:rsid w:val="00721562"/>
    <w:rsid w:val="00743B6E"/>
    <w:rsid w:val="00751740"/>
    <w:rsid w:val="00751EA5"/>
    <w:rsid w:val="0075722C"/>
    <w:rsid w:val="007724EE"/>
    <w:rsid w:val="00783534"/>
    <w:rsid w:val="00787B35"/>
    <w:rsid w:val="007A2188"/>
    <w:rsid w:val="007A3A8C"/>
    <w:rsid w:val="007A465F"/>
    <w:rsid w:val="007A4DDE"/>
    <w:rsid w:val="007A51F0"/>
    <w:rsid w:val="007B25AC"/>
    <w:rsid w:val="007C6020"/>
    <w:rsid w:val="007C7FFB"/>
    <w:rsid w:val="007D3828"/>
    <w:rsid w:val="007D7ED0"/>
    <w:rsid w:val="007E0E4E"/>
    <w:rsid w:val="007F6B6C"/>
    <w:rsid w:val="0080670B"/>
    <w:rsid w:val="00813A90"/>
    <w:rsid w:val="00836D5C"/>
    <w:rsid w:val="00861D69"/>
    <w:rsid w:val="00872808"/>
    <w:rsid w:val="008C5792"/>
    <w:rsid w:val="00911F09"/>
    <w:rsid w:val="00965A59"/>
    <w:rsid w:val="00966502"/>
    <w:rsid w:val="009C2243"/>
    <w:rsid w:val="00A30DC5"/>
    <w:rsid w:val="00A355BB"/>
    <w:rsid w:val="00A82A78"/>
    <w:rsid w:val="00AA2ED8"/>
    <w:rsid w:val="00AB26B7"/>
    <w:rsid w:val="00AB27AA"/>
    <w:rsid w:val="00AC678F"/>
    <w:rsid w:val="00AE1AB9"/>
    <w:rsid w:val="00AE4D81"/>
    <w:rsid w:val="00AE7D53"/>
    <w:rsid w:val="00AF01F3"/>
    <w:rsid w:val="00B00C11"/>
    <w:rsid w:val="00B01925"/>
    <w:rsid w:val="00B1510A"/>
    <w:rsid w:val="00B57967"/>
    <w:rsid w:val="00B607F2"/>
    <w:rsid w:val="00B66856"/>
    <w:rsid w:val="00B66C4C"/>
    <w:rsid w:val="00B81ED0"/>
    <w:rsid w:val="00B877CC"/>
    <w:rsid w:val="00B93D71"/>
    <w:rsid w:val="00BB3A66"/>
    <w:rsid w:val="00BC223A"/>
    <w:rsid w:val="00BD001E"/>
    <w:rsid w:val="00C36A07"/>
    <w:rsid w:val="00C40EE3"/>
    <w:rsid w:val="00C64F91"/>
    <w:rsid w:val="00C71DF8"/>
    <w:rsid w:val="00C72A79"/>
    <w:rsid w:val="00C82267"/>
    <w:rsid w:val="00CB1BAC"/>
    <w:rsid w:val="00CC335E"/>
    <w:rsid w:val="00CF0444"/>
    <w:rsid w:val="00D166A1"/>
    <w:rsid w:val="00D17FD5"/>
    <w:rsid w:val="00D443C8"/>
    <w:rsid w:val="00D76E50"/>
    <w:rsid w:val="00D839C3"/>
    <w:rsid w:val="00D94D11"/>
    <w:rsid w:val="00DF6A98"/>
    <w:rsid w:val="00E02D71"/>
    <w:rsid w:val="00E22CC8"/>
    <w:rsid w:val="00E40FF0"/>
    <w:rsid w:val="00E63AD3"/>
    <w:rsid w:val="00E8419E"/>
    <w:rsid w:val="00E91C57"/>
    <w:rsid w:val="00E92144"/>
    <w:rsid w:val="00EA746D"/>
    <w:rsid w:val="00EB25B0"/>
    <w:rsid w:val="00EE1716"/>
    <w:rsid w:val="00EE3BF6"/>
    <w:rsid w:val="00EF45CA"/>
    <w:rsid w:val="00F002D6"/>
    <w:rsid w:val="00F27D0C"/>
    <w:rsid w:val="00F41497"/>
    <w:rsid w:val="00F6271F"/>
    <w:rsid w:val="00F71953"/>
    <w:rsid w:val="00F867A9"/>
    <w:rsid w:val="00F87338"/>
    <w:rsid w:val="00F9108B"/>
    <w:rsid w:val="00F92C64"/>
    <w:rsid w:val="00FC06FB"/>
    <w:rsid w:val="00FC7828"/>
    <w:rsid w:val="00FE680B"/>
    <w:rsid w:val="00FF51EF"/>
    <w:rsid w:val="5CC97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color w:val="000000" w:themeColor="text1"/>
      <w:kern w:val="2"/>
      <w:sz w:val="28"/>
      <w:szCs w:val="22"/>
      <w:lang w:val="en-US" w:eastAsia="zh-CN" w:bidi="ar-SA"/>
      <w14:textFill>
        <w14:solidFill>
          <w14:schemeClr w14:val="tx1"/>
        </w14:solidFill>
      </w14:textFill>
    </w:rPr>
  </w:style>
  <w:style w:type="paragraph" w:styleId="2">
    <w:name w:val="heading 1"/>
    <w:basedOn w:val="1"/>
    <w:next w:val="1"/>
    <w:link w:val="21"/>
    <w:qFormat/>
    <w:uiPriority w:val="9"/>
    <w:pPr>
      <w:keepNext/>
      <w:keepLines/>
      <w:spacing w:before="480" w:after="80"/>
      <w:outlineLvl w:val="0"/>
    </w:pPr>
    <w:rPr>
      <w:rFonts w:eastAsia="黑体" w:asciiTheme="majorHAnsi" w:hAnsiTheme="majorHAnsi" w:cstheme="majorBidi"/>
      <w:sz w:val="36"/>
      <w:szCs w:val="48"/>
    </w:rPr>
  </w:style>
  <w:style w:type="paragraph" w:styleId="3">
    <w:name w:val="heading 2"/>
    <w:basedOn w:val="1"/>
    <w:next w:val="1"/>
    <w:link w:val="22"/>
    <w:unhideWhenUsed/>
    <w:qFormat/>
    <w:uiPriority w:val="9"/>
    <w:pPr>
      <w:keepNext/>
      <w:keepLines/>
      <w:spacing w:before="160" w:after="80"/>
      <w:outlineLvl w:val="1"/>
    </w:pPr>
    <w:rPr>
      <w:rFonts w:eastAsia="黑体" w:cstheme="majorBidi"/>
      <w:sz w:val="32"/>
      <w:szCs w:val="40"/>
    </w:rPr>
  </w:style>
  <w:style w:type="paragraph" w:styleId="4">
    <w:name w:val="heading 3"/>
    <w:basedOn w:val="1"/>
    <w:next w:val="1"/>
    <w:link w:val="23"/>
    <w:unhideWhenUsed/>
    <w:qFormat/>
    <w:uiPriority w:val="9"/>
    <w:pPr>
      <w:keepNext/>
      <w:keepLines/>
      <w:spacing w:before="160" w:after="80"/>
      <w:outlineLvl w:val="2"/>
    </w:pPr>
    <w:rPr>
      <w:rFonts w:eastAsia="黑体" w:cstheme="majorBidi"/>
      <w:sz w:val="30"/>
      <w:szCs w:val="32"/>
    </w:rPr>
  </w:style>
  <w:style w:type="paragraph" w:styleId="5">
    <w:name w:val="heading 4"/>
    <w:basedOn w:val="1"/>
    <w:next w:val="1"/>
    <w:link w:val="24"/>
    <w:unhideWhenUsed/>
    <w:qFormat/>
    <w:uiPriority w:val="9"/>
    <w:pPr>
      <w:keepNext/>
      <w:keepLines/>
      <w:spacing w:before="80" w:after="40"/>
      <w:outlineLvl w:val="3"/>
    </w:pPr>
    <w:rPr>
      <w:rFonts w:eastAsia="黑体" w:cstheme="majorBidi"/>
      <w:sz w:val="30"/>
      <w:szCs w:val="28"/>
    </w:rPr>
  </w:style>
  <w:style w:type="paragraph" w:styleId="6">
    <w:name w:val="heading 5"/>
    <w:basedOn w:val="1"/>
    <w:next w:val="1"/>
    <w:link w:val="25"/>
    <w:unhideWhenUsed/>
    <w:qFormat/>
    <w:uiPriority w:val="9"/>
    <w:pPr>
      <w:keepNext/>
      <w:keepLines/>
      <w:spacing w:before="80" w:after="40"/>
      <w:outlineLvl w:val="4"/>
    </w:pPr>
    <w:rPr>
      <w:rFonts w:cstheme="majorBidi"/>
      <w:b/>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40"/>
    <w:unhideWhenUsed/>
    <w:uiPriority w:val="99"/>
    <w:pPr>
      <w:tabs>
        <w:tab w:val="center" w:pos="4153"/>
        <w:tab w:val="right" w:pos="8306"/>
      </w:tabs>
      <w:snapToGrid w:val="0"/>
      <w:spacing w:line="240" w:lineRule="auto"/>
      <w:jc w:val="left"/>
    </w:pPr>
    <w:rPr>
      <w:sz w:val="18"/>
      <w:szCs w:val="18"/>
    </w:rPr>
  </w:style>
  <w:style w:type="paragraph" w:styleId="13">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5">
    <w:name w:val="Normal (Web)"/>
    <w:basedOn w:val="1"/>
    <w:semiHidden/>
    <w:unhideWhenUsed/>
    <w:uiPriority w:val="99"/>
    <w:pPr>
      <w:widowControl/>
      <w:spacing w:before="100" w:beforeAutospacing="1" w:after="100" w:afterAutospacing="1" w:line="240" w:lineRule="auto"/>
      <w:jc w:val="left"/>
    </w:pPr>
    <w:rPr>
      <w:rFonts w:ascii="宋体" w:hAnsi="宋体" w:cs="宋体"/>
      <w:color w:val="auto"/>
      <w:kern w:val="0"/>
      <w:sz w:val="24"/>
      <w:szCs w:val="24"/>
    </w:rPr>
  </w:style>
  <w:style w:type="paragraph" w:styleId="16">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customStyle="1" w:styleId="21">
    <w:name w:val="标题 1 字符"/>
    <w:basedOn w:val="19"/>
    <w:link w:val="2"/>
    <w:uiPriority w:val="9"/>
    <w:rPr>
      <w:rFonts w:eastAsia="黑体" w:asciiTheme="majorHAnsi" w:hAnsiTheme="majorHAnsi" w:cstheme="majorBidi"/>
      <w:color w:val="000000" w:themeColor="text1"/>
      <w:sz w:val="36"/>
      <w:szCs w:val="48"/>
      <w14:textFill>
        <w14:solidFill>
          <w14:schemeClr w14:val="tx1"/>
        </w14:solidFill>
      </w14:textFill>
    </w:rPr>
  </w:style>
  <w:style w:type="character" w:customStyle="1" w:styleId="22">
    <w:name w:val="标题 2 字符"/>
    <w:basedOn w:val="19"/>
    <w:link w:val="3"/>
    <w:uiPriority w:val="9"/>
    <w:rPr>
      <w:rFonts w:ascii="Times New Roman" w:hAnsi="Times New Roman" w:eastAsia="黑体" w:cstheme="majorBidi"/>
      <w:color w:val="000000" w:themeColor="text1"/>
      <w:sz w:val="32"/>
      <w:szCs w:val="40"/>
      <w14:textFill>
        <w14:solidFill>
          <w14:schemeClr w14:val="tx1"/>
        </w14:solidFill>
      </w14:textFill>
    </w:rPr>
  </w:style>
  <w:style w:type="character" w:customStyle="1" w:styleId="23">
    <w:name w:val="标题 3 字符"/>
    <w:basedOn w:val="19"/>
    <w:link w:val="4"/>
    <w:uiPriority w:val="9"/>
    <w:rPr>
      <w:rFonts w:ascii="Times New Roman" w:hAnsi="Times New Roman" w:eastAsia="黑体" w:cstheme="majorBidi"/>
      <w:color w:val="000000" w:themeColor="text1"/>
      <w:sz w:val="30"/>
      <w:szCs w:val="32"/>
      <w14:textFill>
        <w14:solidFill>
          <w14:schemeClr w14:val="tx1"/>
        </w14:solidFill>
      </w14:textFill>
    </w:rPr>
  </w:style>
  <w:style w:type="character" w:customStyle="1" w:styleId="24">
    <w:name w:val="标题 4 字符"/>
    <w:basedOn w:val="19"/>
    <w:link w:val="5"/>
    <w:uiPriority w:val="9"/>
    <w:rPr>
      <w:rFonts w:ascii="Times New Roman" w:hAnsi="Times New Roman" w:eastAsia="黑体" w:cstheme="majorBidi"/>
      <w:color w:val="000000" w:themeColor="text1"/>
      <w:sz w:val="30"/>
      <w:szCs w:val="28"/>
      <w14:textFill>
        <w14:solidFill>
          <w14:schemeClr w14:val="tx1"/>
        </w14:solidFill>
      </w14:textFill>
    </w:rPr>
  </w:style>
  <w:style w:type="character" w:customStyle="1" w:styleId="25">
    <w:name w:val="标题 5 字符"/>
    <w:basedOn w:val="19"/>
    <w:link w:val="6"/>
    <w:uiPriority w:val="9"/>
    <w:rPr>
      <w:rFonts w:ascii="Times New Roman" w:hAnsi="Times New Roman" w:eastAsia="宋体" w:cstheme="majorBidi"/>
      <w:b/>
      <w:color w:val="000000" w:themeColor="text1"/>
      <w:sz w:val="28"/>
      <w:szCs w:val="24"/>
      <w14:textFill>
        <w14:solidFill>
          <w14:schemeClr w14:val="tx1"/>
        </w14:solidFill>
      </w14:textFill>
    </w:rPr>
  </w:style>
  <w:style w:type="character" w:customStyle="1" w:styleId="26">
    <w:name w:val="标题 6 字符"/>
    <w:basedOn w:val="19"/>
    <w:link w:val="7"/>
    <w:semiHidden/>
    <w:uiPriority w:val="9"/>
    <w:rPr>
      <w:rFonts w:cstheme="majorBidi"/>
      <w:b/>
      <w:bCs/>
      <w:color w:val="2F5597" w:themeColor="accent1" w:themeShade="BF"/>
    </w:rPr>
  </w:style>
  <w:style w:type="character" w:customStyle="1" w:styleId="27">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6"/>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9"/>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9"/>
    <w:link w:val="36"/>
    <w:uiPriority w:val="30"/>
    <w:rPr>
      <w:i/>
      <w:iCs/>
      <w:color w:val="2F5597" w:themeColor="accent1" w:themeShade="BF"/>
    </w:rPr>
  </w:style>
  <w:style w:type="character" w:customStyle="1" w:styleId="38">
    <w:name w:val="Intense Reference"/>
    <w:basedOn w:val="19"/>
    <w:qFormat/>
    <w:uiPriority w:val="32"/>
    <w:rPr>
      <w:b/>
      <w:bCs/>
      <w:smallCaps/>
      <w:color w:val="2F5597" w:themeColor="accent1" w:themeShade="BF"/>
      <w:spacing w:val="5"/>
    </w:rPr>
  </w:style>
  <w:style w:type="character" w:customStyle="1" w:styleId="39">
    <w:name w:val="页眉 字符"/>
    <w:basedOn w:val="19"/>
    <w:link w:val="13"/>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40">
    <w:name w:val="页脚 字符"/>
    <w:basedOn w:val="19"/>
    <w:link w:val="12"/>
    <w:uiPriority w:val="99"/>
    <w:rPr>
      <w:rFonts w:ascii="Times New Roman" w:hAnsi="Times New Roman" w:eastAsia="宋体"/>
      <w:color w:val="000000" w:themeColor="text1"/>
      <w:sz w:val="18"/>
      <w:szCs w:val="18"/>
      <w14:textFill>
        <w14:solidFill>
          <w14:schemeClr w14:val="tx1"/>
        </w14:solidFill>
      </w14:textFill>
    </w:rPr>
  </w:style>
  <w:style w:type="table" w:customStyle="1" w:styleId="41">
    <w:name w:val="样式1"/>
    <w:basedOn w:val="17"/>
    <w:uiPriority w:val="99"/>
    <w:rPr>
      <w:rFonts w:ascii="Times New Roman" w:hAnsi="Times New Roman" w:eastAsia="宋体"/>
    </w:rPr>
    <w:tblPr>
      <w:tblBorders>
        <w:top w:val="single" w:color="auto" w:sz="12" w:space="0"/>
        <w:bottom w:val="single" w:color="auto" w:sz="12" w:space="0"/>
      </w:tblBorders>
    </w:tblPr>
  </w:style>
  <w:style w:type="paragraph" w:styleId="42">
    <w:name w:val="No Spacing"/>
    <w:qFormat/>
    <w:uiPriority w:val="1"/>
    <w:pPr>
      <w:widowControl w:val="0"/>
      <w:jc w:val="both"/>
    </w:pPr>
    <w:rPr>
      <w:rFonts w:ascii="Times New Roman" w:hAnsi="Times New Roman" w:eastAsia="宋体" w:cstheme="minorBidi"/>
      <w:color w:val="000000" w:themeColor="text1"/>
      <w:kern w:val="2"/>
      <w:sz w:val="28"/>
      <w:szCs w:val="22"/>
      <w:lang w:val="en-US" w:eastAsia="zh-CN" w:bidi="ar-SA"/>
      <w14:textFill>
        <w14:solidFill>
          <w14:schemeClr w14:val="tx1"/>
        </w14:solidFill>
      </w14:textFill>
    </w:rPr>
  </w:style>
  <w:style w:type="paragraph" w:customStyle="1" w:styleId="43">
    <w:name w:val="表格"/>
    <w:basedOn w:val="1"/>
    <w:link w:val="44"/>
    <w:qFormat/>
    <w:uiPriority w:val="0"/>
    <w:pPr>
      <w:widowControl/>
      <w:spacing w:line="240" w:lineRule="auto"/>
      <w:jc w:val="left"/>
    </w:pPr>
    <w:rPr>
      <w:sz w:val="24"/>
      <w:szCs w:val="24"/>
    </w:rPr>
  </w:style>
  <w:style w:type="character" w:customStyle="1" w:styleId="44">
    <w:name w:val="表格 字符"/>
    <w:basedOn w:val="19"/>
    <w:link w:val="43"/>
    <w:uiPriority w:val="0"/>
    <w:rPr>
      <w:rFonts w:ascii="Times New Roman" w:hAnsi="Times New Roman" w:eastAsia="宋体"/>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9" Type="http://schemas.openxmlformats.org/officeDocument/2006/relationships/image" Target="media/image40.wmf"/><Relationship Id="rId98" Type="http://schemas.openxmlformats.org/officeDocument/2006/relationships/oleObject" Target="embeddings/oleObject48.bin"/><Relationship Id="rId97" Type="http://schemas.openxmlformats.org/officeDocument/2006/relationships/image" Target="media/image39.wmf"/><Relationship Id="rId96" Type="http://schemas.openxmlformats.org/officeDocument/2006/relationships/oleObject" Target="embeddings/oleObject47.bin"/><Relationship Id="rId95" Type="http://schemas.openxmlformats.org/officeDocument/2006/relationships/image" Target="media/image38.wmf"/><Relationship Id="rId94" Type="http://schemas.openxmlformats.org/officeDocument/2006/relationships/oleObject" Target="embeddings/oleObject46.bin"/><Relationship Id="rId93" Type="http://schemas.openxmlformats.org/officeDocument/2006/relationships/oleObject" Target="embeddings/oleObject45.bin"/><Relationship Id="rId92" Type="http://schemas.openxmlformats.org/officeDocument/2006/relationships/image" Target="media/image37.wmf"/><Relationship Id="rId91" Type="http://schemas.openxmlformats.org/officeDocument/2006/relationships/oleObject" Target="embeddings/oleObject44.bin"/><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microsoft.com/office/2007/relationships/diagramDrawing" Target="diagrams/drawing1.xml"/><Relationship Id="rId88" Type="http://schemas.openxmlformats.org/officeDocument/2006/relationships/diagramColors" Target="diagrams/colors1.xml"/><Relationship Id="rId87" Type="http://schemas.openxmlformats.org/officeDocument/2006/relationships/diagramQuickStyle" Target="diagrams/quickStyle1.xml"/><Relationship Id="rId86" Type="http://schemas.openxmlformats.org/officeDocument/2006/relationships/diagramLayout" Target="diagrams/layout1.xml"/><Relationship Id="rId85" Type="http://schemas.openxmlformats.org/officeDocument/2006/relationships/diagramData" Target="diagrams/data1.xml"/><Relationship Id="rId84" Type="http://schemas.openxmlformats.org/officeDocument/2006/relationships/image" Target="media/image36.wmf"/><Relationship Id="rId83" Type="http://schemas.openxmlformats.org/officeDocument/2006/relationships/oleObject" Target="embeddings/oleObject42.bin"/><Relationship Id="rId82" Type="http://schemas.openxmlformats.org/officeDocument/2006/relationships/image" Target="media/image35.wmf"/><Relationship Id="rId81" Type="http://schemas.openxmlformats.org/officeDocument/2006/relationships/oleObject" Target="embeddings/oleObject41.bin"/><Relationship Id="rId80" Type="http://schemas.openxmlformats.org/officeDocument/2006/relationships/image" Target="media/image34.wmf"/><Relationship Id="rId8" Type="http://schemas.openxmlformats.org/officeDocument/2006/relationships/image" Target="media/image1.wmf"/><Relationship Id="rId79" Type="http://schemas.openxmlformats.org/officeDocument/2006/relationships/oleObject" Target="embeddings/oleObject40.bin"/><Relationship Id="rId78" Type="http://schemas.openxmlformats.org/officeDocument/2006/relationships/image" Target="media/image33.wmf"/><Relationship Id="rId77" Type="http://schemas.openxmlformats.org/officeDocument/2006/relationships/oleObject" Target="embeddings/oleObject39.bin"/><Relationship Id="rId76" Type="http://schemas.openxmlformats.org/officeDocument/2006/relationships/image" Target="media/image32.wmf"/><Relationship Id="rId75" Type="http://schemas.openxmlformats.org/officeDocument/2006/relationships/oleObject" Target="embeddings/oleObject38.bin"/><Relationship Id="rId74" Type="http://schemas.openxmlformats.org/officeDocument/2006/relationships/image" Target="media/image31.wmf"/><Relationship Id="rId73" Type="http://schemas.openxmlformats.org/officeDocument/2006/relationships/oleObject" Target="embeddings/oleObject37.bin"/><Relationship Id="rId72" Type="http://schemas.openxmlformats.org/officeDocument/2006/relationships/image" Target="media/image30.wmf"/><Relationship Id="rId71" Type="http://schemas.openxmlformats.org/officeDocument/2006/relationships/oleObject" Target="embeddings/oleObject36.bin"/><Relationship Id="rId70" Type="http://schemas.openxmlformats.org/officeDocument/2006/relationships/image" Target="media/image29.wmf"/><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oleObject" Target="embeddings/oleObject34.bin"/><Relationship Id="rId67" Type="http://schemas.openxmlformats.org/officeDocument/2006/relationships/image" Target="media/image28.wmf"/><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image" Target="media/image27.wmf"/><Relationship Id="rId63" Type="http://schemas.openxmlformats.org/officeDocument/2006/relationships/oleObject" Target="embeddings/oleObject31.bin"/><Relationship Id="rId62" Type="http://schemas.openxmlformats.org/officeDocument/2006/relationships/oleObject" Target="embeddings/oleObject30.bin"/><Relationship Id="rId61" Type="http://schemas.openxmlformats.org/officeDocument/2006/relationships/image" Target="media/image26.wmf"/><Relationship Id="rId60" Type="http://schemas.openxmlformats.org/officeDocument/2006/relationships/oleObject" Target="embeddings/oleObject29.bin"/><Relationship Id="rId6" Type="http://schemas.openxmlformats.org/officeDocument/2006/relationships/theme" Target="theme/theme1.xml"/><Relationship Id="rId59" Type="http://schemas.openxmlformats.org/officeDocument/2006/relationships/image" Target="media/image25.wmf"/><Relationship Id="rId58" Type="http://schemas.openxmlformats.org/officeDocument/2006/relationships/oleObject" Target="embeddings/oleObject28.bin"/><Relationship Id="rId57" Type="http://schemas.openxmlformats.org/officeDocument/2006/relationships/image" Target="media/image24.wmf"/><Relationship Id="rId56" Type="http://schemas.openxmlformats.org/officeDocument/2006/relationships/oleObject" Target="embeddings/oleObject27.bin"/><Relationship Id="rId55" Type="http://schemas.openxmlformats.org/officeDocument/2006/relationships/image" Target="media/image23.wmf"/><Relationship Id="rId54" Type="http://schemas.openxmlformats.org/officeDocument/2006/relationships/oleObject" Target="embeddings/oleObject26.bin"/><Relationship Id="rId53" Type="http://schemas.openxmlformats.org/officeDocument/2006/relationships/image" Target="media/image22.wmf"/><Relationship Id="rId52" Type="http://schemas.openxmlformats.org/officeDocument/2006/relationships/oleObject" Target="embeddings/oleObject25.bin"/><Relationship Id="rId51" Type="http://schemas.openxmlformats.org/officeDocument/2006/relationships/image" Target="media/image21.wmf"/><Relationship Id="rId50" Type="http://schemas.openxmlformats.org/officeDocument/2006/relationships/oleObject" Target="embeddings/oleObject24.bin"/><Relationship Id="rId5" Type="http://schemas.openxmlformats.org/officeDocument/2006/relationships/footer" Target="footer1.xml"/><Relationship Id="rId49" Type="http://schemas.openxmlformats.org/officeDocument/2006/relationships/image" Target="media/image20.wmf"/><Relationship Id="rId48" Type="http://schemas.openxmlformats.org/officeDocument/2006/relationships/oleObject" Target="embeddings/oleObject23.bin"/><Relationship Id="rId47" Type="http://schemas.openxmlformats.org/officeDocument/2006/relationships/image" Target="media/image19.wmf"/><Relationship Id="rId46" Type="http://schemas.openxmlformats.org/officeDocument/2006/relationships/oleObject" Target="embeddings/oleObject22.bin"/><Relationship Id="rId45" Type="http://schemas.openxmlformats.org/officeDocument/2006/relationships/image" Target="media/image18.wmf"/><Relationship Id="rId44" Type="http://schemas.openxmlformats.org/officeDocument/2006/relationships/oleObject" Target="embeddings/oleObject21.bin"/><Relationship Id="rId43" Type="http://schemas.openxmlformats.org/officeDocument/2006/relationships/image" Target="media/image17.wmf"/><Relationship Id="rId42" Type="http://schemas.openxmlformats.org/officeDocument/2006/relationships/oleObject" Target="embeddings/oleObject20.bin"/><Relationship Id="rId41" Type="http://schemas.openxmlformats.org/officeDocument/2006/relationships/image" Target="media/image16.wmf"/><Relationship Id="rId40" Type="http://schemas.openxmlformats.org/officeDocument/2006/relationships/oleObject" Target="embeddings/oleObject19.bin"/><Relationship Id="rId4" Type="http://schemas.openxmlformats.org/officeDocument/2006/relationships/endnotes" Target="endnotes.xml"/><Relationship Id="rId39" Type="http://schemas.openxmlformats.org/officeDocument/2006/relationships/image" Target="media/image15.wmf"/><Relationship Id="rId38" Type="http://schemas.openxmlformats.org/officeDocument/2006/relationships/oleObject" Target="embeddings/oleObject18.bin"/><Relationship Id="rId37" Type="http://schemas.openxmlformats.org/officeDocument/2006/relationships/image" Target="media/image14.wmf"/><Relationship Id="rId36" Type="http://schemas.openxmlformats.org/officeDocument/2006/relationships/oleObject" Target="embeddings/oleObject17.bin"/><Relationship Id="rId35" Type="http://schemas.openxmlformats.org/officeDocument/2006/relationships/image" Target="media/image13.wmf"/><Relationship Id="rId34" Type="http://schemas.openxmlformats.org/officeDocument/2006/relationships/oleObject" Target="embeddings/oleObject16.bin"/><Relationship Id="rId33" Type="http://schemas.openxmlformats.org/officeDocument/2006/relationships/image" Target="media/image12.wmf"/><Relationship Id="rId32" Type="http://schemas.openxmlformats.org/officeDocument/2006/relationships/oleObject" Target="embeddings/oleObject15.bin"/><Relationship Id="rId31" Type="http://schemas.openxmlformats.org/officeDocument/2006/relationships/image" Target="media/image11.wmf"/><Relationship Id="rId30" Type="http://schemas.openxmlformats.org/officeDocument/2006/relationships/oleObject" Target="embeddings/oleObject14.bin"/><Relationship Id="rId3" Type="http://schemas.openxmlformats.org/officeDocument/2006/relationships/footnotes" Target="footnotes.xml"/><Relationship Id="rId29" Type="http://schemas.openxmlformats.org/officeDocument/2006/relationships/image" Target="media/image10.wmf"/><Relationship Id="rId28" Type="http://schemas.openxmlformats.org/officeDocument/2006/relationships/oleObject" Target="embeddings/oleObject13.bin"/><Relationship Id="rId27" Type="http://schemas.openxmlformats.org/officeDocument/2006/relationships/image" Target="media/image9.wmf"/><Relationship Id="rId26" Type="http://schemas.openxmlformats.org/officeDocument/2006/relationships/oleObject" Target="embeddings/oleObject12.bin"/><Relationship Id="rId25" Type="http://schemas.openxmlformats.org/officeDocument/2006/relationships/image" Target="media/image8.wmf"/><Relationship Id="rId24" Type="http://schemas.openxmlformats.org/officeDocument/2006/relationships/oleObject" Target="embeddings/oleObject11.bin"/><Relationship Id="rId23" Type="http://schemas.openxmlformats.org/officeDocument/2006/relationships/image" Target="media/image7.wmf"/><Relationship Id="rId229" Type="http://schemas.openxmlformats.org/officeDocument/2006/relationships/fontTable" Target="fontTable.xml"/><Relationship Id="rId228" Type="http://schemas.openxmlformats.org/officeDocument/2006/relationships/customXml" Target="../customXml/item1.xml"/><Relationship Id="rId227" Type="http://schemas.openxmlformats.org/officeDocument/2006/relationships/numbering" Target="numbering.xml"/><Relationship Id="rId226" Type="http://schemas.openxmlformats.org/officeDocument/2006/relationships/image" Target="media/image116.png"/><Relationship Id="rId225" Type="http://schemas.openxmlformats.org/officeDocument/2006/relationships/image" Target="media/image115.png"/><Relationship Id="rId224" Type="http://schemas.openxmlformats.org/officeDocument/2006/relationships/image" Target="media/image114.png"/><Relationship Id="rId223" Type="http://schemas.openxmlformats.org/officeDocument/2006/relationships/image" Target="media/image113.png"/><Relationship Id="rId222" Type="http://schemas.openxmlformats.org/officeDocument/2006/relationships/image" Target="media/image112.png"/><Relationship Id="rId221" Type="http://schemas.openxmlformats.org/officeDocument/2006/relationships/image" Target="media/image111.png"/><Relationship Id="rId220" Type="http://schemas.openxmlformats.org/officeDocument/2006/relationships/image" Target="media/image110.png"/><Relationship Id="rId22" Type="http://schemas.openxmlformats.org/officeDocument/2006/relationships/oleObject" Target="embeddings/oleObject10.bin"/><Relationship Id="rId219" Type="http://schemas.openxmlformats.org/officeDocument/2006/relationships/image" Target="media/image109.png"/><Relationship Id="rId218" Type="http://schemas.openxmlformats.org/officeDocument/2006/relationships/image" Target="media/image108.png"/><Relationship Id="rId217" Type="http://schemas.openxmlformats.org/officeDocument/2006/relationships/image" Target="media/image107.png"/><Relationship Id="rId216" Type="http://schemas.openxmlformats.org/officeDocument/2006/relationships/image" Target="media/image106.png"/><Relationship Id="rId215" Type="http://schemas.openxmlformats.org/officeDocument/2006/relationships/image" Target="media/image105.png"/><Relationship Id="rId214" Type="http://schemas.openxmlformats.org/officeDocument/2006/relationships/image" Target="media/image104.png"/><Relationship Id="rId213" Type="http://schemas.openxmlformats.org/officeDocument/2006/relationships/image" Target="media/image103.jpeg"/><Relationship Id="rId212" Type="http://schemas.openxmlformats.org/officeDocument/2006/relationships/image" Target="media/image102.wmf"/><Relationship Id="rId211" Type="http://schemas.openxmlformats.org/officeDocument/2006/relationships/oleObject" Target="embeddings/oleObject94.bin"/><Relationship Id="rId210" Type="http://schemas.openxmlformats.org/officeDocument/2006/relationships/image" Target="media/image101.wmf"/><Relationship Id="rId21" Type="http://schemas.openxmlformats.org/officeDocument/2006/relationships/oleObject" Target="embeddings/oleObject9.bin"/><Relationship Id="rId209" Type="http://schemas.openxmlformats.org/officeDocument/2006/relationships/oleObject" Target="embeddings/oleObject93.bin"/><Relationship Id="rId208" Type="http://schemas.openxmlformats.org/officeDocument/2006/relationships/image" Target="media/image100.png"/><Relationship Id="rId207" Type="http://schemas.openxmlformats.org/officeDocument/2006/relationships/image" Target="media/image99.png"/><Relationship Id="rId206" Type="http://schemas.openxmlformats.org/officeDocument/2006/relationships/image" Target="media/image98.png"/><Relationship Id="rId205" Type="http://schemas.openxmlformats.org/officeDocument/2006/relationships/image" Target="media/image97.png"/><Relationship Id="rId204" Type="http://schemas.openxmlformats.org/officeDocument/2006/relationships/image" Target="media/image96.png"/><Relationship Id="rId203" Type="http://schemas.openxmlformats.org/officeDocument/2006/relationships/image" Target="media/image95.wmf"/><Relationship Id="rId202" Type="http://schemas.openxmlformats.org/officeDocument/2006/relationships/oleObject" Target="embeddings/oleObject92.bin"/><Relationship Id="rId201" Type="http://schemas.openxmlformats.org/officeDocument/2006/relationships/image" Target="media/image94.png"/><Relationship Id="rId200" Type="http://schemas.openxmlformats.org/officeDocument/2006/relationships/image" Target="media/image93.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91.bin"/><Relationship Id="rId198" Type="http://schemas.openxmlformats.org/officeDocument/2006/relationships/image" Target="media/image92.wmf"/><Relationship Id="rId197" Type="http://schemas.openxmlformats.org/officeDocument/2006/relationships/oleObject" Target="embeddings/oleObject90.bin"/><Relationship Id="rId196" Type="http://schemas.openxmlformats.org/officeDocument/2006/relationships/image" Target="media/image91.wmf"/><Relationship Id="rId195" Type="http://schemas.openxmlformats.org/officeDocument/2006/relationships/oleObject" Target="embeddings/oleObject89.bin"/><Relationship Id="rId194" Type="http://schemas.openxmlformats.org/officeDocument/2006/relationships/image" Target="media/image90.wmf"/><Relationship Id="rId193" Type="http://schemas.openxmlformats.org/officeDocument/2006/relationships/oleObject" Target="embeddings/oleObject88.bin"/><Relationship Id="rId192" Type="http://schemas.openxmlformats.org/officeDocument/2006/relationships/image" Target="media/image89.wmf"/><Relationship Id="rId191" Type="http://schemas.openxmlformats.org/officeDocument/2006/relationships/oleObject" Target="embeddings/oleObject87.bin"/><Relationship Id="rId190" Type="http://schemas.openxmlformats.org/officeDocument/2006/relationships/image" Target="media/image88.wmf"/><Relationship Id="rId19" Type="http://schemas.openxmlformats.org/officeDocument/2006/relationships/oleObject" Target="embeddings/oleObject8.bin"/><Relationship Id="rId189" Type="http://schemas.openxmlformats.org/officeDocument/2006/relationships/oleObject" Target="embeddings/oleObject86.bin"/><Relationship Id="rId188" Type="http://schemas.openxmlformats.org/officeDocument/2006/relationships/oleObject" Target="embeddings/oleObject85.bin"/><Relationship Id="rId187" Type="http://schemas.openxmlformats.org/officeDocument/2006/relationships/image" Target="media/image87.wmf"/><Relationship Id="rId186" Type="http://schemas.openxmlformats.org/officeDocument/2006/relationships/oleObject" Target="embeddings/oleObject84.bin"/><Relationship Id="rId185" Type="http://schemas.openxmlformats.org/officeDocument/2006/relationships/image" Target="media/image86.wmf"/><Relationship Id="rId184" Type="http://schemas.openxmlformats.org/officeDocument/2006/relationships/oleObject" Target="embeddings/oleObject83.bin"/><Relationship Id="rId183" Type="http://schemas.openxmlformats.org/officeDocument/2006/relationships/image" Target="media/image85.wmf"/><Relationship Id="rId182" Type="http://schemas.openxmlformats.org/officeDocument/2006/relationships/oleObject" Target="embeddings/oleObject82.bin"/><Relationship Id="rId181" Type="http://schemas.openxmlformats.org/officeDocument/2006/relationships/image" Target="media/image84.wmf"/><Relationship Id="rId180" Type="http://schemas.openxmlformats.org/officeDocument/2006/relationships/oleObject" Target="embeddings/oleObject81.bin"/><Relationship Id="rId18" Type="http://schemas.openxmlformats.org/officeDocument/2006/relationships/image" Target="media/image5.wmf"/><Relationship Id="rId179" Type="http://schemas.openxmlformats.org/officeDocument/2006/relationships/image" Target="media/image83.wmf"/><Relationship Id="rId178" Type="http://schemas.openxmlformats.org/officeDocument/2006/relationships/oleObject" Target="embeddings/oleObject80.bin"/><Relationship Id="rId177" Type="http://schemas.openxmlformats.org/officeDocument/2006/relationships/image" Target="media/image82.wmf"/><Relationship Id="rId176" Type="http://schemas.openxmlformats.org/officeDocument/2006/relationships/oleObject" Target="embeddings/oleObject79.bin"/><Relationship Id="rId175" Type="http://schemas.openxmlformats.org/officeDocument/2006/relationships/image" Target="media/image81.wmf"/><Relationship Id="rId174" Type="http://schemas.openxmlformats.org/officeDocument/2006/relationships/oleObject" Target="embeddings/oleObject78.bin"/><Relationship Id="rId173" Type="http://schemas.openxmlformats.org/officeDocument/2006/relationships/image" Target="media/image80.wmf"/><Relationship Id="rId172" Type="http://schemas.openxmlformats.org/officeDocument/2006/relationships/oleObject" Target="embeddings/oleObject77.bin"/><Relationship Id="rId171" Type="http://schemas.openxmlformats.org/officeDocument/2006/relationships/image" Target="media/image79.wmf"/><Relationship Id="rId170" Type="http://schemas.openxmlformats.org/officeDocument/2006/relationships/oleObject" Target="embeddings/oleObject76.bin"/><Relationship Id="rId17" Type="http://schemas.openxmlformats.org/officeDocument/2006/relationships/oleObject" Target="embeddings/oleObject7.bin"/><Relationship Id="rId169" Type="http://schemas.openxmlformats.org/officeDocument/2006/relationships/image" Target="media/image78.wmf"/><Relationship Id="rId168" Type="http://schemas.openxmlformats.org/officeDocument/2006/relationships/oleObject" Target="embeddings/oleObject75.bin"/><Relationship Id="rId167" Type="http://schemas.openxmlformats.org/officeDocument/2006/relationships/image" Target="media/image77.wmf"/><Relationship Id="rId166" Type="http://schemas.openxmlformats.org/officeDocument/2006/relationships/oleObject" Target="embeddings/oleObject74.bin"/><Relationship Id="rId165" Type="http://schemas.openxmlformats.org/officeDocument/2006/relationships/image" Target="media/image76.wmf"/><Relationship Id="rId164" Type="http://schemas.openxmlformats.org/officeDocument/2006/relationships/oleObject" Target="embeddings/oleObject73.bin"/><Relationship Id="rId163" Type="http://schemas.openxmlformats.org/officeDocument/2006/relationships/image" Target="media/image75.wmf"/><Relationship Id="rId162" Type="http://schemas.openxmlformats.org/officeDocument/2006/relationships/oleObject" Target="embeddings/oleObject72.bin"/><Relationship Id="rId161" Type="http://schemas.openxmlformats.org/officeDocument/2006/relationships/image" Target="media/image74.wmf"/><Relationship Id="rId160" Type="http://schemas.openxmlformats.org/officeDocument/2006/relationships/oleObject" Target="embeddings/oleObject71.bin"/><Relationship Id="rId16" Type="http://schemas.openxmlformats.org/officeDocument/2006/relationships/oleObject" Target="embeddings/oleObject6.bin"/><Relationship Id="rId159" Type="http://schemas.openxmlformats.org/officeDocument/2006/relationships/image" Target="media/image73.wmf"/><Relationship Id="rId158" Type="http://schemas.openxmlformats.org/officeDocument/2006/relationships/oleObject" Target="embeddings/oleObject70.bin"/><Relationship Id="rId157" Type="http://schemas.openxmlformats.org/officeDocument/2006/relationships/image" Target="media/image72.wmf"/><Relationship Id="rId156" Type="http://schemas.openxmlformats.org/officeDocument/2006/relationships/oleObject" Target="embeddings/oleObject69.bin"/><Relationship Id="rId155" Type="http://schemas.openxmlformats.org/officeDocument/2006/relationships/oleObject" Target="embeddings/oleObject68.bin"/><Relationship Id="rId154" Type="http://schemas.openxmlformats.org/officeDocument/2006/relationships/image" Target="media/image71.wmf"/><Relationship Id="rId153" Type="http://schemas.openxmlformats.org/officeDocument/2006/relationships/oleObject" Target="embeddings/oleObject67.bin"/><Relationship Id="rId152" Type="http://schemas.openxmlformats.org/officeDocument/2006/relationships/image" Target="media/image70.wmf"/><Relationship Id="rId151" Type="http://schemas.openxmlformats.org/officeDocument/2006/relationships/oleObject" Target="embeddings/oleObject66.bin"/><Relationship Id="rId150" Type="http://schemas.openxmlformats.org/officeDocument/2006/relationships/image" Target="media/image69.wmf"/><Relationship Id="rId15" Type="http://schemas.openxmlformats.org/officeDocument/2006/relationships/oleObject" Target="embeddings/oleObject5.bin"/><Relationship Id="rId149" Type="http://schemas.openxmlformats.org/officeDocument/2006/relationships/oleObject" Target="embeddings/oleObject65.bin"/><Relationship Id="rId148" Type="http://schemas.openxmlformats.org/officeDocument/2006/relationships/image" Target="media/image68.wmf"/><Relationship Id="rId147" Type="http://schemas.openxmlformats.org/officeDocument/2006/relationships/oleObject" Target="embeddings/oleObject64.bin"/><Relationship Id="rId146" Type="http://schemas.openxmlformats.org/officeDocument/2006/relationships/image" Target="media/image67.wmf"/><Relationship Id="rId145" Type="http://schemas.openxmlformats.org/officeDocument/2006/relationships/oleObject" Target="embeddings/oleObject63.bin"/><Relationship Id="rId144" Type="http://schemas.openxmlformats.org/officeDocument/2006/relationships/image" Target="media/image66.wmf"/><Relationship Id="rId143" Type="http://schemas.openxmlformats.org/officeDocument/2006/relationships/oleObject" Target="embeddings/oleObject62.bin"/><Relationship Id="rId142" Type="http://schemas.openxmlformats.org/officeDocument/2006/relationships/image" Target="media/image65.wmf"/><Relationship Id="rId141" Type="http://schemas.openxmlformats.org/officeDocument/2006/relationships/oleObject" Target="embeddings/oleObject61.bin"/><Relationship Id="rId140" Type="http://schemas.openxmlformats.org/officeDocument/2006/relationships/image" Target="media/image64.wmf"/><Relationship Id="rId14" Type="http://schemas.openxmlformats.org/officeDocument/2006/relationships/image" Target="media/image4.wmf"/><Relationship Id="rId139" Type="http://schemas.openxmlformats.org/officeDocument/2006/relationships/oleObject" Target="embeddings/oleObject60.bin"/><Relationship Id="rId138" Type="http://schemas.openxmlformats.org/officeDocument/2006/relationships/image" Target="media/image63.wmf"/><Relationship Id="rId137" Type="http://schemas.openxmlformats.org/officeDocument/2006/relationships/oleObject" Target="embeddings/oleObject59.bin"/><Relationship Id="rId136" Type="http://schemas.openxmlformats.org/officeDocument/2006/relationships/image" Target="media/image62.wmf"/><Relationship Id="rId135" Type="http://schemas.openxmlformats.org/officeDocument/2006/relationships/oleObject" Target="embeddings/oleObject58.bin"/><Relationship Id="rId134" Type="http://schemas.openxmlformats.org/officeDocument/2006/relationships/image" Target="media/image61.wmf"/><Relationship Id="rId133" Type="http://schemas.openxmlformats.org/officeDocument/2006/relationships/oleObject" Target="embeddings/oleObject57.bin"/><Relationship Id="rId132" Type="http://schemas.openxmlformats.org/officeDocument/2006/relationships/image" Target="media/image60.wmf"/><Relationship Id="rId131" Type="http://schemas.openxmlformats.org/officeDocument/2006/relationships/oleObject" Target="embeddings/oleObject56.bin"/><Relationship Id="rId130" Type="http://schemas.openxmlformats.org/officeDocument/2006/relationships/image" Target="media/image59.wmf"/><Relationship Id="rId13" Type="http://schemas.openxmlformats.org/officeDocument/2006/relationships/oleObject" Target="embeddings/oleObject4.bin"/><Relationship Id="rId129" Type="http://schemas.openxmlformats.org/officeDocument/2006/relationships/oleObject" Target="embeddings/oleObject55.bin"/><Relationship Id="rId128" Type="http://schemas.openxmlformats.org/officeDocument/2006/relationships/image" Target="media/image58.wmf"/><Relationship Id="rId127" Type="http://schemas.openxmlformats.org/officeDocument/2006/relationships/oleObject" Target="embeddings/oleObject54.bin"/><Relationship Id="rId126" Type="http://schemas.openxmlformats.org/officeDocument/2006/relationships/image" Target="media/image57.wmf"/><Relationship Id="rId125" Type="http://schemas.openxmlformats.org/officeDocument/2006/relationships/oleObject" Target="embeddings/oleObject53.bin"/><Relationship Id="rId124" Type="http://schemas.openxmlformats.org/officeDocument/2006/relationships/image" Target="media/image56.wmf"/><Relationship Id="rId123" Type="http://schemas.openxmlformats.org/officeDocument/2006/relationships/oleObject" Target="embeddings/oleObject52.bin"/><Relationship Id="rId122" Type="http://schemas.microsoft.com/office/2007/relationships/diagramDrawing" Target="diagrams/drawing2.xml"/><Relationship Id="rId121" Type="http://schemas.openxmlformats.org/officeDocument/2006/relationships/diagramColors" Target="diagrams/colors2.xml"/><Relationship Id="rId120" Type="http://schemas.openxmlformats.org/officeDocument/2006/relationships/diagramQuickStyle" Target="diagrams/quickStyle2.xml"/><Relationship Id="rId12" Type="http://schemas.openxmlformats.org/officeDocument/2006/relationships/image" Target="media/image3.wmf"/><Relationship Id="rId119" Type="http://schemas.openxmlformats.org/officeDocument/2006/relationships/diagramLayout" Target="diagrams/layout2.xml"/><Relationship Id="rId118" Type="http://schemas.openxmlformats.org/officeDocument/2006/relationships/diagramData" Target="diagrams/data2.xml"/><Relationship Id="rId117" Type="http://schemas.openxmlformats.org/officeDocument/2006/relationships/image" Target="media/image55.png"/><Relationship Id="rId116" Type="http://schemas.openxmlformats.org/officeDocument/2006/relationships/image" Target="media/image54.png"/><Relationship Id="rId115" Type="http://schemas.openxmlformats.org/officeDocument/2006/relationships/image" Target="media/image53.png"/><Relationship Id="rId114" Type="http://schemas.openxmlformats.org/officeDocument/2006/relationships/image" Target="media/image52.png"/><Relationship Id="rId113" Type="http://schemas.openxmlformats.org/officeDocument/2006/relationships/image" Target="media/image51.png"/><Relationship Id="rId112" Type="http://schemas.openxmlformats.org/officeDocument/2006/relationships/image" Target="media/image50.png"/><Relationship Id="rId111" Type="http://schemas.openxmlformats.org/officeDocument/2006/relationships/image" Target="media/image49.png"/><Relationship Id="rId110" Type="http://schemas.openxmlformats.org/officeDocument/2006/relationships/image" Target="media/image48.png"/><Relationship Id="rId11" Type="http://schemas.openxmlformats.org/officeDocument/2006/relationships/oleObject" Target="embeddings/oleObject3.bin"/><Relationship Id="rId109" Type="http://schemas.openxmlformats.org/officeDocument/2006/relationships/image" Target="media/image47.png"/><Relationship Id="rId108" Type="http://schemas.openxmlformats.org/officeDocument/2006/relationships/image" Target="media/image46.png"/><Relationship Id="rId107" Type="http://schemas.openxmlformats.org/officeDocument/2006/relationships/image" Target="media/image45.png"/><Relationship Id="rId106" Type="http://schemas.openxmlformats.org/officeDocument/2006/relationships/image" Target="media/image44.png"/><Relationship Id="rId105" Type="http://schemas.openxmlformats.org/officeDocument/2006/relationships/image" Target="media/image43.wmf"/><Relationship Id="rId104" Type="http://schemas.openxmlformats.org/officeDocument/2006/relationships/oleObject" Target="embeddings/oleObject51.bin"/><Relationship Id="rId103" Type="http://schemas.openxmlformats.org/officeDocument/2006/relationships/image" Target="media/image42.wmf"/><Relationship Id="rId102" Type="http://schemas.openxmlformats.org/officeDocument/2006/relationships/oleObject" Target="embeddings/oleObject50.bin"/><Relationship Id="rId101" Type="http://schemas.openxmlformats.org/officeDocument/2006/relationships/image" Target="media/image41.wmf"/><Relationship Id="rId100" Type="http://schemas.openxmlformats.org/officeDocument/2006/relationships/oleObject" Target="embeddings/oleObject49.bin"/><Relationship Id="rId10" Type="http://schemas.openxmlformats.org/officeDocument/2006/relationships/image" Target="media/image2.wmf"/><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06F0927-4E02-487A-8F4E-C9CEE8B05B5D}" type="doc">
      <dgm:prSet loTypeId="urn:microsoft.com/office/officeart/2005/8/layout/process5" loCatId="process" qsTypeId="urn:microsoft.com/office/officeart/2005/8/quickstyle/simple1" qsCatId="simple" csTypeId="urn:microsoft.com/office/officeart/2005/8/colors/accent3_1" csCatId="accent3" phldr="1"/>
      <dgm:spPr/>
      <dgm:t>
        <a:bodyPr/>
        <a:p>
          <a:endParaRPr lang="zh-CN" altLang="en-US"/>
        </a:p>
      </dgm:t>
    </dgm:pt>
    <dgm:pt modelId="{FA6641B2-E17F-4F0F-87CB-7FF7C72E688F}">
      <dgm:prSet phldrT="[文本]"/>
      <dgm:spPr/>
      <dgm:t>
        <a:bodyPr/>
        <a:p>
          <a:pPr algn="just"/>
          <a:r>
            <a:rPr lang="en-US" altLang="en-US"/>
            <a:t>AKShare</a:t>
          </a:r>
          <a:r>
            <a:rPr lang="zh-CN" altLang="en-US"/>
            <a:t>原始数据 </a:t>
          </a:r>
        </a:p>
      </dgm:t>
    </dgm:pt>
    <dgm:pt modelId="{F6025BD6-8BD2-4BEF-BB15-EC857C952314}" cxnId="{EDA3C7B6-3C4A-466E-8C1C-3307585DCB03}" type="parTrans">
      <dgm:prSet/>
      <dgm:spPr/>
      <dgm:t>
        <a:bodyPr/>
        <a:p>
          <a:pPr algn="just"/>
          <a:endParaRPr lang="zh-CN" altLang="en-US"/>
        </a:p>
      </dgm:t>
    </dgm:pt>
    <dgm:pt modelId="{BE11A3C1-91B5-4795-B7D4-30D25F72E10C}" cxnId="{EDA3C7B6-3C4A-466E-8C1C-3307585DCB03}" type="sibTrans">
      <dgm:prSet/>
      <dgm:spPr/>
      <dgm:t>
        <a:bodyPr/>
        <a:p>
          <a:pPr algn="just"/>
          <a:endParaRPr lang="zh-CN" altLang="en-US"/>
        </a:p>
      </dgm:t>
    </dgm:pt>
    <dgm:pt modelId="{0B72D4D0-AE48-4DB3-BC6D-D2DC593E9A94}">
      <dgm:prSet phldrT="[文本]"/>
      <dgm:spPr/>
      <dgm:t>
        <a:bodyPr/>
        <a:p>
          <a:pPr algn="just"/>
          <a:r>
            <a:rPr lang="zh-CN" altLang="en-US"/>
            <a:t> 列名统一</a:t>
          </a:r>
        </a:p>
      </dgm:t>
    </dgm:pt>
    <dgm:pt modelId="{AD2ECBE1-DA2A-4851-A10F-61802E7EC1FE}" cxnId="{B9079523-F40F-4B67-86A4-A72E2721907C}" type="parTrans">
      <dgm:prSet/>
      <dgm:spPr/>
      <dgm:t>
        <a:bodyPr/>
        <a:p>
          <a:pPr algn="just"/>
          <a:endParaRPr lang="zh-CN" altLang="en-US"/>
        </a:p>
      </dgm:t>
    </dgm:pt>
    <dgm:pt modelId="{8A472F47-ED2E-4201-A526-59CD2F2D3ABA}" cxnId="{B9079523-F40F-4B67-86A4-A72E2721907C}" type="sibTrans">
      <dgm:prSet/>
      <dgm:spPr/>
      <dgm:t>
        <a:bodyPr/>
        <a:p>
          <a:pPr algn="just"/>
          <a:endParaRPr lang="zh-CN" altLang="en-US"/>
        </a:p>
      </dgm:t>
    </dgm:pt>
    <dgm:pt modelId="{03EDC3E6-CF7F-4FB4-AF8A-CCB5F11553E2}">
      <dgm:prSet/>
      <dgm:spPr/>
      <dgm:t>
        <a:bodyPr/>
        <a:p>
          <a:pPr algn="just"/>
          <a:r>
            <a:rPr lang="zh-CN" altLang="en-US"/>
            <a:t> 内连接对齐（共同交易日）</a:t>
          </a:r>
        </a:p>
      </dgm:t>
    </dgm:pt>
    <dgm:pt modelId="{C98DB76E-EFC9-4383-9152-588E316B38B5}" cxnId="{69789D13-5D49-46CD-BFB0-A236CC645E0D}" type="parTrans">
      <dgm:prSet/>
      <dgm:spPr/>
      <dgm:t>
        <a:bodyPr/>
        <a:p>
          <a:pPr algn="just"/>
          <a:endParaRPr lang="zh-CN" altLang="en-US"/>
        </a:p>
      </dgm:t>
    </dgm:pt>
    <dgm:pt modelId="{ACA1E783-F977-4499-B2B3-804BC96B1E36}" cxnId="{69789D13-5D49-46CD-BFB0-A236CC645E0D}" type="sibTrans">
      <dgm:prSet/>
      <dgm:spPr/>
      <dgm:t>
        <a:bodyPr/>
        <a:p>
          <a:pPr algn="just"/>
          <a:endParaRPr lang="zh-CN" altLang="en-US"/>
        </a:p>
      </dgm:t>
    </dgm:pt>
    <dgm:pt modelId="{75FD2557-06CB-4AA3-B77B-0C883E954F86}">
      <dgm:prSet/>
      <dgm:spPr/>
      <dgm:t>
        <a:bodyPr/>
        <a:p>
          <a:pPr algn="just"/>
          <a:r>
            <a:rPr lang="zh-CN" altLang="en-US"/>
            <a:t> 对数收益率计算</a:t>
          </a:r>
        </a:p>
      </dgm:t>
    </dgm:pt>
    <dgm:pt modelId="{DCB7B915-9C3D-4B16-84BC-20C31ABFF3FB}" cxnId="{25544F3C-D976-4B6A-9A5C-7597638A8583}" type="parTrans">
      <dgm:prSet/>
      <dgm:spPr/>
      <dgm:t>
        <a:bodyPr/>
        <a:p>
          <a:pPr algn="just"/>
          <a:endParaRPr lang="zh-CN" altLang="en-US"/>
        </a:p>
      </dgm:t>
    </dgm:pt>
    <dgm:pt modelId="{4E0AAF79-2E5E-4905-A45E-7950986428CE}" cxnId="{25544F3C-D976-4B6A-9A5C-7597638A8583}" type="sibTrans">
      <dgm:prSet/>
      <dgm:spPr/>
      <dgm:t>
        <a:bodyPr/>
        <a:p>
          <a:pPr algn="just"/>
          <a:endParaRPr lang="zh-CN" altLang="en-US"/>
        </a:p>
      </dgm:t>
    </dgm:pt>
    <dgm:pt modelId="{EDFB9C71-8F7B-4519-9213-368870A3997B}">
      <dgm:prSet/>
      <dgm:spPr/>
      <dgm:t>
        <a:bodyPr/>
        <a:p>
          <a:pPr algn="just"/>
          <a:r>
            <a:rPr lang="zh-CN" altLang="en-US"/>
            <a:t> 样本划分</a:t>
          </a:r>
        </a:p>
      </dgm:t>
    </dgm:pt>
    <dgm:pt modelId="{5801B048-EE39-47CA-A83B-EEB7650434D2}" cxnId="{6C2B4921-63C1-48C3-9B7F-73BA3C56C222}" type="parTrans">
      <dgm:prSet/>
      <dgm:spPr/>
      <dgm:t>
        <a:bodyPr/>
        <a:p>
          <a:pPr algn="just"/>
          <a:endParaRPr lang="zh-CN" altLang="en-US"/>
        </a:p>
      </dgm:t>
    </dgm:pt>
    <dgm:pt modelId="{3B23CBF7-9E05-4461-9A82-1832A3A43FB1}" cxnId="{6C2B4921-63C1-48C3-9B7F-73BA3C56C222}" type="sibTrans">
      <dgm:prSet/>
      <dgm:spPr/>
      <dgm:t>
        <a:bodyPr/>
        <a:p>
          <a:pPr algn="just"/>
          <a:endParaRPr lang="zh-CN" altLang="en-US"/>
        </a:p>
      </dgm:t>
    </dgm:pt>
    <dgm:pt modelId="{15DC6B49-F699-4B80-89E2-4D803A825E53}">
      <dgm:prSet phldrT="[文本]"/>
      <dgm:spPr/>
      <dgm:t>
        <a:bodyPr/>
        <a:p>
          <a:pPr algn="just"/>
          <a:r>
            <a:rPr lang="zh-CN" altLang="en-US"/>
            <a:t> 日期标准化</a:t>
          </a:r>
        </a:p>
      </dgm:t>
    </dgm:pt>
    <dgm:pt modelId="{98707FD8-7AF2-4096-A502-B66B6BEEED74}" cxnId="{111C51C6-FD86-4075-959A-98FBF747CB6D}" type="parTrans">
      <dgm:prSet/>
      <dgm:spPr/>
      <dgm:t>
        <a:bodyPr/>
        <a:p>
          <a:pPr algn="just"/>
          <a:endParaRPr lang="zh-CN" altLang="en-US"/>
        </a:p>
      </dgm:t>
    </dgm:pt>
    <dgm:pt modelId="{69997FD8-A3D0-4950-B868-78DBFB07E472}" cxnId="{111C51C6-FD86-4075-959A-98FBF747CB6D}" type="sibTrans">
      <dgm:prSet/>
      <dgm:spPr/>
      <dgm:t>
        <a:bodyPr/>
        <a:p>
          <a:pPr algn="just"/>
          <a:endParaRPr lang="zh-CN" altLang="en-US"/>
        </a:p>
      </dgm:t>
    </dgm:pt>
    <dgm:pt modelId="{B74A0A54-0EB0-42EB-91C5-14AA73EDAECB}">
      <dgm:prSet phldrT="[文本]"/>
      <dgm:spPr/>
      <dgm:t>
        <a:bodyPr/>
        <a:p>
          <a:pPr algn="just"/>
          <a:r>
            <a:rPr lang="zh-CN" altLang="en-US"/>
            <a:t>质量验证</a:t>
          </a:r>
        </a:p>
      </dgm:t>
    </dgm:pt>
    <dgm:pt modelId="{05427635-EC53-4F8F-A609-347AF753A657}" cxnId="{FD2C36BD-8D51-43E8-96B7-2F312536A2AD}" type="parTrans">
      <dgm:prSet/>
      <dgm:spPr/>
      <dgm:t>
        <a:bodyPr/>
        <a:p>
          <a:pPr algn="just"/>
          <a:endParaRPr lang="zh-CN" altLang="en-US"/>
        </a:p>
      </dgm:t>
    </dgm:pt>
    <dgm:pt modelId="{220498FD-1C0A-4283-8A42-F1BA8D6D9C04}" cxnId="{FD2C36BD-8D51-43E8-96B7-2F312536A2AD}" type="sibTrans">
      <dgm:prSet/>
      <dgm:spPr/>
      <dgm:t>
        <a:bodyPr/>
        <a:p>
          <a:pPr algn="just"/>
          <a:endParaRPr lang="zh-CN" altLang="en-US"/>
        </a:p>
      </dgm:t>
    </dgm:pt>
    <dgm:pt modelId="{DBBB4C32-1E8F-4FDD-9453-C5AB1B51C5D2}" type="pres">
      <dgm:prSet presAssocID="{F06F0927-4E02-487A-8F4E-C9CEE8B05B5D}" presName="diagram" presStyleCnt="0">
        <dgm:presLayoutVars>
          <dgm:dir/>
          <dgm:resizeHandles val="exact"/>
        </dgm:presLayoutVars>
      </dgm:prSet>
      <dgm:spPr/>
    </dgm:pt>
    <dgm:pt modelId="{6F39F79F-711B-40E1-829F-FA95F3EB957A}" type="pres">
      <dgm:prSet presAssocID="{FA6641B2-E17F-4F0F-87CB-7FF7C72E688F}" presName="node" presStyleLbl="node1" presStyleIdx="0" presStyleCnt="7">
        <dgm:presLayoutVars>
          <dgm:bulletEnabled val="1"/>
        </dgm:presLayoutVars>
      </dgm:prSet>
      <dgm:spPr/>
    </dgm:pt>
    <dgm:pt modelId="{1EBBBD88-E229-4E32-83E3-74619DCC03F1}" type="pres">
      <dgm:prSet presAssocID="{BE11A3C1-91B5-4795-B7D4-30D25F72E10C}" presName="sibTrans" presStyleLbl="sibTrans2D1" presStyleIdx="0" presStyleCnt="6"/>
      <dgm:spPr/>
    </dgm:pt>
    <dgm:pt modelId="{E60059C8-3732-433C-9C7B-2FFC4B75AA6D}" type="pres">
      <dgm:prSet presAssocID="{BE11A3C1-91B5-4795-B7D4-30D25F72E10C}" presName="connectorText" presStyleLbl="sibTrans2D1" presStyleIdx="0" presStyleCnt="6"/>
      <dgm:spPr/>
    </dgm:pt>
    <dgm:pt modelId="{9744821D-3DF2-4AD6-B157-C3B3305964CD}" type="pres">
      <dgm:prSet presAssocID="{15DC6B49-F699-4B80-89E2-4D803A825E53}" presName="node" presStyleLbl="node1" presStyleIdx="1" presStyleCnt="7">
        <dgm:presLayoutVars>
          <dgm:bulletEnabled val="1"/>
        </dgm:presLayoutVars>
      </dgm:prSet>
      <dgm:spPr/>
    </dgm:pt>
    <dgm:pt modelId="{8F2C6274-7D61-4D41-BB17-57809B5F1B06}" type="pres">
      <dgm:prSet presAssocID="{69997FD8-A3D0-4950-B868-78DBFB07E472}" presName="sibTrans" presStyleLbl="sibTrans2D1" presStyleIdx="1" presStyleCnt="6"/>
      <dgm:spPr/>
    </dgm:pt>
    <dgm:pt modelId="{0096BCA7-2A0F-4ABD-9450-965402D07AFD}" type="pres">
      <dgm:prSet presAssocID="{69997FD8-A3D0-4950-B868-78DBFB07E472}" presName="connectorText" presStyleLbl="sibTrans2D1" presStyleIdx="1" presStyleCnt="6"/>
      <dgm:spPr/>
    </dgm:pt>
    <dgm:pt modelId="{C137B629-586A-43DA-A1C4-9CD1FE52A23C}" type="pres">
      <dgm:prSet presAssocID="{0B72D4D0-AE48-4DB3-BC6D-D2DC593E9A94}" presName="node" presStyleLbl="node1" presStyleIdx="2" presStyleCnt="7">
        <dgm:presLayoutVars>
          <dgm:bulletEnabled val="1"/>
        </dgm:presLayoutVars>
      </dgm:prSet>
      <dgm:spPr/>
    </dgm:pt>
    <dgm:pt modelId="{0B934D7C-67A4-4C74-A72F-D6DAFE5547BF}" type="pres">
      <dgm:prSet presAssocID="{8A472F47-ED2E-4201-A526-59CD2F2D3ABA}" presName="sibTrans" presStyleLbl="sibTrans2D1" presStyleIdx="2" presStyleCnt="6"/>
      <dgm:spPr/>
    </dgm:pt>
    <dgm:pt modelId="{796CDA28-C42B-4E24-88E3-6412E1CB7CE8}" type="pres">
      <dgm:prSet presAssocID="{8A472F47-ED2E-4201-A526-59CD2F2D3ABA}" presName="connectorText" presStyleLbl="sibTrans2D1" presStyleIdx="2" presStyleCnt="6"/>
      <dgm:spPr/>
    </dgm:pt>
    <dgm:pt modelId="{FBA95FC1-1B6D-4947-9ED1-1E22FF4888C4}" type="pres">
      <dgm:prSet presAssocID="{B74A0A54-0EB0-42EB-91C5-14AA73EDAECB}" presName="node" presStyleLbl="node1" presStyleIdx="3" presStyleCnt="7">
        <dgm:presLayoutVars>
          <dgm:bulletEnabled val="1"/>
        </dgm:presLayoutVars>
      </dgm:prSet>
      <dgm:spPr/>
    </dgm:pt>
    <dgm:pt modelId="{7BE701BE-BD08-44FF-BCE7-76946CE17DCC}" type="pres">
      <dgm:prSet presAssocID="{220498FD-1C0A-4283-8A42-F1BA8D6D9C04}" presName="sibTrans" presStyleLbl="sibTrans2D1" presStyleIdx="3" presStyleCnt="6"/>
      <dgm:spPr/>
    </dgm:pt>
    <dgm:pt modelId="{32606847-6466-4484-8A61-896A575B4D92}" type="pres">
      <dgm:prSet presAssocID="{220498FD-1C0A-4283-8A42-F1BA8D6D9C04}" presName="connectorText" presStyleLbl="sibTrans2D1" presStyleIdx="3" presStyleCnt="6"/>
      <dgm:spPr/>
    </dgm:pt>
    <dgm:pt modelId="{A3AC5DB7-CC18-4609-9AEC-C83AE0D3D948}" type="pres">
      <dgm:prSet presAssocID="{03EDC3E6-CF7F-4FB4-AF8A-CCB5F11553E2}" presName="node" presStyleLbl="node1" presStyleIdx="4" presStyleCnt="7">
        <dgm:presLayoutVars>
          <dgm:bulletEnabled val="1"/>
        </dgm:presLayoutVars>
      </dgm:prSet>
      <dgm:spPr/>
    </dgm:pt>
    <dgm:pt modelId="{9DCA11D6-A779-4F5B-8761-EF632DA51FA6}" type="pres">
      <dgm:prSet presAssocID="{ACA1E783-F977-4499-B2B3-804BC96B1E36}" presName="sibTrans" presStyleLbl="sibTrans2D1" presStyleIdx="4" presStyleCnt="6"/>
      <dgm:spPr/>
    </dgm:pt>
    <dgm:pt modelId="{601DE280-1D16-430A-9E52-E57C6594DBC6}" type="pres">
      <dgm:prSet presAssocID="{ACA1E783-F977-4499-B2B3-804BC96B1E36}" presName="connectorText" presStyleLbl="sibTrans2D1" presStyleIdx="4" presStyleCnt="6"/>
      <dgm:spPr/>
    </dgm:pt>
    <dgm:pt modelId="{E6B16F67-6245-4F3D-A945-AF7C209851A9}" type="pres">
      <dgm:prSet presAssocID="{75FD2557-06CB-4AA3-B77B-0C883E954F86}" presName="node" presStyleLbl="node1" presStyleIdx="5" presStyleCnt="7" custLinFactNeighborX="-5287">
        <dgm:presLayoutVars>
          <dgm:bulletEnabled val="1"/>
        </dgm:presLayoutVars>
      </dgm:prSet>
      <dgm:spPr/>
    </dgm:pt>
    <dgm:pt modelId="{3097573A-AC6C-4406-B7E5-115D92B9D219}" type="pres">
      <dgm:prSet presAssocID="{4E0AAF79-2E5E-4905-A45E-7950986428CE}" presName="sibTrans" presStyleLbl="sibTrans2D1" presStyleIdx="5" presStyleCnt="6"/>
      <dgm:spPr/>
    </dgm:pt>
    <dgm:pt modelId="{6779F005-A02B-4C26-A23A-38390363EEEA}" type="pres">
      <dgm:prSet presAssocID="{4E0AAF79-2E5E-4905-A45E-7950986428CE}" presName="connectorText" presStyleLbl="sibTrans2D1" presStyleIdx="5" presStyleCnt="6"/>
      <dgm:spPr/>
    </dgm:pt>
    <dgm:pt modelId="{91CD4A83-2034-4809-83F2-4562DE54518D}" type="pres">
      <dgm:prSet presAssocID="{EDFB9C71-8F7B-4519-9213-368870A3997B}" presName="node" presStyleLbl="node1" presStyleIdx="6" presStyleCnt="7">
        <dgm:presLayoutVars>
          <dgm:bulletEnabled val="1"/>
        </dgm:presLayoutVars>
      </dgm:prSet>
      <dgm:spPr/>
    </dgm:pt>
  </dgm:ptLst>
  <dgm:cxnLst>
    <dgm:cxn modelId="{9803A905-2F88-475C-861E-D4D4DEC7820B}" type="presOf" srcId="{BE11A3C1-91B5-4795-B7D4-30D25F72E10C}" destId="{1EBBBD88-E229-4E32-83E3-74619DCC03F1}" srcOrd="0" destOrd="0" presId="urn:microsoft.com/office/officeart/2005/8/layout/process5"/>
    <dgm:cxn modelId="{894EF607-56D1-46D1-A269-557398D36844}" type="presOf" srcId="{15DC6B49-F699-4B80-89E2-4D803A825E53}" destId="{9744821D-3DF2-4AD6-B157-C3B3305964CD}" srcOrd="0" destOrd="0" presId="urn:microsoft.com/office/officeart/2005/8/layout/process5"/>
    <dgm:cxn modelId="{69789D13-5D49-46CD-BFB0-A236CC645E0D}" srcId="{F06F0927-4E02-487A-8F4E-C9CEE8B05B5D}" destId="{03EDC3E6-CF7F-4FB4-AF8A-CCB5F11553E2}" srcOrd="4" destOrd="0" parTransId="{C98DB76E-EFC9-4383-9152-588E316B38B5}" sibTransId="{ACA1E783-F977-4499-B2B3-804BC96B1E36}"/>
    <dgm:cxn modelId="{B9F6931C-0626-4DEF-9266-9926FC8BD87E}" type="presOf" srcId="{EDFB9C71-8F7B-4519-9213-368870A3997B}" destId="{91CD4A83-2034-4809-83F2-4562DE54518D}" srcOrd="0" destOrd="0" presId="urn:microsoft.com/office/officeart/2005/8/layout/process5"/>
    <dgm:cxn modelId="{6C2B4921-63C1-48C3-9B7F-73BA3C56C222}" srcId="{F06F0927-4E02-487A-8F4E-C9CEE8B05B5D}" destId="{EDFB9C71-8F7B-4519-9213-368870A3997B}" srcOrd="6" destOrd="0" parTransId="{5801B048-EE39-47CA-A83B-EEB7650434D2}" sibTransId="{3B23CBF7-9E05-4461-9A82-1832A3A43FB1}"/>
    <dgm:cxn modelId="{B9079523-F40F-4B67-86A4-A72E2721907C}" srcId="{F06F0927-4E02-487A-8F4E-C9CEE8B05B5D}" destId="{0B72D4D0-AE48-4DB3-BC6D-D2DC593E9A94}" srcOrd="2" destOrd="0" parTransId="{AD2ECBE1-DA2A-4851-A10F-61802E7EC1FE}" sibTransId="{8A472F47-ED2E-4201-A526-59CD2F2D3ABA}"/>
    <dgm:cxn modelId="{B67CA62A-B049-4EB1-BA94-2BA26C388086}" type="presOf" srcId="{4E0AAF79-2E5E-4905-A45E-7950986428CE}" destId="{3097573A-AC6C-4406-B7E5-115D92B9D219}" srcOrd="0" destOrd="0" presId="urn:microsoft.com/office/officeart/2005/8/layout/process5"/>
    <dgm:cxn modelId="{25544F3C-D976-4B6A-9A5C-7597638A8583}" srcId="{F06F0927-4E02-487A-8F4E-C9CEE8B05B5D}" destId="{75FD2557-06CB-4AA3-B77B-0C883E954F86}" srcOrd="5" destOrd="0" parTransId="{DCB7B915-9C3D-4B16-84BC-20C31ABFF3FB}" sibTransId="{4E0AAF79-2E5E-4905-A45E-7950986428CE}"/>
    <dgm:cxn modelId="{8B26AC40-6C2E-4D47-A6BF-8514D5E694E9}" type="presOf" srcId="{0B72D4D0-AE48-4DB3-BC6D-D2DC593E9A94}" destId="{C137B629-586A-43DA-A1C4-9CD1FE52A23C}" srcOrd="0" destOrd="0" presId="urn:microsoft.com/office/officeart/2005/8/layout/process5"/>
    <dgm:cxn modelId="{F646FE4B-26F9-4DFD-8880-F063D8572713}" type="presOf" srcId="{69997FD8-A3D0-4950-B868-78DBFB07E472}" destId="{8F2C6274-7D61-4D41-BB17-57809B5F1B06}" srcOrd="0" destOrd="0" presId="urn:microsoft.com/office/officeart/2005/8/layout/process5"/>
    <dgm:cxn modelId="{0A271959-5B5C-4269-B477-3B2F51C86310}" type="presOf" srcId="{8A472F47-ED2E-4201-A526-59CD2F2D3ABA}" destId="{796CDA28-C42B-4E24-88E3-6412E1CB7CE8}" srcOrd="1" destOrd="0" presId="urn:microsoft.com/office/officeart/2005/8/layout/process5"/>
    <dgm:cxn modelId="{ABD86659-EC5D-40C5-A649-F92CC369A2B5}" type="presOf" srcId="{B74A0A54-0EB0-42EB-91C5-14AA73EDAECB}" destId="{FBA95FC1-1B6D-4947-9ED1-1E22FF4888C4}" srcOrd="0" destOrd="0" presId="urn:microsoft.com/office/officeart/2005/8/layout/process5"/>
    <dgm:cxn modelId="{1E81407A-D095-477C-82AA-07EE8C4DACB3}" type="presOf" srcId="{69997FD8-A3D0-4950-B868-78DBFB07E472}" destId="{0096BCA7-2A0F-4ABD-9450-965402D07AFD}" srcOrd="1" destOrd="0" presId="urn:microsoft.com/office/officeart/2005/8/layout/process5"/>
    <dgm:cxn modelId="{9C64E97C-252E-476A-A271-91B0737F4120}" type="presOf" srcId="{75FD2557-06CB-4AA3-B77B-0C883E954F86}" destId="{E6B16F67-6245-4F3D-A945-AF7C209851A9}" srcOrd="0" destOrd="0" presId="urn:microsoft.com/office/officeart/2005/8/layout/process5"/>
    <dgm:cxn modelId="{7656CE7D-B9B8-4433-9B88-F299723422C6}" type="presOf" srcId="{4E0AAF79-2E5E-4905-A45E-7950986428CE}" destId="{6779F005-A02B-4C26-A23A-38390363EEEA}" srcOrd="1" destOrd="0" presId="urn:microsoft.com/office/officeart/2005/8/layout/process5"/>
    <dgm:cxn modelId="{F86D407E-EBE5-460C-90E2-C29A22F84E7D}" type="presOf" srcId="{03EDC3E6-CF7F-4FB4-AF8A-CCB5F11553E2}" destId="{A3AC5DB7-CC18-4609-9AEC-C83AE0D3D948}" srcOrd="0" destOrd="0" presId="urn:microsoft.com/office/officeart/2005/8/layout/process5"/>
    <dgm:cxn modelId="{B7CF9F80-B4E1-4992-B26F-368135F84FDB}" type="presOf" srcId="{F06F0927-4E02-487A-8F4E-C9CEE8B05B5D}" destId="{DBBB4C32-1E8F-4FDD-9453-C5AB1B51C5D2}" srcOrd="0" destOrd="0" presId="urn:microsoft.com/office/officeart/2005/8/layout/process5"/>
    <dgm:cxn modelId="{9CFA5D9A-8D61-408B-A576-5E6D5AA9619A}" type="presOf" srcId="{220498FD-1C0A-4283-8A42-F1BA8D6D9C04}" destId="{32606847-6466-4484-8A61-896A575B4D92}" srcOrd="1" destOrd="0" presId="urn:microsoft.com/office/officeart/2005/8/layout/process5"/>
    <dgm:cxn modelId="{09FD8FB3-FD9E-4874-BEA4-A7832EA7FA8A}" type="presOf" srcId="{ACA1E783-F977-4499-B2B3-804BC96B1E36}" destId="{601DE280-1D16-430A-9E52-E57C6594DBC6}" srcOrd="1" destOrd="0" presId="urn:microsoft.com/office/officeart/2005/8/layout/process5"/>
    <dgm:cxn modelId="{EDA3C7B6-3C4A-466E-8C1C-3307585DCB03}" srcId="{F06F0927-4E02-487A-8F4E-C9CEE8B05B5D}" destId="{FA6641B2-E17F-4F0F-87CB-7FF7C72E688F}" srcOrd="0" destOrd="0" parTransId="{F6025BD6-8BD2-4BEF-BB15-EC857C952314}" sibTransId="{BE11A3C1-91B5-4795-B7D4-30D25F72E10C}"/>
    <dgm:cxn modelId="{FD2C36BD-8D51-43E8-96B7-2F312536A2AD}" srcId="{F06F0927-4E02-487A-8F4E-C9CEE8B05B5D}" destId="{B74A0A54-0EB0-42EB-91C5-14AA73EDAECB}" srcOrd="3" destOrd="0" parTransId="{05427635-EC53-4F8F-A609-347AF753A657}" sibTransId="{220498FD-1C0A-4283-8A42-F1BA8D6D9C04}"/>
    <dgm:cxn modelId="{111C51C6-FD86-4075-959A-98FBF747CB6D}" srcId="{F06F0927-4E02-487A-8F4E-C9CEE8B05B5D}" destId="{15DC6B49-F699-4B80-89E2-4D803A825E53}" srcOrd="1" destOrd="0" parTransId="{98707FD8-7AF2-4096-A502-B66B6BEEED74}" sibTransId="{69997FD8-A3D0-4950-B868-78DBFB07E472}"/>
    <dgm:cxn modelId="{452C8BCF-77DC-4162-BC26-7334372FF263}" type="presOf" srcId="{ACA1E783-F977-4499-B2B3-804BC96B1E36}" destId="{9DCA11D6-A779-4F5B-8761-EF632DA51FA6}" srcOrd="0" destOrd="0" presId="urn:microsoft.com/office/officeart/2005/8/layout/process5"/>
    <dgm:cxn modelId="{966A20DD-2CD5-432F-AFDA-61C27CB308C2}" type="presOf" srcId="{FA6641B2-E17F-4F0F-87CB-7FF7C72E688F}" destId="{6F39F79F-711B-40E1-829F-FA95F3EB957A}" srcOrd="0" destOrd="0" presId="urn:microsoft.com/office/officeart/2005/8/layout/process5"/>
    <dgm:cxn modelId="{855C43DF-43EE-41DD-9415-BC95F0D7041E}" type="presOf" srcId="{8A472F47-ED2E-4201-A526-59CD2F2D3ABA}" destId="{0B934D7C-67A4-4C74-A72F-D6DAFE5547BF}" srcOrd="0" destOrd="0" presId="urn:microsoft.com/office/officeart/2005/8/layout/process5"/>
    <dgm:cxn modelId="{7F7FADF4-7512-44B7-83E9-C713916C2994}" type="presOf" srcId="{220498FD-1C0A-4283-8A42-F1BA8D6D9C04}" destId="{7BE701BE-BD08-44FF-BCE7-76946CE17DCC}" srcOrd="0" destOrd="0" presId="urn:microsoft.com/office/officeart/2005/8/layout/process5"/>
    <dgm:cxn modelId="{772BB3FD-2E15-4243-8A7A-3F5053FC8D08}" type="presOf" srcId="{BE11A3C1-91B5-4795-B7D4-30D25F72E10C}" destId="{E60059C8-3732-433C-9C7B-2FFC4B75AA6D}" srcOrd="1" destOrd="0" presId="urn:microsoft.com/office/officeart/2005/8/layout/process5"/>
    <dgm:cxn modelId="{6D184185-4101-4C1E-A26F-AD41921BF25C}" type="presParOf" srcId="{DBBB4C32-1E8F-4FDD-9453-C5AB1B51C5D2}" destId="{6F39F79F-711B-40E1-829F-FA95F3EB957A}" srcOrd="0" destOrd="0" presId="urn:microsoft.com/office/officeart/2005/8/layout/process5"/>
    <dgm:cxn modelId="{207FFCE5-2524-4EFF-A0DD-DA2A57664F5D}" type="presParOf" srcId="{DBBB4C32-1E8F-4FDD-9453-C5AB1B51C5D2}" destId="{1EBBBD88-E229-4E32-83E3-74619DCC03F1}" srcOrd="1" destOrd="0" presId="urn:microsoft.com/office/officeart/2005/8/layout/process5"/>
    <dgm:cxn modelId="{7B382416-166E-47C9-9E37-2F5BB3FD1F10}" type="presParOf" srcId="{1EBBBD88-E229-4E32-83E3-74619DCC03F1}" destId="{E60059C8-3732-433C-9C7B-2FFC4B75AA6D}" srcOrd="0" destOrd="0" presId="urn:microsoft.com/office/officeart/2005/8/layout/process5"/>
    <dgm:cxn modelId="{833B78A1-883C-4688-AB54-438EA5145D7B}" type="presParOf" srcId="{DBBB4C32-1E8F-4FDD-9453-C5AB1B51C5D2}" destId="{9744821D-3DF2-4AD6-B157-C3B3305964CD}" srcOrd="2" destOrd="0" presId="urn:microsoft.com/office/officeart/2005/8/layout/process5"/>
    <dgm:cxn modelId="{B0C356CC-C33E-4900-AB3D-19980CDC04E4}" type="presParOf" srcId="{DBBB4C32-1E8F-4FDD-9453-C5AB1B51C5D2}" destId="{8F2C6274-7D61-4D41-BB17-57809B5F1B06}" srcOrd="3" destOrd="0" presId="urn:microsoft.com/office/officeart/2005/8/layout/process5"/>
    <dgm:cxn modelId="{68EBE62F-7C8A-43F0-B4D8-D7A8823B5BD9}" type="presParOf" srcId="{8F2C6274-7D61-4D41-BB17-57809B5F1B06}" destId="{0096BCA7-2A0F-4ABD-9450-965402D07AFD}" srcOrd="0" destOrd="0" presId="urn:microsoft.com/office/officeart/2005/8/layout/process5"/>
    <dgm:cxn modelId="{F38706DF-0A15-4061-9836-6868DE3708EC}" type="presParOf" srcId="{DBBB4C32-1E8F-4FDD-9453-C5AB1B51C5D2}" destId="{C137B629-586A-43DA-A1C4-9CD1FE52A23C}" srcOrd="4" destOrd="0" presId="urn:microsoft.com/office/officeart/2005/8/layout/process5"/>
    <dgm:cxn modelId="{7DF7097B-24C0-492E-9BF6-CFBDC2D0E497}" type="presParOf" srcId="{DBBB4C32-1E8F-4FDD-9453-C5AB1B51C5D2}" destId="{0B934D7C-67A4-4C74-A72F-D6DAFE5547BF}" srcOrd="5" destOrd="0" presId="urn:microsoft.com/office/officeart/2005/8/layout/process5"/>
    <dgm:cxn modelId="{963272FC-504E-4F79-8947-D0F255135DE0}" type="presParOf" srcId="{0B934D7C-67A4-4C74-A72F-D6DAFE5547BF}" destId="{796CDA28-C42B-4E24-88E3-6412E1CB7CE8}" srcOrd="0" destOrd="0" presId="urn:microsoft.com/office/officeart/2005/8/layout/process5"/>
    <dgm:cxn modelId="{50812C60-6848-4461-98E4-C23E8918405F}" type="presParOf" srcId="{DBBB4C32-1E8F-4FDD-9453-C5AB1B51C5D2}" destId="{FBA95FC1-1B6D-4947-9ED1-1E22FF4888C4}" srcOrd="6" destOrd="0" presId="urn:microsoft.com/office/officeart/2005/8/layout/process5"/>
    <dgm:cxn modelId="{9891FBD5-5245-40AB-BFDF-CFD6150D9BCE}" type="presParOf" srcId="{DBBB4C32-1E8F-4FDD-9453-C5AB1B51C5D2}" destId="{7BE701BE-BD08-44FF-BCE7-76946CE17DCC}" srcOrd="7" destOrd="0" presId="urn:microsoft.com/office/officeart/2005/8/layout/process5"/>
    <dgm:cxn modelId="{43D813A7-993E-41A5-8A1F-1504C61087BE}" type="presParOf" srcId="{7BE701BE-BD08-44FF-BCE7-76946CE17DCC}" destId="{32606847-6466-4484-8A61-896A575B4D92}" srcOrd="0" destOrd="0" presId="urn:microsoft.com/office/officeart/2005/8/layout/process5"/>
    <dgm:cxn modelId="{71A4F25F-6744-4B77-B4CC-2BE122C07505}" type="presParOf" srcId="{DBBB4C32-1E8F-4FDD-9453-C5AB1B51C5D2}" destId="{A3AC5DB7-CC18-4609-9AEC-C83AE0D3D948}" srcOrd="8" destOrd="0" presId="urn:microsoft.com/office/officeart/2005/8/layout/process5"/>
    <dgm:cxn modelId="{4714DF43-03BC-432F-AC79-292D1FCA3FFD}" type="presParOf" srcId="{DBBB4C32-1E8F-4FDD-9453-C5AB1B51C5D2}" destId="{9DCA11D6-A779-4F5B-8761-EF632DA51FA6}" srcOrd="9" destOrd="0" presId="urn:microsoft.com/office/officeart/2005/8/layout/process5"/>
    <dgm:cxn modelId="{B95545CC-04DB-4132-BFA3-783FCD39A10D}" type="presParOf" srcId="{9DCA11D6-A779-4F5B-8761-EF632DA51FA6}" destId="{601DE280-1D16-430A-9E52-E57C6594DBC6}" srcOrd="0" destOrd="0" presId="urn:microsoft.com/office/officeart/2005/8/layout/process5"/>
    <dgm:cxn modelId="{76ABD193-6EDE-4135-9E7B-7756815FD795}" type="presParOf" srcId="{DBBB4C32-1E8F-4FDD-9453-C5AB1B51C5D2}" destId="{E6B16F67-6245-4F3D-A945-AF7C209851A9}" srcOrd="10" destOrd="0" presId="urn:microsoft.com/office/officeart/2005/8/layout/process5"/>
    <dgm:cxn modelId="{51A6FC1D-9CB1-4509-8CF2-696940BAD67E}" type="presParOf" srcId="{DBBB4C32-1E8F-4FDD-9453-C5AB1B51C5D2}" destId="{3097573A-AC6C-4406-B7E5-115D92B9D219}" srcOrd="11" destOrd="0" presId="urn:microsoft.com/office/officeart/2005/8/layout/process5"/>
    <dgm:cxn modelId="{038B93F7-2D5B-4B1D-8A52-C890325DACEA}" type="presParOf" srcId="{3097573A-AC6C-4406-B7E5-115D92B9D219}" destId="{6779F005-A02B-4C26-A23A-38390363EEEA}" srcOrd="0" destOrd="0" presId="urn:microsoft.com/office/officeart/2005/8/layout/process5"/>
    <dgm:cxn modelId="{DC4EEAC2-F2BD-4BEE-8279-D12B4AADEBB3}" type="presParOf" srcId="{DBBB4C32-1E8F-4FDD-9453-C5AB1B51C5D2}" destId="{91CD4A83-2034-4809-83F2-4562DE54518D}" srcOrd="12" destOrd="0" presId="urn:microsoft.com/office/officeart/2005/8/layout/process5"/>
  </dgm:cxnLst>
  <dgm:bg/>
  <dgm:whole/>
  <dgm:extLst>
    <a:ext uri="http://schemas.microsoft.com/office/drawing/2008/diagram">
      <dsp:dataModelExt xmlns:dsp="http://schemas.microsoft.com/office/drawing/2008/diagram" relId="rId8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C4B2A97-2802-4731-BDE2-B17122CA3F47}" type="doc">
      <dgm:prSet loTypeId="urn:microsoft.com/office/officeart/2005/8/layout/hierarchy2" loCatId="hierarchy" qsTypeId="urn:microsoft.com/office/officeart/2005/8/quickstyle/simple1" qsCatId="simple" csTypeId="urn:microsoft.com/office/officeart/2005/8/colors/accent1_1" csCatId="accent1" phldr="1"/>
      <dgm:spPr/>
      <dgm:t>
        <a:bodyPr/>
        <a:p>
          <a:endParaRPr lang="zh-CN" altLang="en-US"/>
        </a:p>
      </dgm:t>
    </dgm:pt>
    <dgm:pt modelId="{4D15A555-0B42-4BFA-9BE3-EB6309BF0899}">
      <dgm:prSet phldrT="[文本]"/>
      <dgm:spPr/>
      <dgm:t>
        <a:bodyPr/>
        <a:p>
          <a:r>
            <a:rPr lang="zh-CN" altLang="en-US"/>
            <a:t>选定核心市场</a:t>
          </a:r>
        </a:p>
      </dgm:t>
    </dgm:pt>
    <dgm:pt modelId="{07A3509F-B245-469D-8301-123B1F1B59D0}" cxnId="{F9BA68C4-9EB6-4EE1-9565-460D33506009}" type="parTrans">
      <dgm:prSet/>
      <dgm:spPr/>
      <dgm:t>
        <a:bodyPr/>
        <a:p>
          <a:endParaRPr lang="zh-CN" altLang="en-US"/>
        </a:p>
      </dgm:t>
    </dgm:pt>
    <dgm:pt modelId="{7363C288-21A4-48D6-8F5E-6E157CB0D377}" cxnId="{F9BA68C4-9EB6-4EE1-9565-460D33506009}" type="sibTrans">
      <dgm:prSet/>
      <dgm:spPr/>
      <dgm:t>
        <a:bodyPr/>
        <a:p>
          <a:endParaRPr lang="zh-CN" altLang="en-US"/>
        </a:p>
      </dgm:t>
    </dgm:pt>
    <dgm:pt modelId="{57A14601-4EDB-40B4-84C0-4B7FE88F9993}">
      <dgm:prSet phldrT="[文本]"/>
      <dgm:spPr/>
      <dgm:t>
        <a:bodyPr/>
        <a:p>
          <a:r>
            <a:rPr lang="zh-CN" altLang="en-US"/>
            <a:t>定义未来 </a:t>
          </a:r>
          <a:r>
            <a:rPr lang="en-US" altLang="en-US"/>
            <a:t>(h) </a:t>
          </a:r>
          <a:r>
            <a:rPr lang="zh-CN" altLang="en-US"/>
            <a:t>个交易日的风险度量；</a:t>
          </a:r>
        </a:p>
      </dgm:t>
    </dgm:pt>
    <dgm:pt modelId="{5D086750-0C2F-4214-A914-0A98D64FB1BE}" cxnId="{45E19C8C-0CA4-4B4C-8046-A7334E2E8DF6}" type="parTrans">
      <dgm:prSet/>
      <dgm:spPr/>
      <dgm:t>
        <a:bodyPr/>
        <a:p>
          <a:endParaRPr lang="zh-CN" altLang="en-US"/>
        </a:p>
      </dgm:t>
    </dgm:pt>
    <dgm:pt modelId="{D2236429-7668-4AC4-9274-48F8F8115A34}" cxnId="{45E19C8C-0CA4-4B4C-8046-A7334E2E8DF6}" type="sibTrans">
      <dgm:prSet/>
      <dgm:spPr/>
      <dgm:t>
        <a:bodyPr/>
        <a:p>
          <a:endParaRPr lang="zh-CN" altLang="en-US"/>
        </a:p>
      </dgm:t>
    </dgm:pt>
    <dgm:pt modelId="{4A02E2F7-6B50-4EB9-926C-CAE891EF7C4F}">
      <dgm:prSet phldrT="[文本]"/>
      <dgm:spPr/>
      <dgm:t>
        <a:bodyPr/>
        <a:p>
          <a:r>
            <a:rPr lang="zh-CN" altLang="en-US"/>
            <a:t>构造以前瞻性风险度量为预测目标的数据集；</a:t>
          </a:r>
        </a:p>
      </dgm:t>
    </dgm:pt>
    <dgm:pt modelId="{2B3561A1-4E55-44EF-B4FB-E9CD3DA1AFE3}" cxnId="{26F4BBB7-4849-4E80-BF84-72366BA0E2AA}" type="parTrans">
      <dgm:prSet/>
      <dgm:spPr/>
      <dgm:t>
        <a:bodyPr/>
        <a:p>
          <a:endParaRPr lang="zh-CN" altLang="en-US"/>
        </a:p>
      </dgm:t>
    </dgm:pt>
    <dgm:pt modelId="{A2BC530D-5033-4500-95E8-8B0DC36903D2}" cxnId="{26F4BBB7-4849-4E80-BF84-72366BA0E2AA}" type="sibTrans">
      <dgm:prSet/>
      <dgm:spPr/>
      <dgm:t>
        <a:bodyPr/>
        <a:p>
          <a:endParaRPr lang="zh-CN" altLang="en-US"/>
        </a:p>
      </dgm:t>
    </dgm:pt>
    <dgm:pt modelId="{604AE352-65F9-46C5-AF67-DDEB9432B91B}">
      <dgm:prSet/>
      <dgm:spPr/>
      <dgm:t>
        <a:bodyPr/>
        <a:p>
          <a:r>
            <a:rPr lang="zh-CN" altLang="en-US"/>
            <a:t>建立包含综合市场状态分布特征的预测模型；</a:t>
          </a:r>
        </a:p>
      </dgm:t>
    </dgm:pt>
    <dgm:pt modelId="{62FD8D8C-FD3C-48D5-8D1A-3096DBD928D3}" cxnId="{7507E077-EDD8-4B87-BEBF-336FA03E4564}" type="parTrans">
      <dgm:prSet/>
      <dgm:spPr/>
      <dgm:t>
        <a:bodyPr/>
        <a:p>
          <a:endParaRPr lang="zh-CN" altLang="en-US"/>
        </a:p>
      </dgm:t>
    </dgm:pt>
    <dgm:pt modelId="{1F520E83-1E57-4158-B1B5-AE09DF52CE5B}" cxnId="{7507E077-EDD8-4B87-BEBF-336FA03E4564}" type="sibTrans">
      <dgm:prSet/>
      <dgm:spPr/>
      <dgm:t>
        <a:bodyPr/>
        <a:p>
          <a:endParaRPr lang="zh-CN" altLang="en-US"/>
        </a:p>
      </dgm:t>
    </dgm:pt>
    <dgm:pt modelId="{52857456-D4A3-4A4F-9353-67C220044098}">
      <dgm:prSet/>
      <dgm:spPr/>
      <dgm:t>
        <a:bodyPr/>
        <a:p>
          <a:r>
            <a:rPr lang="zh-CN" altLang="en-US"/>
            <a:t>构造不使用综合市场状态分布信息的基准模型；</a:t>
          </a:r>
        </a:p>
      </dgm:t>
    </dgm:pt>
    <dgm:pt modelId="{B272C0A3-4505-480E-AA8F-43E6B339733F}" cxnId="{348A6470-C043-4962-A183-215E80E071A8}" type="parTrans">
      <dgm:prSet/>
      <dgm:spPr/>
      <dgm:t>
        <a:bodyPr/>
        <a:p>
          <a:endParaRPr lang="zh-CN" altLang="en-US"/>
        </a:p>
      </dgm:t>
    </dgm:pt>
    <dgm:pt modelId="{E9FBBE13-8425-4E0A-9872-A84B72300C42}" cxnId="{348A6470-C043-4962-A183-215E80E071A8}" type="sibTrans">
      <dgm:prSet/>
      <dgm:spPr/>
      <dgm:t>
        <a:bodyPr/>
        <a:p>
          <a:endParaRPr lang="zh-CN" altLang="en-US"/>
        </a:p>
      </dgm:t>
    </dgm:pt>
    <dgm:pt modelId="{2344112A-EC69-4D85-B2F0-4DD96A251D57}">
      <dgm:prSet/>
      <dgm:spPr/>
      <dgm:t>
        <a:bodyPr/>
        <a:p>
          <a:endParaRPr lang="zh-CN" altLang="en-US"/>
        </a:p>
      </dgm:t>
    </dgm:pt>
    <dgm:pt modelId="{8C104755-6A12-4666-BD97-3928E774C79C}" cxnId="{A874AED2-DE57-4562-B20B-559E67B0135E}" type="parTrans">
      <dgm:prSet/>
      <dgm:spPr/>
      <dgm:t>
        <a:bodyPr/>
        <a:p>
          <a:endParaRPr lang="zh-CN" altLang="en-US"/>
        </a:p>
      </dgm:t>
    </dgm:pt>
    <dgm:pt modelId="{E910A7ED-77AA-4EBC-9A45-20E1F2835926}" cxnId="{A874AED2-DE57-4562-B20B-559E67B0135E}" type="sibTrans">
      <dgm:prSet/>
      <dgm:spPr/>
      <dgm:t>
        <a:bodyPr/>
        <a:p>
          <a:endParaRPr lang="zh-CN" altLang="en-US"/>
        </a:p>
      </dgm:t>
    </dgm:pt>
    <dgm:pt modelId="{CE095E92-D76C-4E6D-A8B8-30E1B1404C77}">
      <dgm:prSet/>
      <dgm:spPr/>
      <dgm:t>
        <a:bodyPr/>
        <a:p>
          <a:r>
            <a:rPr lang="zh-CN" altLang="en-US"/>
            <a:t>通过预测误差、风险覆盖率和尾部风险识别能力比较模型效果</a:t>
          </a:r>
        </a:p>
      </dgm:t>
    </dgm:pt>
    <dgm:pt modelId="{C1B2E1F7-C3D5-4D70-8D66-4CD73E8E1CE5}" cxnId="{107BA75F-E6DD-4D43-A667-D7504D498F43}" type="parTrans">
      <dgm:prSet/>
      <dgm:spPr/>
      <dgm:t>
        <a:bodyPr/>
        <a:p>
          <a:endParaRPr lang="zh-CN" altLang="en-US"/>
        </a:p>
      </dgm:t>
    </dgm:pt>
    <dgm:pt modelId="{616674C4-C766-4967-B84C-9493CE4A3A07}" cxnId="{107BA75F-E6DD-4D43-A667-D7504D498F43}" type="sibTrans">
      <dgm:prSet/>
      <dgm:spPr/>
      <dgm:t>
        <a:bodyPr/>
        <a:p>
          <a:endParaRPr lang="zh-CN" altLang="en-US"/>
        </a:p>
      </dgm:t>
    </dgm:pt>
    <dgm:pt modelId="{71E310FC-6D25-43DD-821F-EF9396145BD9}" type="pres">
      <dgm:prSet presAssocID="{DC4B2A97-2802-4731-BDE2-B17122CA3F47}" presName="diagram" presStyleCnt="0">
        <dgm:presLayoutVars>
          <dgm:chPref val="1"/>
          <dgm:dir/>
          <dgm:animOne val="branch"/>
          <dgm:animLvl val="lvl"/>
          <dgm:resizeHandles val="exact"/>
        </dgm:presLayoutVars>
      </dgm:prSet>
      <dgm:spPr/>
    </dgm:pt>
    <dgm:pt modelId="{E3AA116D-062A-434A-BAAD-D24066D9D191}" type="pres">
      <dgm:prSet presAssocID="{4D15A555-0B42-4BFA-9BE3-EB6309BF0899}" presName="root1" presStyleCnt="0"/>
      <dgm:spPr/>
    </dgm:pt>
    <dgm:pt modelId="{15133B2F-B772-4D81-80E8-3416BFB94398}" type="pres">
      <dgm:prSet presAssocID="{4D15A555-0B42-4BFA-9BE3-EB6309BF0899}" presName="LevelOneTextNode" presStyleLbl="node0" presStyleIdx="0" presStyleCnt="1">
        <dgm:presLayoutVars>
          <dgm:chPref val="3"/>
        </dgm:presLayoutVars>
      </dgm:prSet>
      <dgm:spPr/>
    </dgm:pt>
    <dgm:pt modelId="{2C5B4695-0B6D-447F-A7C8-C7765F5F7390}" type="pres">
      <dgm:prSet presAssocID="{4D15A555-0B42-4BFA-9BE3-EB6309BF0899}" presName="level2hierChild" presStyleCnt="0"/>
      <dgm:spPr/>
    </dgm:pt>
    <dgm:pt modelId="{50AD84F3-3FCF-4156-97EE-354848F57DB4}" type="pres">
      <dgm:prSet presAssocID="{5D086750-0C2F-4214-A914-0A98D64FB1BE}" presName="conn2-1" presStyleLbl="parChTrans1D2" presStyleIdx="0" presStyleCnt="2"/>
      <dgm:spPr/>
    </dgm:pt>
    <dgm:pt modelId="{5F646C21-F041-4B11-B47A-0BDCDC4698D8}" type="pres">
      <dgm:prSet presAssocID="{5D086750-0C2F-4214-A914-0A98D64FB1BE}" presName="connTx" presStyleLbl="parChTrans1D2" presStyleIdx="0" presStyleCnt="2"/>
      <dgm:spPr/>
    </dgm:pt>
    <dgm:pt modelId="{6DB19875-44B3-47D3-8CAB-F96AF4627FE3}" type="pres">
      <dgm:prSet presAssocID="{57A14601-4EDB-40B4-84C0-4B7FE88F9993}" presName="root2" presStyleCnt="0"/>
      <dgm:spPr/>
    </dgm:pt>
    <dgm:pt modelId="{D5254D40-4949-4B40-9961-649688DF4FAE}" type="pres">
      <dgm:prSet presAssocID="{57A14601-4EDB-40B4-84C0-4B7FE88F9993}" presName="LevelTwoTextNode" presStyleLbl="node2" presStyleIdx="0" presStyleCnt="2">
        <dgm:presLayoutVars>
          <dgm:chPref val="3"/>
        </dgm:presLayoutVars>
      </dgm:prSet>
      <dgm:spPr/>
    </dgm:pt>
    <dgm:pt modelId="{1FB15A74-90F5-42F9-AA27-785B20BABB9D}" type="pres">
      <dgm:prSet presAssocID="{57A14601-4EDB-40B4-84C0-4B7FE88F9993}" presName="level3hierChild" presStyleCnt="0"/>
      <dgm:spPr/>
    </dgm:pt>
    <dgm:pt modelId="{22BE79ED-0955-43DE-859F-01ADA81128DB}" type="pres">
      <dgm:prSet presAssocID="{62FD8D8C-FD3C-48D5-8D1A-3096DBD928D3}" presName="conn2-1" presStyleLbl="parChTrans1D3" presStyleIdx="0" presStyleCnt="2"/>
      <dgm:spPr/>
    </dgm:pt>
    <dgm:pt modelId="{4F3C509F-710E-4161-920B-77251319E475}" type="pres">
      <dgm:prSet presAssocID="{62FD8D8C-FD3C-48D5-8D1A-3096DBD928D3}" presName="connTx" presStyleLbl="parChTrans1D3" presStyleIdx="0" presStyleCnt="2"/>
      <dgm:spPr/>
    </dgm:pt>
    <dgm:pt modelId="{13407990-6831-4ECC-995B-185239AD0CAE}" type="pres">
      <dgm:prSet presAssocID="{604AE352-65F9-46C5-AF67-DDEB9432B91B}" presName="root2" presStyleCnt="0"/>
      <dgm:spPr/>
    </dgm:pt>
    <dgm:pt modelId="{7F73FDB3-BA24-478F-9EEF-81C4D2D47CE4}" type="pres">
      <dgm:prSet presAssocID="{604AE352-65F9-46C5-AF67-DDEB9432B91B}" presName="LevelTwoTextNode" presStyleLbl="node3" presStyleIdx="0" presStyleCnt="2">
        <dgm:presLayoutVars>
          <dgm:chPref val="3"/>
        </dgm:presLayoutVars>
      </dgm:prSet>
      <dgm:spPr/>
    </dgm:pt>
    <dgm:pt modelId="{18E80DAE-F797-4007-BC64-E837CCA7660B}" type="pres">
      <dgm:prSet presAssocID="{604AE352-65F9-46C5-AF67-DDEB9432B91B}" presName="level3hierChild" presStyleCnt="0"/>
      <dgm:spPr/>
    </dgm:pt>
    <dgm:pt modelId="{739D94C3-1E20-445D-9F71-9C84831BBF93}" type="pres">
      <dgm:prSet presAssocID="{8C104755-6A12-4666-BD97-3928E774C79C}" presName="conn2-1" presStyleLbl="parChTrans1D4" presStyleIdx="0" presStyleCnt="2"/>
      <dgm:spPr/>
    </dgm:pt>
    <dgm:pt modelId="{F25BCF71-F239-416F-AE38-9E1BF8BFD424}" type="pres">
      <dgm:prSet presAssocID="{8C104755-6A12-4666-BD97-3928E774C79C}" presName="connTx" presStyleLbl="parChTrans1D4" presStyleIdx="0" presStyleCnt="2"/>
      <dgm:spPr/>
    </dgm:pt>
    <dgm:pt modelId="{998DC2B8-89D4-453D-89C7-1E4843FBF6EC}" type="pres">
      <dgm:prSet presAssocID="{2344112A-EC69-4D85-B2F0-4DD96A251D57}" presName="root2" presStyleCnt="0"/>
      <dgm:spPr/>
    </dgm:pt>
    <dgm:pt modelId="{6A2ADCD7-0D97-4CDE-AD52-85A768DF03CA}" type="pres">
      <dgm:prSet presAssocID="{2344112A-EC69-4D85-B2F0-4DD96A251D57}" presName="LevelTwoTextNode" presStyleLbl="node4" presStyleIdx="0" presStyleCnt="2" custLinFactNeighborX="-705" custLinFactNeighborY="43713">
        <dgm:presLayoutVars>
          <dgm:chPref val="3"/>
        </dgm:presLayoutVars>
      </dgm:prSet>
      <dgm:spPr/>
    </dgm:pt>
    <dgm:pt modelId="{D50762BB-CB8B-48F8-9279-BCB645A29774}" type="pres">
      <dgm:prSet presAssocID="{2344112A-EC69-4D85-B2F0-4DD96A251D57}" presName="level3hierChild" presStyleCnt="0"/>
      <dgm:spPr/>
    </dgm:pt>
    <dgm:pt modelId="{326CA276-61B9-4422-85BB-E804B4EC1475}" type="pres">
      <dgm:prSet presAssocID="{2B3561A1-4E55-44EF-B4FB-E9CD3DA1AFE3}" presName="conn2-1" presStyleLbl="parChTrans1D2" presStyleIdx="1" presStyleCnt="2"/>
      <dgm:spPr/>
    </dgm:pt>
    <dgm:pt modelId="{D05240A0-17C9-454F-9DFF-D3DA530DF510}" type="pres">
      <dgm:prSet presAssocID="{2B3561A1-4E55-44EF-B4FB-E9CD3DA1AFE3}" presName="connTx" presStyleLbl="parChTrans1D2" presStyleIdx="1" presStyleCnt="2"/>
      <dgm:spPr/>
    </dgm:pt>
    <dgm:pt modelId="{E6C071F3-4222-4631-A991-5AAEADBA18EA}" type="pres">
      <dgm:prSet presAssocID="{4A02E2F7-6B50-4EB9-926C-CAE891EF7C4F}" presName="root2" presStyleCnt="0"/>
      <dgm:spPr/>
    </dgm:pt>
    <dgm:pt modelId="{53E5AE13-F9A8-43E0-909A-EEB233697573}" type="pres">
      <dgm:prSet presAssocID="{4A02E2F7-6B50-4EB9-926C-CAE891EF7C4F}" presName="LevelTwoTextNode" presStyleLbl="node2" presStyleIdx="1" presStyleCnt="2">
        <dgm:presLayoutVars>
          <dgm:chPref val="3"/>
        </dgm:presLayoutVars>
      </dgm:prSet>
      <dgm:spPr/>
    </dgm:pt>
    <dgm:pt modelId="{6D39029C-C9EE-466A-8B27-18F79A129930}" type="pres">
      <dgm:prSet presAssocID="{4A02E2F7-6B50-4EB9-926C-CAE891EF7C4F}" presName="level3hierChild" presStyleCnt="0"/>
      <dgm:spPr/>
    </dgm:pt>
    <dgm:pt modelId="{0DCBCD84-105A-4D84-BE0B-82E88E8628D7}" type="pres">
      <dgm:prSet presAssocID="{B272C0A3-4505-480E-AA8F-43E6B339733F}" presName="conn2-1" presStyleLbl="parChTrans1D3" presStyleIdx="1" presStyleCnt="2"/>
      <dgm:spPr/>
    </dgm:pt>
    <dgm:pt modelId="{1DCFBB87-897E-417F-8B13-D2A35DC9C2DF}" type="pres">
      <dgm:prSet presAssocID="{B272C0A3-4505-480E-AA8F-43E6B339733F}" presName="connTx" presStyleLbl="parChTrans1D3" presStyleIdx="1" presStyleCnt="2"/>
      <dgm:spPr/>
    </dgm:pt>
    <dgm:pt modelId="{30168F71-1F8E-4FA8-802C-7344BE36F275}" type="pres">
      <dgm:prSet presAssocID="{52857456-D4A3-4A4F-9353-67C220044098}" presName="root2" presStyleCnt="0"/>
      <dgm:spPr/>
    </dgm:pt>
    <dgm:pt modelId="{A745FE88-5511-455D-AF18-3C083F10770F}" type="pres">
      <dgm:prSet presAssocID="{52857456-D4A3-4A4F-9353-67C220044098}" presName="LevelTwoTextNode" presStyleLbl="node3" presStyleIdx="1" presStyleCnt="2">
        <dgm:presLayoutVars>
          <dgm:chPref val="3"/>
        </dgm:presLayoutVars>
      </dgm:prSet>
      <dgm:spPr/>
    </dgm:pt>
    <dgm:pt modelId="{A7FB75E3-A792-43A7-8B5D-66B18D029879}" type="pres">
      <dgm:prSet presAssocID="{52857456-D4A3-4A4F-9353-67C220044098}" presName="level3hierChild" presStyleCnt="0"/>
      <dgm:spPr/>
    </dgm:pt>
    <dgm:pt modelId="{2111600B-B337-4891-949F-9A435BFB4DA2}" type="pres">
      <dgm:prSet presAssocID="{C1B2E1F7-C3D5-4D70-8D66-4CD73E8E1CE5}" presName="conn2-1" presStyleLbl="parChTrans1D4" presStyleIdx="1" presStyleCnt="2"/>
      <dgm:spPr/>
    </dgm:pt>
    <dgm:pt modelId="{6EE2DFD6-A165-4F76-A64A-F794B3C83216}" type="pres">
      <dgm:prSet presAssocID="{C1B2E1F7-C3D5-4D70-8D66-4CD73E8E1CE5}" presName="connTx" presStyleLbl="parChTrans1D4" presStyleIdx="1" presStyleCnt="2"/>
      <dgm:spPr/>
    </dgm:pt>
    <dgm:pt modelId="{D22393BA-D53B-4D25-AEE4-44A1C0A5FCDA}" type="pres">
      <dgm:prSet presAssocID="{CE095E92-D76C-4E6D-A8B8-30E1B1404C77}" presName="root2" presStyleCnt="0"/>
      <dgm:spPr/>
    </dgm:pt>
    <dgm:pt modelId="{2CBC0988-3813-4673-A861-DD22F6C78CCF}" type="pres">
      <dgm:prSet presAssocID="{CE095E92-D76C-4E6D-A8B8-30E1B1404C77}" presName="LevelTwoTextNode" presStyleLbl="node4" presStyleIdx="1" presStyleCnt="2" custLinFactNeighborX="-1245" custLinFactNeighborY="-73326">
        <dgm:presLayoutVars>
          <dgm:chPref val="3"/>
        </dgm:presLayoutVars>
      </dgm:prSet>
      <dgm:spPr/>
    </dgm:pt>
    <dgm:pt modelId="{B9DA96B9-D01F-46CE-AC8F-4A373D92340D}" type="pres">
      <dgm:prSet presAssocID="{CE095E92-D76C-4E6D-A8B8-30E1B1404C77}" presName="level3hierChild" presStyleCnt="0"/>
      <dgm:spPr/>
    </dgm:pt>
  </dgm:ptLst>
  <dgm:cxnLst>
    <dgm:cxn modelId="{3CD85008-E9E4-4D48-940C-E1A4F3EFC698}" type="presOf" srcId="{52857456-D4A3-4A4F-9353-67C220044098}" destId="{A745FE88-5511-455D-AF18-3C083F10770F}" srcOrd="0" destOrd="0" presId="urn:microsoft.com/office/officeart/2005/8/layout/hierarchy2"/>
    <dgm:cxn modelId="{9FD55010-4EEF-4917-A6D3-8CE790EEEAA5}" type="presOf" srcId="{CE095E92-D76C-4E6D-A8B8-30E1B1404C77}" destId="{2CBC0988-3813-4673-A861-DD22F6C78CCF}" srcOrd="0" destOrd="0" presId="urn:microsoft.com/office/officeart/2005/8/layout/hierarchy2"/>
    <dgm:cxn modelId="{F0D97B10-5389-4EE4-9A2F-D79A9E462F1A}" type="presOf" srcId="{B272C0A3-4505-480E-AA8F-43E6B339733F}" destId="{0DCBCD84-105A-4D84-BE0B-82E88E8628D7}" srcOrd="0" destOrd="0" presId="urn:microsoft.com/office/officeart/2005/8/layout/hierarchy2"/>
    <dgm:cxn modelId="{E2F90F1B-8A89-449F-BCCC-0F2ED19FEFE5}" type="presOf" srcId="{5D086750-0C2F-4214-A914-0A98D64FB1BE}" destId="{5F646C21-F041-4B11-B47A-0BDCDC4698D8}" srcOrd="1" destOrd="0" presId="urn:microsoft.com/office/officeart/2005/8/layout/hierarchy2"/>
    <dgm:cxn modelId="{DA28251C-7604-4572-AFF6-6C94E5409DF4}" type="presOf" srcId="{62FD8D8C-FD3C-48D5-8D1A-3096DBD928D3}" destId="{4F3C509F-710E-4161-920B-77251319E475}" srcOrd="1" destOrd="0" presId="urn:microsoft.com/office/officeart/2005/8/layout/hierarchy2"/>
    <dgm:cxn modelId="{B93C8E2F-0C46-4CBC-9817-2FAB1F0897B3}" type="presOf" srcId="{C1B2E1F7-C3D5-4D70-8D66-4CD73E8E1CE5}" destId="{2111600B-B337-4891-949F-9A435BFB4DA2}" srcOrd="0" destOrd="0" presId="urn:microsoft.com/office/officeart/2005/8/layout/hierarchy2"/>
    <dgm:cxn modelId="{6C87913C-B5C5-4E01-AF99-976B6EDC00D0}" type="presOf" srcId="{604AE352-65F9-46C5-AF67-DDEB9432B91B}" destId="{7F73FDB3-BA24-478F-9EEF-81C4D2D47CE4}" srcOrd="0" destOrd="0" presId="urn:microsoft.com/office/officeart/2005/8/layout/hierarchy2"/>
    <dgm:cxn modelId="{0729F83E-4E95-4909-8C16-F774C3873917}" type="presOf" srcId="{62FD8D8C-FD3C-48D5-8D1A-3096DBD928D3}" destId="{22BE79ED-0955-43DE-859F-01ADA81128DB}" srcOrd="0" destOrd="0" presId="urn:microsoft.com/office/officeart/2005/8/layout/hierarchy2"/>
    <dgm:cxn modelId="{107BA75F-E6DD-4D43-A667-D7504D498F43}" srcId="{52857456-D4A3-4A4F-9353-67C220044098}" destId="{CE095E92-D76C-4E6D-A8B8-30E1B1404C77}" srcOrd="0" destOrd="0" parTransId="{C1B2E1F7-C3D5-4D70-8D66-4CD73E8E1CE5}" sibTransId="{616674C4-C766-4967-B84C-9493CE4A3A07}"/>
    <dgm:cxn modelId="{3BA92142-E633-47E4-9F3C-720A1D88EBEB}" type="presOf" srcId="{8C104755-6A12-4666-BD97-3928E774C79C}" destId="{739D94C3-1E20-445D-9F71-9C84831BBF93}" srcOrd="0" destOrd="0" presId="urn:microsoft.com/office/officeart/2005/8/layout/hierarchy2"/>
    <dgm:cxn modelId="{9840186D-D4DB-4C71-BC4B-E916A734D35F}" type="presOf" srcId="{2B3561A1-4E55-44EF-B4FB-E9CD3DA1AFE3}" destId="{D05240A0-17C9-454F-9DFF-D3DA530DF510}" srcOrd="1" destOrd="0" presId="urn:microsoft.com/office/officeart/2005/8/layout/hierarchy2"/>
    <dgm:cxn modelId="{D9CD6B4D-960F-471C-B4CA-FAFEF808F3AA}" type="presOf" srcId="{C1B2E1F7-C3D5-4D70-8D66-4CD73E8E1CE5}" destId="{6EE2DFD6-A165-4F76-A64A-F794B3C83216}" srcOrd="1" destOrd="0" presId="urn:microsoft.com/office/officeart/2005/8/layout/hierarchy2"/>
    <dgm:cxn modelId="{348A6470-C043-4962-A183-215E80E071A8}" srcId="{4A02E2F7-6B50-4EB9-926C-CAE891EF7C4F}" destId="{52857456-D4A3-4A4F-9353-67C220044098}" srcOrd="0" destOrd="0" parTransId="{B272C0A3-4505-480E-AA8F-43E6B339733F}" sibTransId="{E9FBBE13-8425-4E0A-9872-A84B72300C42}"/>
    <dgm:cxn modelId="{EF055171-707F-4074-9067-D893A495DAB9}" type="presOf" srcId="{4D15A555-0B42-4BFA-9BE3-EB6309BF0899}" destId="{15133B2F-B772-4D81-80E8-3416BFB94398}" srcOrd="0" destOrd="0" presId="urn:microsoft.com/office/officeart/2005/8/layout/hierarchy2"/>
    <dgm:cxn modelId="{7507E077-EDD8-4B87-BEBF-336FA03E4564}" srcId="{57A14601-4EDB-40B4-84C0-4B7FE88F9993}" destId="{604AE352-65F9-46C5-AF67-DDEB9432B91B}" srcOrd="0" destOrd="0" parTransId="{62FD8D8C-FD3C-48D5-8D1A-3096DBD928D3}" sibTransId="{1F520E83-1E57-4158-B1B5-AE09DF52CE5B}"/>
    <dgm:cxn modelId="{45E19C8C-0CA4-4B4C-8046-A7334E2E8DF6}" srcId="{4D15A555-0B42-4BFA-9BE3-EB6309BF0899}" destId="{57A14601-4EDB-40B4-84C0-4B7FE88F9993}" srcOrd="0" destOrd="0" parTransId="{5D086750-0C2F-4214-A914-0A98D64FB1BE}" sibTransId="{D2236429-7668-4AC4-9274-48F8F8115A34}"/>
    <dgm:cxn modelId="{BA396492-4AC6-4986-AED2-B725C77D95FC}" type="presOf" srcId="{DC4B2A97-2802-4731-BDE2-B17122CA3F47}" destId="{71E310FC-6D25-43DD-821F-EF9396145BD9}" srcOrd="0" destOrd="0" presId="urn:microsoft.com/office/officeart/2005/8/layout/hierarchy2"/>
    <dgm:cxn modelId="{9536C892-F3EC-499A-AF69-6C890944E36C}" type="presOf" srcId="{5D086750-0C2F-4214-A914-0A98D64FB1BE}" destId="{50AD84F3-3FCF-4156-97EE-354848F57DB4}" srcOrd="0" destOrd="0" presId="urn:microsoft.com/office/officeart/2005/8/layout/hierarchy2"/>
    <dgm:cxn modelId="{5D4FC89D-5316-40FF-8413-92DEDDA3E858}" type="presOf" srcId="{B272C0A3-4505-480E-AA8F-43E6B339733F}" destId="{1DCFBB87-897E-417F-8B13-D2A35DC9C2DF}" srcOrd="1" destOrd="0" presId="urn:microsoft.com/office/officeart/2005/8/layout/hierarchy2"/>
    <dgm:cxn modelId="{2FBC23AD-120B-4AFD-8689-067594C654BF}" type="presOf" srcId="{2344112A-EC69-4D85-B2F0-4DD96A251D57}" destId="{6A2ADCD7-0D97-4CDE-AD52-85A768DF03CA}" srcOrd="0" destOrd="0" presId="urn:microsoft.com/office/officeart/2005/8/layout/hierarchy2"/>
    <dgm:cxn modelId="{26F4BBB7-4849-4E80-BF84-72366BA0E2AA}" srcId="{4D15A555-0B42-4BFA-9BE3-EB6309BF0899}" destId="{4A02E2F7-6B50-4EB9-926C-CAE891EF7C4F}" srcOrd="1" destOrd="0" parTransId="{2B3561A1-4E55-44EF-B4FB-E9CD3DA1AFE3}" sibTransId="{A2BC530D-5033-4500-95E8-8B0DC36903D2}"/>
    <dgm:cxn modelId="{CEE7A9B8-B20D-4C94-B3D7-84198A4CC082}" type="presOf" srcId="{4A02E2F7-6B50-4EB9-926C-CAE891EF7C4F}" destId="{53E5AE13-F9A8-43E0-909A-EEB233697573}" srcOrd="0" destOrd="0" presId="urn:microsoft.com/office/officeart/2005/8/layout/hierarchy2"/>
    <dgm:cxn modelId="{8B25E3C1-F148-4615-B4AC-8BC74A17FD19}" type="presOf" srcId="{8C104755-6A12-4666-BD97-3928E774C79C}" destId="{F25BCF71-F239-416F-AE38-9E1BF8BFD424}" srcOrd="1" destOrd="0" presId="urn:microsoft.com/office/officeart/2005/8/layout/hierarchy2"/>
    <dgm:cxn modelId="{F9BA68C4-9EB6-4EE1-9565-460D33506009}" srcId="{DC4B2A97-2802-4731-BDE2-B17122CA3F47}" destId="{4D15A555-0B42-4BFA-9BE3-EB6309BF0899}" srcOrd="0" destOrd="0" parTransId="{07A3509F-B245-469D-8301-123B1F1B59D0}" sibTransId="{7363C288-21A4-48D6-8F5E-6E157CB0D377}"/>
    <dgm:cxn modelId="{A874AED2-DE57-4562-B20B-559E67B0135E}" srcId="{604AE352-65F9-46C5-AF67-DDEB9432B91B}" destId="{2344112A-EC69-4D85-B2F0-4DD96A251D57}" srcOrd="0" destOrd="0" parTransId="{8C104755-6A12-4666-BD97-3928E774C79C}" sibTransId="{E910A7ED-77AA-4EBC-9A45-20E1F2835926}"/>
    <dgm:cxn modelId="{37D363D3-E28F-44A1-B94B-801398B53B32}" type="presOf" srcId="{57A14601-4EDB-40B4-84C0-4B7FE88F9993}" destId="{D5254D40-4949-4B40-9961-649688DF4FAE}" srcOrd="0" destOrd="0" presId="urn:microsoft.com/office/officeart/2005/8/layout/hierarchy2"/>
    <dgm:cxn modelId="{7DDA2BDC-06D3-4EC6-9958-670A531AA1B1}" type="presOf" srcId="{2B3561A1-4E55-44EF-B4FB-E9CD3DA1AFE3}" destId="{326CA276-61B9-4422-85BB-E804B4EC1475}" srcOrd="0" destOrd="0" presId="urn:microsoft.com/office/officeart/2005/8/layout/hierarchy2"/>
    <dgm:cxn modelId="{C1BAF20E-E450-4E8D-A208-A3C097AE958F}" type="presParOf" srcId="{71E310FC-6D25-43DD-821F-EF9396145BD9}" destId="{E3AA116D-062A-434A-BAAD-D24066D9D191}" srcOrd="0" destOrd="0" presId="urn:microsoft.com/office/officeart/2005/8/layout/hierarchy2"/>
    <dgm:cxn modelId="{B3251BD5-13D7-44D0-8058-2108557F3175}" type="presParOf" srcId="{E3AA116D-062A-434A-BAAD-D24066D9D191}" destId="{15133B2F-B772-4D81-80E8-3416BFB94398}" srcOrd="0" destOrd="0" presId="urn:microsoft.com/office/officeart/2005/8/layout/hierarchy2"/>
    <dgm:cxn modelId="{E41D3EA8-9489-4EC5-823C-AA8C1B11A9DC}" type="presParOf" srcId="{E3AA116D-062A-434A-BAAD-D24066D9D191}" destId="{2C5B4695-0B6D-447F-A7C8-C7765F5F7390}" srcOrd="1" destOrd="0" presId="urn:microsoft.com/office/officeart/2005/8/layout/hierarchy2"/>
    <dgm:cxn modelId="{E8407F15-1BE4-46A7-8E3A-942C24B3A00E}" type="presParOf" srcId="{2C5B4695-0B6D-447F-A7C8-C7765F5F7390}" destId="{50AD84F3-3FCF-4156-97EE-354848F57DB4}" srcOrd="0" destOrd="0" presId="urn:microsoft.com/office/officeart/2005/8/layout/hierarchy2"/>
    <dgm:cxn modelId="{0D492E69-F0F4-4530-9114-1D279433F74A}" type="presParOf" srcId="{50AD84F3-3FCF-4156-97EE-354848F57DB4}" destId="{5F646C21-F041-4B11-B47A-0BDCDC4698D8}" srcOrd="0" destOrd="0" presId="urn:microsoft.com/office/officeart/2005/8/layout/hierarchy2"/>
    <dgm:cxn modelId="{BA4039E2-0A2E-4B94-B455-5B2DD4898FD7}" type="presParOf" srcId="{2C5B4695-0B6D-447F-A7C8-C7765F5F7390}" destId="{6DB19875-44B3-47D3-8CAB-F96AF4627FE3}" srcOrd="1" destOrd="0" presId="urn:microsoft.com/office/officeart/2005/8/layout/hierarchy2"/>
    <dgm:cxn modelId="{37E4C883-3DE8-4A0D-A378-71299753E420}" type="presParOf" srcId="{6DB19875-44B3-47D3-8CAB-F96AF4627FE3}" destId="{D5254D40-4949-4B40-9961-649688DF4FAE}" srcOrd="0" destOrd="0" presId="urn:microsoft.com/office/officeart/2005/8/layout/hierarchy2"/>
    <dgm:cxn modelId="{6B966D29-1320-481D-8DE6-E3063456A211}" type="presParOf" srcId="{6DB19875-44B3-47D3-8CAB-F96AF4627FE3}" destId="{1FB15A74-90F5-42F9-AA27-785B20BABB9D}" srcOrd="1" destOrd="0" presId="urn:microsoft.com/office/officeart/2005/8/layout/hierarchy2"/>
    <dgm:cxn modelId="{B1981282-1528-4B4B-AFFD-124E953FBDE4}" type="presParOf" srcId="{1FB15A74-90F5-42F9-AA27-785B20BABB9D}" destId="{22BE79ED-0955-43DE-859F-01ADA81128DB}" srcOrd="0" destOrd="0" presId="urn:microsoft.com/office/officeart/2005/8/layout/hierarchy2"/>
    <dgm:cxn modelId="{4F2E620B-D06A-4D32-995B-5A80484CD549}" type="presParOf" srcId="{22BE79ED-0955-43DE-859F-01ADA81128DB}" destId="{4F3C509F-710E-4161-920B-77251319E475}" srcOrd="0" destOrd="0" presId="urn:microsoft.com/office/officeart/2005/8/layout/hierarchy2"/>
    <dgm:cxn modelId="{B0CA92C3-6BB7-46A7-8A29-7F49028F724F}" type="presParOf" srcId="{1FB15A74-90F5-42F9-AA27-785B20BABB9D}" destId="{13407990-6831-4ECC-995B-185239AD0CAE}" srcOrd="1" destOrd="0" presId="urn:microsoft.com/office/officeart/2005/8/layout/hierarchy2"/>
    <dgm:cxn modelId="{46226E5F-5DCA-4C20-9E5C-8D8533F48F5A}" type="presParOf" srcId="{13407990-6831-4ECC-995B-185239AD0CAE}" destId="{7F73FDB3-BA24-478F-9EEF-81C4D2D47CE4}" srcOrd="0" destOrd="0" presId="urn:microsoft.com/office/officeart/2005/8/layout/hierarchy2"/>
    <dgm:cxn modelId="{428CF8B5-8F2C-4B85-9570-3EE99A9E181F}" type="presParOf" srcId="{13407990-6831-4ECC-995B-185239AD0CAE}" destId="{18E80DAE-F797-4007-BC64-E837CCA7660B}" srcOrd="1" destOrd="0" presId="urn:microsoft.com/office/officeart/2005/8/layout/hierarchy2"/>
    <dgm:cxn modelId="{FB05DCF6-4604-4337-A9B3-217E529CCD8F}" type="presParOf" srcId="{18E80DAE-F797-4007-BC64-E837CCA7660B}" destId="{739D94C3-1E20-445D-9F71-9C84831BBF93}" srcOrd="0" destOrd="0" presId="urn:microsoft.com/office/officeart/2005/8/layout/hierarchy2"/>
    <dgm:cxn modelId="{27300281-ABCF-477F-9F07-52C592F5922B}" type="presParOf" srcId="{739D94C3-1E20-445D-9F71-9C84831BBF93}" destId="{F25BCF71-F239-416F-AE38-9E1BF8BFD424}" srcOrd="0" destOrd="0" presId="urn:microsoft.com/office/officeart/2005/8/layout/hierarchy2"/>
    <dgm:cxn modelId="{49CC7B58-5C1E-49CC-AC3F-0EA4BF4F2669}" type="presParOf" srcId="{18E80DAE-F797-4007-BC64-E837CCA7660B}" destId="{998DC2B8-89D4-453D-89C7-1E4843FBF6EC}" srcOrd="1" destOrd="0" presId="urn:microsoft.com/office/officeart/2005/8/layout/hierarchy2"/>
    <dgm:cxn modelId="{0B17712E-F55F-4FC1-B72A-16F3C51C602B}" type="presParOf" srcId="{998DC2B8-89D4-453D-89C7-1E4843FBF6EC}" destId="{6A2ADCD7-0D97-4CDE-AD52-85A768DF03CA}" srcOrd="0" destOrd="0" presId="urn:microsoft.com/office/officeart/2005/8/layout/hierarchy2"/>
    <dgm:cxn modelId="{9862BF5A-0629-4E3B-ACA0-982F89A4ABAC}" type="presParOf" srcId="{998DC2B8-89D4-453D-89C7-1E4843FBF6EC}" destId="{D50762BB-CB8B-48F8-9279-BCB645A29774}" srcOrd="1" destOrd="0" presId="urn:microsoft.com/office/officeart/2005/8/layout/hierarchy2"/>
    <dgm:cxn modelId="{EC35622B-8309-48E9-89F1-5DFBD6065E5A}" type="presParOf" srcId="{2C5B4695-0B6D-447F-A7C8-C7765F5F7390}" destId="{326CA276-61B9-4422-85BB-E804B4EC1475}" srcOrd="2" destOrd="0" presId="urn:microsoft.com/office/officeart/2005/8/layout/hierarchy2"/>
    <dgm:cxn modelId="{E9BC74C2-9EDE-451B-9779-4A0B48236851}" type="presParOf" srcId="{326CA276-61B9-4422-85BB-E804B4EC1475}" destId="{D05240A0-17C9-454F-9DFF-D3DA530DF510}" srcOrd="0" destOrd="0" presId="urn:microsoft.com/office/officeart/2005/8/layout/hierarchy2"/>
    <dgm:cxn modelId="{24260149-A804-47C0-BF87-E710998D4CD9}" type="presParOf" srcId="{2C5B4695-0B6D-447F-A7C8-C7765F5F7390}" destId="{E6C071F3-4222-4631-A991-5AAEADBA18EA}" srcOrd="3" destOrd="0" presId="urn:microsoft.com/office/officeart/2005/8/layout/hierarchy2"/>
    <dgm:cxn modelId="{B307439A-0892-4957-AD11-1A50058449DA}" type="presParOf" srcId="{E6C071F3-4222-4631-A991-5AAEADBA18EA}" destId="{53E5AE13-F9A8-43E0-909A-EEB233697573}" srcOrd="0" destOrd="0" presId="urn:microsoft.com/office/officeart/2005/8/layout/hierarchy2"/>
    <dgm:cxn modelId="{88CD1906-0FC2-4DC8-9233-8A26CCE6E068}" type="presParOf" srcId="{E6C071F3-4222-4631-A991-5AAEADBA18EA}" destId="{6D39029C-C9EE-466A-8B27-18F79A129930}" srcOrd="1" destOrd="0" presId="urn:microsoft.com/office/officeart/2005/8/layout/hierarchy2"/>
    <dgm:cxn modelId="{6AA4A4A0-AE4D-4822-BD6A-033B9510E3CE}" type="presParOf" srcId="{6D39029C-C9EE-466A-8B27-18F79A129930}" destId="{0DCBCD84-105A-4D84-BE0B-82E88E8628D7}" srcOrd="0" destOrd="0" presId="urn:microsoft.com/office/officeart/2005/8/layout/hierarchy2"/>
    <dgm:cxn modelId="{81DFF93F-4ED1-4B22-919A-DCC4DE35F2FC}" type="presParOf" srcId="{0DCBCD84-105A-4D84-BE0B-82E88E8628D7}" destId="{1DCFBB87-897E-417F-8B13-D2A35DC9C2DF}" srcOrd="0" destOrd="0" presId="urn:microsoft.com/office/officeart/2005/8/layout/hierarchy2"/>
    <dgm:cxn modelId="{81240628-47C9-449A-8CD9-406A5A37E130}" type="presParOf" srcId="{6D39029C-C9EE-466A-8B27-18F79A129930}" destId="{30168F71-1F8E-4FA8-802C-7344BE36F275}" srcOrd="1" destOrd="0" presId="urn:microsoft.com/office/officeart/2005/8/layout/hierarchy2"/>
    <dgm:cxn modelId="{5A525CBB-18CE-4E10-8EC1-51DA0999301F}" type="presParOf" srcId="{30168F71-1F8E-4FA8-802C-7344BE36F275}" destId="{A745FE88-5511-455D-AF18-3C083F10770F}" srcOrd="0" destOrd="0" presId="urn:microsoft.com/office/officeart/2005/8/layout/hierarchy2"/>
    <dgm:cxn modelId="{E190FB25-B103-493B-868C-FBFD2ECB6F3D}" type="presParOf" srcId="{30168F71-1F8E-4FA8-802C-7344BE36F275}" destId="{A7FB75E3-A792-43A7-8B5D-66B18D029879}" srcOrd="1" destOrd="0" presId="urn:microsoft.com/office/officeart/2005/8/layout/hierarchy2"/>
    <dgm:cxn modelId="{805CDEDA-3F08-4B8E-8998-3EA51ED2B467}" type="presParOf" srcId="{A7FB75E3-A792-43A7-8B5D-66B18D029879}" destId="{2111600B-B337-4891-949F-9A435BFB4DA2}" srcOrd="0" destOrd="0" presId="urn:microsoft.com/office/officeart/2005/8/layout/hierarchy2"/>
    <dgm:cxn modelId="{DD07D633-48FB-4E34-A7D1-90D73A0DB508}" type="presParOf" srcId="{2111600B-B337-4891-949F-9A435BFB4DA2}" destId="{6EE2DFD6-A165-4F76-A64A-F794B3C83216}" srcOrd="0" destOrd="0" presId="urn:microsoft.com/office/officeart/2005/8/layout/hierarchy2"/>
    <dgm:cxn modelId="{6800E7DA-3EC5-4EC4-8ED9-DCD3D0E79B05}" type="presParOf" srcId="{A7FB75E3-A792-43A7-8B5D-66B18D029879}" destId="{D22393BA-D53B-4D25-AEE4-44A1C0A5FCDA}" srcOrd="1" destOrd="0" presId="urn:microsoft.com/office/officeart/2005/8/layout/hierarchy2"/>
    <dgm:cxn modelId="{94342E79-798E-4BB7-B8E7-F57B8F647D54}" type="presParOf" srcId="{D22393BA-D53B-4D25-AEE4-44A1C0A5FCDA}" destId="{2CBC0988-3813-4673-A861-DD22F6C78CCF}" srcOrd="0" destOrd="0" presId="urn:microsoft.com/office/officeart/2005/8/layout/hierarchy2"/>
    <dgm:cxn modelId="{352AE50A-813F-4692-A3A6-8EB803170534}" type="presParOf" srcId="{D22393BA-D53B-4D25-AEE4-44A1C0A5FCDA}" destId="{B9DA96B9-D01F-46CE-AC8F-4A373D92340D}" srcOrd="1" destOrd="0" presId="urn:microsoft.com/office/officeart/2005/8/layout/hierarchy2"/>
  </dgm:cxnLst>
  <dgm:bg>
    <a:noFill/>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9F79F-711B-40E1-829F-FA95F3EB957A}">
      <dsp:nvSpPr>
        <dsp:cNvPr id="0" name=""/>
        <dsp:cNvSpPr/>
      </dsp:nvSpPr>
      <dsp:spPr>
        <a:xfrm>
          <a:off x="1797" y="373144"/>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en-US" altLang="en-US" sz="900" kern="1200"/>
            <a:t>AKShare</a:t>
          </a:r>
          <a:r>
            <a:rPr lang="zh-CN" altLang="en-US" sz="900" kern="1200"/>
            <a:t>原始数据 </a:t>
          </a:r>
        </a:p>
      </dsp:txBody>
      <dsp:txXfrm>
        <a:off x="15612" y="386959"/>
        <a:ext cx="758477" cy="444034"/>
      </dsp:txXfrm>
    </dsp:sp>
    <dsp:sp modelId="{1EBBBD88-E229-4E32-83E3-74619DCC03F1}">
      <dsp:nvSpPr>
        <dsp:cNvPr id="0" name=""/>
        <dsp:cNvSpPr/>
      </dsp:nvSpPr>
      <dsp:spPr>
        <a:xfrm>
          <a:off x="857082" y="511499"/>
          <a:ext cx="166654"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a:off x="857082" y="550490"/>
        <a:ext cx="116658" cy="116972"/>
      </dsp:txXfrm>
    </dsp:sp>
    <dsp:sp modelId="{9744821D-3DF2-4AD6-B157-C3B3305964CD}">
      <dsp:nvSpPr>
        <dsp:cNvPr id="0" name=""/>
        <dsp:cNvSpPr/>
      </dsp:nvSpPr>
      <dsp:spPr>
        <a:xfrm>
          <a:off x="1102348" y="373144"/>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 日期标准化</a:t>
          </a:r>
        </a:p>
      </dsp:txBody>
      <dsp:txXfrm>
        <a:off x="1116163" y="386959"/>
        <a:ext cx="758477" cy="444034"/>
      </dsp:txXfrm>
    </dsp:sp>
    <dsp:sp modelId="{8F2C6274-7D61-4D41-BB17-57809B5F1B06}">
      <dsp:nvSpPr>
        <dsp:cNvPr id="0" name=""/>
        <dsp:cNvSpPr/>
      </dsp:nvSpPr>
      <dsp:spPr>
        <a:xfrm>
          <a:off x="1957632" y="511499"/>
          <a:ext cx="166654"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a:off x="1957632" y="550490"/>
        <a:ext cx="116658" cy="116972"/>
      </dsp:txXfrm>
    </dsp:sp>
    <dsp:sp modelId="{C137B629-586A-43DA-A1C4-9CD1FE52A23C}">
      <dsp:nvSpPr>
        <dsp:cNvPr id="0" name=""/>
        <dsp:cNvSpPr/>
      </dsp:nvSpPr>
      <dsp:spPr>
        <a:xfrm>
          <a:off x="2202898" y="373144"/>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 列名统一</a:t>
          </a:r>
        </a:p>
      </dsp:txBody>
      <dsp:txXfrm>
        <a:off x="2216713" y="386959"/>
        <a:ext cx="758477" cy="444034"/>
      </dsp:txXfrm>
    </dsp:sp>
    <dsp:sp modelId="{0B934D7C-67A4-4C74-A72F-D6DAFE5547BF}">
      <dsp:nvSpPr>
        <dsp:cNvPr id="0" name=""/>
        <dsp:cNvSpPr/>
      </dsp:nvSpPr>
      <dsp:spPr>
        <a:xfrm>
          <a:off x="3058183" y="511499"/>
          <a:ext cx="166654"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a:off x="3058183" y="550490"/>
        <a:ext cx="116658" cy="116972"/>
      </dsp:txXfrm>
    </dsp:sp>
    <dsp:sp modelId="{FBA95FC1-1B6D-4947-9ED1-1E22FF4888C4}">
      <dsp:nvSpPr>
        <dsp:cNvPr id="0" name=""/>
        <dsp:cNvSpPr/>
      </dsp:nvSpPr>
      <dsp:spPr>
        <a:xfrm>
          <a:off x="3303448" y="373144"/>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质量验证</a:t>
          </a:r>
        </a:p>
      </dsp:txBody>
      <dsp:txXfrm>
        <a:off x="3317263" y="386959"/>
        <a:ext cx="758477" cy="444034"/>
      </dsp:txXfrm>
    </dsp:sp>
    <dsp:sp modelId="{7BE701BE-BD08-44FF-BCE7-76946CE17DCC}">
      <dsp:nvSpPr>
        <dsp:cNvPr id="0" name=""/>
        <dsp:cNvSpPr/>
      </dsp:nvSpPr>
      <dsp:spPr>
        <a:xfrm rot="5400000">
          <a:off x="3613175" y="899836"/>
          <a:ext cx="166654"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rot="-5400000">
        <a:off x="3638016" y="913986"/>
        <a:ext cx="116972" cy="116658"/>
      </dsp:txXfrm>
    </dsp:sp>
    <dsp:sp modelId="{A3AC5DB7-CC18-4609-9AEC-C83AE0D3D948}">
      <dsp:nvSpPr>
        <dsp:cNvPr id="0" name=""/>
        <dsp:cNvSpPr/>
      </dsp:nvSpPr>
      <dsp:spPr>
        <a:xfrm>
          <a:off x="3303448" y="1159251"/>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 内连接对齐（共同交易日）</a:t>
          </a:r>
        </a:p>
      </dsp:txBody>
      <dsp:txXfrm>
        <a:off x="3317263" y="1173066"/>
        <a:ext cx="758477" cy="444034"/>
      </dsp:txXfrm>
    </dsp:sp>
    <dsp:sp modelId="{9DCA11D6-A779-4F5B-8761-EF632DA51FA6}">
      <dsp:nvSpPr>
        <dsp:cNvPr id="0" name=""/>
        <dsp:cNvSpPr/>
      </dsp:nvSpPr>
      <dsp:spPr>
        <a:xfrm rot="10800000">
          <a:off x="3036445" y="1297606"/>
          <a:ext cx="188682"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rot="10800000">
        <a:off x="3093050" y="1336597"/>
        <a:ext cx="132077" cy="116972"/>
      </dsp:txXfrm>
    </dsp:sp>
    <dsp:sp modelId="{E6B16F67-6245-4F3D-A945-AF7C209851A9}">
      <dsp:nvSpPr>
        <dsp:cNvPr id="0" name=""/>
        <dsp:cNvSpPr/>
      </dsp:nvSpPr>
      <dsp:spPr>
        <a:xfrm>
          <a:off x="2161336" y="1159251"/>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 对数收益率计算</a:t>
          </a:r>
        </a:p>
      </dsp:txBody>
      <dsp:txXfrm>
        <a:off x="2175151" y="1173066"/>
        <a:ext cx="758477" cy="444034"/>
      </dsp:txXfrm>
    </dsp:sp>
    <dsp:sp modelId="{3097573A-AC6C-4406-B7E5-115D92B9D219}">
      <dsp:nvSpPr>
        <dsp:cNvPr id="0" name=""/>
        <dsp:cNvSpPr/>
      </dsp:nvSpPr>
      <dsp:spPr>
        <a:xfrm rot="10800000">
          <a:off x="1956675" y="1297606"/>
          <a:ext cx="144627" cy="194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just" defTabSz="311150">
            <a:lnSpc>
              <a:spcPct val="90000"/>
            </a:lnSpc>
            <a:spcBef>
              <a:spcPct val="0"/>
            </a:spcBef>
            <a:spcAft>
              <a:spcPct val="35000"/>
            </a:spcAft>
            <a:buNone/>
          </a:pPr>
          <a:endParaRPr lang="zh-CN" altLang="en-US" sz="700" kern="1200"/>
        </a:p>
      </dsp:txBody>
      <dsp:txXfrm rot="10800000">
        <a:off x="2000063" y="1336597"/>
        <a:ext cx="101239" cy="116972"/>
      </dsp:txXfrm>
    </dsp:sp>
    <dsp:sp modelId="{91CD4A83-2034-4809-83F2-4562DE54518D}">
      <dsp:nvSpPr>
        <dsp:cNvPr id="0" name=""/>
        <dsp:cNvSpPr/>
      </dsp:nvSpPr>
      <dsp:spPr>
        <a:xfrm>
          <a:off x="1102348" y="1159251"/>
          <a:ext cx="786107" cy="47166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just" defTabSz="400050">
            <a:lnSpc>
              <a:spcPct val="90000"/>
            </a:lnSpc>
            <a:spcBef>
              <a:spcPct val="0"/>
            </a:spcBef>
            <a:spcAft>
              <a:spcPct val="35000"/>
            </a:spcAft>
            <a:buNone/>
          </a:pPr>
          <a:r>
            <a:rPr lang="zh-CN" altLang="en-US" sz="900" kern="1200"/>
            <a:t> 样本划分</a:t>
          </a:r>
        </a:p>
      </dsp:txBody>
      <dsp:txXfrm>
        <a:off x="1116163" y="1173066"/>
        <a:ext cx="758477" cy="44403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133B2F-B772-4D81-80E8-3416BFB94398}">
      <dsp:nvSpPr>
        <dsp:cNvPr id="0" name=""/>
        <dsp:cNvSpPr/>
      </dsp:nvSpPr>
      <dsp:spPr>
        <a:xfrm>
          <a:off x="754" y="934527"/>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选定核心市场</a:t>
          </a:r>
        </a:p>
      </dsp:txBody>
      <dsp:txXfrm>
        <a:off x="15604" y="949377"/>
        <a:ext cx="984300" cy="477300"/>
      </dsp:txXfrm>
    </dsp:sp>
    <dsp:sp modelId="{50AD84F3-3FCF-4156-97EE-354848F57DB4}">
      <dsp:nvSpPr>
        <dsp:cNvPr id="0" name=""/>
        <dsp:cNvSpPr/>
      </dsp:nvSpPr>
      <dsp:spPr>
        <a:xfrm rot="19457599">
          <a:off x="967805" y="1023060"/>
          <a:ext cx="499497" cy="38408"/>
        </a:xfrm>
        <a:custGeom>
          <a:avLst/>
          <a:gdLst/>
          <a:ahLst/>
          <a:cxnLst/>
          <a:rect l="0" t="0" r="0" b="0"/>
          <a:pathLst>
            <a:path>
              <a:moveTo>
                <a:pt x="0" y="19204"/>
              </a:moveTo>
              <a:lnTo>
                <a:pt x="499497" y="1920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205067" y="1029777"/>
        <a:ext cx="24974" cy="24974"/>
      </dsp:txXfrm>
    </dsp:sp>
    <dsp:sp modelId="{D5254D40-4949-4B40-9961-649688DF4FAE}">
      <dsp:nvSpPr>
        <dsp:cNvPr id="0" name=""/>
        <dsp:cNvSpPr/>
      </dsp:nvSpPr>
      <dsp:spPr>
        <a:xfrm>
          <a:off x="1420354" y="643002"/>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定义未来 </a:t>
          </a:r>
          <a:r>
            <a:rPr lang="en-US" altLang="en-US" sz="800" kern="1200"/>
            <a:t>(h) </a:t>
          </a:r>
          <a:r>
            <a:rPr lang="zh-CN" altLang="en-US" sz="800" kern="1200"/>
            <a:t>个交易日的风险度量；</a:t>
          </a:r>
        </a:p>
      </dsp:txBody>
      <dsp:txXfrm>
        <a:off x="1435204" y="657852"/>
        <a:ext cx="984300" cy="477300"/>
      </dsp:txXfrm>
    </dsp:sp>
    <dsp:sp modelId="{22BE79ED-0955-43DE-859F-01ADA81128DB}">
      <dsp:nvSpPr>
        <dsp:cNvPr id="0" name=""/>
        <dsp:cNvSpPr/>
      </dsp:nvSpPr>
      <dsp:spPr>
        <a:xfrm>
          <a:off x="2434354" y="877298"/>
          <a:ext cx="405600" cy="38408"/>
        </a:xfrm>
        <a:custGeom>
          <a:avLst/>
          <a:gdLst/>
          <a:ahLst/>
          <a:cxnLst/>
          <a:rect l="0" t="0" r="0" b="0"/>
          <a:pathLst>
            <a:path>
              <a:moveTo>
                <a:pt x="0" y="19204"/>
              </a:moveTo>
              <a:lnTo>
                <a:pt x="405600" y="192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27014" y="886362"/>
        <a:ext cx="20280" cy="20280"/>
      </dsp:txXfrm>
    </dsp:sp>
    <dsp:sp modelId="{7F73FDB3-BA24-478F-9EEF-81C4D2D47CE4}">
      <dsp:nvSpPr>
        <dsp:cNvPr id="0" name=""/>
        <dsp:cNvSpPr/>
      </dsp:nvSpPr>
      <dsp:spPr>
        <a:xfrm>
          <a:off x="2839955" y="643002"/>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建立包含综合市场状态分布特征的预测模型；</a:t>
          </a:r>
        </a:p>
      </dsp:txBody>
      <dsp:txXfrm>
        <a:off x="2854805" y="657852"/>
        <a:ext cx="984300" cy="477300"/>
      </dsp:txXfrm>
    </dsp:sp>
    <dsp:sp modelId="{739D94C3-1E20-445D-9F71-9C84831BBF93}">
      <dsp:nvSpPr>
        <dsp:cNvPr id="0" name=""/>
        <dsp:cNvSpPr/>
      </dsp:nvSpPr>
      <dsp:spPr>
        <a:xfrm rot="1745010">
          <a:off x="3825210" y="988110"/>
          <a:ext cx="455939" cy="38408"/>
        </a:xfrm>
        <a:custGeom>
          <a:avLst/>
          <a:gdLst/>
          <a:ahLst/>
          <a:cxnLst/>
          <a:rect l="0" t="0" r="0" b="0"/>
          <a:pathLst>
            <a:path>
              <a:moveTo>
                <a:pt x="0" y="19204"/>
              </a:moveTo>
              <a:lnTo>
                <a:pt x="455939" y="192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4041782" y="995916"/>
        <a:ext cx="22796" cy="22796"/>
      </dsp:txXfrm>
    </dsp:sp>
    <dsp:sp modelId="{6A2ADCD7-0D97-4CDE-AD52-85A768DF03CA}">
      <dsp:nvSpPr>
        <dsp:cNvPr id="0" name=""/>
        <dsp:cNvSpPr/>
      </dsp:nvSpPr>
      <dsp:spPr>
        <a:xfrm>
          <a:off x="4252406" y="864627"/>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zh-CN" altLang="en-US" sz="800" kern="1200"/>
        </a:p>
      </dsp:txBody>
      <dsp:txXfrm>
        <a:off x="4267256" y="879477"/>
        <a:ext cx="984300" cy="477300"/>
      </dsp:txXfrm>
    </dsp:sp>
    <dsp:sp modelId="{326CA276-61B9-4422-85BB-E804B4EC1475}">
      <dsp:nvSpPr>
        <dsp:cNvPr id="0" name=""/>
        <dsp:cNvSpPr/>
      </dsp:nvSpPr>
      <dsp:spPr>
        <a:xfrm rot="2142401">
          <a:off x="967805" y="1314585"/>
          <a:ext cx="499497" cy="38408"/>
        </a:xfrm>
        <a:custGeom>
          <a:avLst/>
          <a:gdLst/>
          <a:ahLst/>
          <a:cxnLst/>
          <a:rect l="0" t="0" r="0" b="0"/>
          <a:pathLst>
            <a:path>
              <a:moveTo>
                <a:pt x="0" y="19204"/>
              </a:moveTo>
              <a:lnTo>
                <a:pt x="499497" y="1920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205067" y="1321302"/>
        <a:ext cx="24974" cy="24974"/>
      </dsp:txXfrm>
    </dsp:sp>
    <dsp:sp modelId="{53E5AE13-F9A8-43E0-909A-EEB233697573}">
      <dsp:nvSpPr>
        <dsp:cNvPr id="0" name=""/>
        <dsp:cNvSpPr/>
      </dsp:nvSpPr>
      <dsp:spPr>
        <a:xfrm>
          <a:off x="1420354" y="1226052"/>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构造以前瞻性风险度量为预测目标的数据集；</a:t>
          </a:r>
        </a:p>
      </dsp:txBody>
      <dsp:txXfrm>
        <a:off x="1435204" y="1240902"/>
        <a:ext cx="984300" cy="477300"/>
      </dsp:txXfrm>
    </dsp:sp>
    <dsp:sp modelId="{0DCBCD84-105A-4D84-BE0B-82E88E8628D7}">
      <dsp:nvSpPr>
        <dsp:cNvPr id="0" name=""/>
        <dsp:cNvSpPr/>
      </dsp:nvSpPr>
      <dsp:spPr>
        <a:xfrm>
          <a:off x="2434354" y="1460348"/>
          <a:ext cx="405600" cy="38408"/>
        </a:xfrm>
        <a:custGeom>
          <a:avLst/>
          <a:gdLst/>
          <a:ahLst/>
          <a:cxnLst/>
          <a:rect l="0" t="0" r="0" b="0"/>
          <a:pathLst>
            <a:path>
              <a:moveTo>
                <a:pt x="0" y="19204"/>
              </a:moveTo>
              <a:lnTo>
                <a:pt x="405600" y="192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627014" y="1469412"/>
        <a:ext cx="20280" cy="20280"/>
      </dsp:txXfrm>
    </dsp:sp>
    <dsp:sp modelId="{A745FE88-5511-455D-AF18-3C083F10770F}">
      <dsp:nvSpPr>
        <dsp:cNvPr id="0" name=""/>
        <dsp:cNvSpPr/>
      </dsp:nvSpPr>
      <dsp:spPr>
        <a:xfrm>
          <a:off x="2839955" y="1226052"/>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构造不使用综合市场状态分布信息的基准模型；</a:t>
          </a:r>
        </a:p>
      </dsp:txBody>
      <dsp:txXfrm>
        <a:off x="2854805" y="1240902"/>
        <a:ext cx="984300" cy="477300"/>
      </dsp:txXfrm>
    </dsp:sp>
    <dsp:sp modelId="{2111600B-B337-4891-949F-9A435BFB4DA2}">
      <dsp:nvSpPr>
        <dsp:cNvPr id="0" name=""/>
        <dsp:cNvSpPr/>
      </dsp:nvSpPr>
      <dsp:spPr>
        <a:xfrm rot="18995334">
          <a:off x="3779962" y="1274466"/>
          <a:ext cx="540959" cy="38408"/>
        </a:xfrm>
        <a:custGeom>
          <a:avLst/>
          <a:gdLst/>
          <a:ahLst/>
          <a:cxnLst/>
          <a:rect l="0" t="0" r="0" b="0"/>
          <a:pathLst>
            <a:path>
              <a:moveTo>
                <a:pt x="0" y="19204"/>
              </a:moveTo>
              <a:lnTo>
                <a:pt x="540959" y="1920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4036918" y="1280147"/>
        <a:ext cx="27047" cy="27047"/>
      </dsp:txXfrm>
    </dsp:sp>
    <dsp:sp modelId="{2CBC0988-3813-4673-A861-DD22F6C78CCF}">
      <dsp:nvSpPr>
        <dsp:cNvPr id="0" name=""/>
        <dsp:cNvSpPr/>
      </dsp:nvSpPr>
      <dsp:spPr>
        <a:xfrm>
          <a:off x="4246930" y="854289"/>
          <a:ext cx="1014000" cy="507000"/>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通过预测误差、风险覆盖率和尾部风险识别能力比较模型效果</a:t>
          </a:r>
        </a:p>
      </dsp:txBody>
      <dsp:txXfrm>
        <a:off x="4261780" y="869139"/>
        <a:ext cx="984300" cy="47730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bkpt" val="endCnv"/>
          <dgm:param type="contDir" val="revDir"/>
          <dgm:param type="grDir" val="tL"/>
          <dgm:param type="flowDir" val="row"/>
        </dgm:alg>
      </dgm:if>
      <dgm:else name="Name2">
        <dgm:alg type="snake">
          <dgm:param type="bkpt" val="endCnv"/>
          <dgm:param type="contDir" val="revDir"/>
          <dgm:param type="grDir" val="tR"/>
          <dgm:param type="flowDir" val="row"/>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F12C0-DEF4-4E4E-8C44-CD6ADD4A72CA}">
  <ds:schemaRefs/>
</ds:datastoreItem>
</file>

<file path=docProps/app.xml><?xml version="1.0" encoding="utf-8"?>
<Properties xmlns="http://schemas.openxmlformats.org/officeDocument/2006/extended-properties" xmlns:vt="http://schemas.openxmlformats.org/officeDocument/2006/docPropsVTypes">
  <Template>Normal</Template>
  <Pages>44</Pages>
  <Words>953</Words>
  <Characters>1025</Characters>
  <Lines>437</Lines>
  <Paragraphs>123</Paragraphs>
  <TotalTime>184</TotalTime>
  <ScaleCrop>false</ScaleCrop>
  <LinksUpToDate>false</LinksUpToDate>
  <CharactersWithSpaces>1052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2026-05-23T11:54:00Z</dcterms:created>
  <dc:creator>1917420556@qq.com</dc:creator>
  <cp:lastModifiedBy>NO PAIN NO GAIN</cp:lastModifiedBy>
  <dcterms:modified xsi:type="dcterms:W3CDTF">2026-05-24T02:20:23Z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07C7488E80144C33B725E7EA3BC94B32_13</vt:lpwstr>
  </property>
</Properties>
</file>